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BD" w:rsidRPr="004D451D" w:rsidRDefault="001779AE" w:rsidP="001779AE">
      <w:pPr>
        <w:spacing w:beforeLines="100" w:before="240" w:afterLines="100" w:after="240"/>
        <w:jc w:val="center"/>
        <w:outlineLvl w:val="0"/>
        <w:rPr>
          <w:rFonts w:ascii="Arial" w:eastAsia="標楷體" w:hAnsi="Arial" w:cs="Arial"/>
          <w:b/>
          <w:sz w:val="32"/>
          <w:szCs w:val="32"/>
        </w:rPr>
      </w:pPr>
      <w:r w:rsidRPr="004D451D">
        <w:rPr>
          <w:rFonts w:ascii="標楷體" w:eastAsia="標楷體" w:hAnsi="標楷體" w:hint="eastAsia"/>
          <w:b/>
          <w:sz w:val="32"/>
          <w:szCs w:val="32"/>
        </w:rPr>
        <w:t>京城</w:t>
      </w:r>
      <w:r w:rsidR="00E03BBD" w:rsidRPr="004D451D">
        <w:rPr>
          <w:rFonts w:ascii="Arial" w:eastAsia="標楷體" w:hAnsi="Arial" w:cs="Arial"/>
          <w:b/>
          <w:sz w:val="32"/>
          <w:szCs w:val="32"/>
        </w:rPr>
        <w:t>銀行資本適足性與風險管理相關資訊應揭露事項</w:t>
      </w:r>
    </w:p>
    <w:p w:rsidR="00E03BBD" w:rsidRPr="004D451D" w:rsidRDefault="00E03BBD" w:rsidP="00763D68">
      <w:pPr>
        <w:pStyle w:val="ad"/>
        <w:tabs>
          <w:tab w:val="left" w:pos="720"/>
        </w:tabs>
        <w:spacing w:line="480" w:lineRule="exact"/>
        <w:ind w:left="0" w:firstLine="0"/>
        <w:jc w:val="both"/>
        <w:rPr>
          <w:rFonts w:ascii="Arial" w:hAnsi="Arial" w:cs="Arial"/>
          <w:sz w:val="28"/>
          <w:szCs w:val="28"/>
        </w:rPr>
      </w:pPr>
      <w:r w:rsidRPr="004D451D">
        <w:rPr>
          <w:rFonts w:ascii="Arial" w:hAnsi="Arial" w:cs="Arial"/>
          <w:sz w:val="28"/>
          <w:szCs w:val="28"/>
        </w:rPr>
        <w:t>為遵循新巴塞爾資本協定第三支柱市場紀律原則，銀行應於網站設置「資本適足性與風險管理專區」，揭露下列資訊：</w:t>
      </w:r>
    </w:p>
    <w:p w:rsidR="00E03BBD" w:rsidRPr="004D451D" w:rsidRDefault="00E03BBD" w:rsidP="001828A0">
      <w:pPr>
        <w:pStyle w:val="ad"/>
        <w:numPr>
          <w:ilvl w:val="0"/>
          <w:numId w:val="6"/>
        </w:numPr>
        <w:spacing w:line="480" w:lineRule="exact"/>
        <w:ind w:left="1139" w:hanging="782"/>
        <w:jc w:val="both"/>
        <w:rPr>
          <w:sz w:val="28"/>
          <w:szCs w:val="28"/>
        </w:rPr>
      </w:pPr>
      <w:r w:rsidRPr="004D451D">
        <w:rPr>
          <w:sz w:val="28"/>
          <w:szCs w:val="28"/>
        </w:rPr>
        <w:t>資本管理</w:t>
      </w:r>
      <w:r w:rsidR="00E5183D" w:rsidRPr="004D451D">
        <w:rPr>
          <w:rFonts w:hint="eastAsia"/>
          <w:sz w:val="28"/>
          <w:szCs w:val="28"/>
        </w:rPr>
        <w:t>：</w:t>
      </w:r>
    </w:p>
    <w:p w:rsidR="00E03BBD" w:rsidRPr="004D451D" w:rsidRDefault="00E03BBD" w:rsidP="002706B9">
      <w:pPr>
        <w:pStyle w:val="ad"/>
        <w:numPr>
          <w:ilvl w:val="0"/>
          <w:numId w:val="7"/>
        </w:numPr>
        <w:spacing w:line="480" w:lineRule="exact"/>
        <w:ind w:left="1440"/>
        <w:jc w:val="both"/>
        <w:rPr>
          <w:rFonts w:ascii="Arial" w:hAnsi="Arial" w:cs="Arial"/>
          <w:sz w:val="28"/>
          <w:szCs w:val="28"/>
        </w:rPr>
      </w:pPr>
      <w:r w:rsidRPr="004D451D">
        <w:rPr>
          <w:rFonts w:ascii="Arial" w:hAnsi="Arial" w:cs="Arial"/>
          <w:sz w:val="28"/>
          <w:szCs w:val="28"/>
        </w:rPr>
        <w:t>合併資本適足比率計算範圍。（附表一）</w:t>
      </w:r>
    </w:p>
    <w:p w:rsidR="00E03BBD" w:rsidRPr="004D451D" w:rsidRDefault="00E03BBD" w:rsidP="002706B9">
      <w:pPr>
        <w:pStyle w:val="ad"/>
        <w:numPr>
          <w:ilvl w:val="0"/>
          <w:numId w:val="7"/>
        </w:numPr>
        <w:spacing w:line="480" w:lineRule="exact"/>
        <w:ind w:left="1440"/>
        <w:jc w:val="both"/>
        <w:rPr>
          <w:rFonts w:ascii="Arial" w:hAnsi="Arial" w:cs="Arial"/>
          <w:sz w:val="28"/>
          <w:szCs w:val="28"/>
        </w:rPr>
      </w:pPr>
      <w:r w:rsidRPr="004D451D">
        <w:rPr>
          <w:rFonts w:ascii="Arial" w:hAnsi="Arial" w:cs="Arial"/>
          <w:sz w:val="28"/>
          <w:szCs w:val="28"/>
        </w:rPr>
        <w:t>資本適足比率。（附表二及附表三）</w:t>
      </w:r>
    </w:p>
    <w:p w:rsidR="00E03BBD" w:rsidRPr="004D451D" w:rsidRDefault="00E03BBD" w:rsidP="001828A0">
      <w:pPr>
        <w:pStyle w:val="ad"/>
        <w:numPr>
          <w:ilvl w:val="0"/>
          <w:numId w:val="7"/>
        </w:numPr>
        <w:spacing w:line="480" w:lineRule="exact"/>
        <w:ind w:left="1440"/>
        <w:jc w:val="both"/>
        <w:rPr>
          <w:rFonts w:ascii="Arial" w:hAnsi="Arial" w:cs="Arial"/>
          <w:sz w:val="28"/>
          <w:szCs w:val="28"/>
        </w:rPr>
      </w:pPr>
      <w:r w:rsidRPr="004D451D">
        <w:rPr>
          <w:rFonts w:ascii="Arial" w:hAnsi="Arial" w:cs="Arial"/>
          <w:sz w:val="28"/>
          <w:szCs w:val="28"/>
        </w:rPr>
        <w:t>資本結構。（附表四、附表四之一、附表四之二、附表四之三及附表五）</w:t>
      </w:r>
    </w:p>
    <w:p w:rsidR="00E03BBD" w:rsidRPr="004D451D" w:rsidRDefault="00E03BBD" w:rsidP="002706B9">
      <w:pPr>
        <w:pStyle w:val="ad"/>
        <w:numPr>
          <w:ilvl w:val="0"/>
          <w:numId w:val="7"/>
        </w:numPr>
        <w:spacing w:line="480" w:lineRule="exact"/>
        <w:ind w:left="1440"/>
        <w:jc w:val="both"/>
        <w:rPr>
          <w:rFonts w:ascii="Arial" w:hAnsi="Arial" w:cs="Arial"/>
          <w:sz w:val="28"/>
          <w:szCs w:val="28"/>
        </w:rPr>
      </w:pPr>
      <w:r w:rsidRPr="004D451D">
        <w:rPr>
          <w:rFonts w:ascii="Arial" w:hAnsi="Arial" w:cs="Arial"/>
          <w:sz w:val="28"/>
          <w:szCs w:val="28"/>
        </w:rPr>
        <w:t>槓桿比率。（附表六、附表六之一）</w:t>
      </w:r>
    </w:p>
    <w:p w:rsidR="00E03BBD" w:rsidRPr="004D451D" w:rsidRDefault="00E03BBD" w:rsidP="002706B9">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風險管理與風險性資產概況</w:t>
      </w:r>
      <w:r w:rsidR="001828A0" w:rsidRPr="004D451D">
        <w:rPr>
          <w:rFonts w:ascii="Arial" w:hAnsi="Arial" w:cs="Arial" w:hint="eastAsia"/>
          <w:sz w:val="28"/>
          <w:szCs w:val="28"/>
        </w:rPr>
        <w:t>：</w:t>
      </w:r>
    </w:p>
    <w:p w:rsidR="00E03BBD" w:rsidRPr="004D451D" w:rsidRDefault="00E03BBD" w:rsidP="002706B9">
      <w:pPr>
        <w:pStyle w:val="ad"/>
        <w:numPr>
          <w:ilvl w:val="1"/>
          <w:numId w:val="6"/>
        </w:numPr>
        <w:spacing w:line="480" w:lineRule="exact"/>
        <w:ind w:firstLine="240"/>
        <w:jc w:val="both"/>
        <w:rPr>
          <w:rFonts w:ascii="Arial" w:hAnsi="Arial" w:cs="Arial"/>
          <w:sz w:val="28"/>
          <w:szCs w:val="28"/>
        </w:rPr>
      </w:pPr>
      <w:r w:rsidRPr="004D451D">
        <w:rPr>
          <w:rFonts w:ascii="Arial" w:hAnsi="Arial" w:cs="Arial"/>
          <w:sz w:val="28"/>
          <w:szCs w:val="28"/>
        </w:rPr>
        <w:t>風險管理概況</w:t>
      </w:r>
      <w:r w:rsidR="00BB7ED6" w:rsidRPr="004D451D">
        <w:rPr>
          <w:rFonts w:ascii="Arial" w:hAnsi="Arial" w:cs="Arial" w:hint="eastAsia"/>
          <w:sz w:val="28"/>
          <w:szCs w:val="28"/>
        </w:rPr>
        <w:t>。（</w:t>
      </w:r>
      <w:r w:rsidRPr="004D451D">
        <w:rPr>
          <w:rFonts w:ascii="Arial" w:hAnsi="Arial" w:cs="Arial"/>
          <w:sz w:val="28"/>
          <w:szCs w:val="28"/>
        </w:rPr>
        <w:t>附表七</w:t>
      </w:r>
      <w:r w:rsidR="00BB7ED6" w:rsidRPr="004D451D">
        <w:rPr>
          <w:rFonts w:ascii="Arial" w:hAnsi="Arial" w:cs="Arial" w:hint="eastAsia"/>
          <w:sz w:val="28"/>
          <w:szCs w:val="28"/>
        </w:rPr>
        <w:t>）</w:t>
      </w:r>
    </w:p>
    <w:p w:rsidR="00AF0842" w:rsidRPr="004D451D" w:rsidRDefault="00AE6E7C" w:rsidP="002706B9">
      <w:pPr>
        <w:pStyle w:val="ad"/>
        <w:numPr>
          <w:ilvl w:val="1"/>
          <w:numId w:val="6"/>
        </w:numPr>
        <w:spacing w:line="480" w:lineRule="exact"/>
        <w:ind w:firstLine="240"/>
        <w:jc w:val="both"/>
        <w:rPr>
          <w:rFonts w:ascii="Arial" w:hAnsi="Arial" w:cs="Arial"/>
          <w:sz w:val="28"/>
          <w:szCs w:val="28"/>
        </w:rPr>
      </w:pPr>
      <w:r w:rsidRPr="004D451D">
        <w:rPr>
          <w:rFonts w:ascii="Arial" w:hAnsi="Arial" w:cs="Arial" w:hint="eastAsia"/>
          <w:sz w:val="28"/>
          <w:szCs w:val="28"/>
        </w:rPr>
        <w:t>關鍵</w:t>
      </w:r>
      <w:r w:rsidR="00AF0842" w:rsidRPr="004D451D">
        <w:rPr>
          <w:rFonts w:ascii="Arial" w:hAnsi="Arial" w:cs="Arial" w:hint="eastAsia"/>
          <w:sz w:val="28"/>
          <w:szCs w:val="28"/>
        </w:rPr>
        <w:t>指標。（附表八）</w:t>
      </w:r>
    </w:p>
    <w:p w:rsidR="00C32554" w:rsidRPr="004D451D" w:rsidRDefault="00E03BBD" w:rsidP="002706B9">
      <w:pPr>
        <w:pStyle w:val="ad"/>
        <w:numPr>
          <w:ilvl w:val="1"/>
          <w:numId w:val="6"/>
        </w:numPr>
        <w:spacing w:line="480" w:lineRule="exact"/>
        <w:ind w:firstLine="240"/>
        <w:jc w:val="both"/>
        <w:rPr>
          <w:rFonts w:ascii="Arial" w:hAnsi="Arial" w:cs="Arial"/>
          <w:sz w:val="28"/>
          <w:szCs w:val="28"/>
        </w:rPr>
      </w:pPr>
      <w:r w:rsidRPr="004D451D">
        <w:rPr>
          <w:rFonts w:ascii="Arial" w:hAnsi="Arial" w:cs="Arial"/>
          <w:sz w:val="28"/>
          <w:szCs w:val="28"/>
        </w:rPr>
        <w:t>風險性資產概況</w:t>
      </w:r>
      <w:r w:rsidR="00BB7ED6" w:rsidRPr="004D451D">
        <w:rPr>
          <w:rFonts w:ascii="Arial" w:hAnsi="Arial" w:cs="Arial" w:hint="eastAsia"/>
          <w:sz w:val="28"/>
          <w:szCs w:val="28"/>
        </w:rPr>
        <w:t>。（</w:t>
      </w:r>
      <w:r w:rsidRPr="004D451D">
        <w:rPr>
          <w:rFonts w:ascii="Arial" w:hAnsi="Arial" w:cs="Arial"/>
          <w:sz w:val="28"/>
          <w:szCs w:val="28"/>
        </w:rPr>
        <w:t>附表</w:t>
      </w:r>
      <w:r w:rsidR="00E5183D" w:rsidRPr="004D451D">
        <w:rPr>
          <w:rFonts w:ascii="Arial" w:hAnsi="Arial" w:cs="Arial" w:hint="eastAsia"/>
          <w:sz w:val="28"/>
          <w:szCs w:val="28"/>
        </w:rPr>
        <w:t>九</w:t>
      </w:r>
      <w:r w:rsidR="00C32554" w:rsidRPr="004D451D">
        <w:rPr>
          <w:rFonts w:ascii="Arial" w:hAnsi="Arial" w:cs="Arial"/>
          <w:sz w:val="28"/>
          <w:szCs w:val="28"/>
        </w:rPr>
        <w:t>、附表</w:t>
      </w:r>
      <w:r w:rsidR="00E5183D" w:rsidRPr="004D451D">
        <w:rPr>
          <w:rFonts w:ascii="Arial" w:hAnsi="Arial" w:cs="Arial" w:hint="eastAsia"/>
          <w:sz w:val="28"/>
          <w:szCs w:val="28"/>
        </w:rPr>
        <w:t>九</w:t>
      </w:r>
      <w:r w:rsidR="00C32554" w:rsidRPr="004D451D">
        <w:rPr>
          <w:rFonts w:ascii="Arial" w:hAnsi="Arial" w:cs="Arial"/>
          <w:sz w:val="28"/>
          <w:szCs w:val="28"/>
        </w:rPr>
        <w:t>之ㄧ</w:t>
      </w:r>
      <w:r w:rsidR="00BB7ED6" w:rsidRPr="004D451D">
        <w:rPr>
          <w:rFonts w:ascii="Arial" w:hAnsi="Arial" w:cs="Arial" w:hint="eastAsia"/>
          <w:sz w:val="28"/>
          <w:szCs w:val="28"/>
        </w:rPr>
        <w:t>）</w:t>
      </w:r>
    </w:p>
    <w:p w:rsidR="00E03BBD" w:rsidRPr="004D451D" w:rsidRDefault="00E03BBD" w:rsidP="002706B9">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財務報表與法定暴險之聯結</w:t>
      </w:r>
      <w:r w:rsidR="001828A0" w:rsidRPr="004D451D">
        <w:rPr>
          <w:rFonts w:ascii="Arial" w:hAnsi="Arial" w:cs="Arial" w:hint="eastAsia"/>
          <w:sz w:val="28"/>
          <w:szCs w:val="28"/>
        </w:rPr>
        <w:t>：</w:t>
      </w:r>
    </w:p>
    <w:p w:rsidR="00E03BBD" w:rsidRPr="004D451D" w:rsidRDefault="00E03BBD" w:rsidP="002706B9">
      <w:pPr>
        <w:pStyle w:val="ad"/>
        <w:numPr>
          <w:ilvl w:val="1"/>
          <w:numId w:val="6"/>
        </w:numPr>
        <w:spacing w:line="480" w:lineRule="exact"/>
        <w:ind w:firstLine="240"/>
        <w:jc w:val="both"/>
        <w:rPr>
          <w:rFonts w:ascii="Arial" w:hAnsi="Arial" w:cs="Arial"/>
          <w:sz w:val="28"/>
          <w:szCs w:val="28"/>
        </w:rPr>
      </w:pPr>
      <w:r w:rsidRPr="004D451D">
        <w:rPr>
          <w:rFonts w:ascii="Arial" w:hAnsi="Arial" w:cs="Arial"/>
          <w:sz w:val="28"/>
          <w:szCs w:val="28"/>
        </w:rPr>
        <w:t>會計帳務與法定資本計提範圍間之差異</w:t>
      </w:r>
      <w:r w:rsidR="00BB7ED6" w:rsidRPr="004D451D">
        <w:rPr>
          <w:rFonts w:ascii="Arial" w:hAnsi="Arial" w:cs="Arial" w:hint="eastAsia"/>
          <w:sz w:val="28"/>
          <w:szCs w:val="28"/>
        </w:rPr>
        <w:t>。（</w:t>
      </w:r>
      <w:r w:rsidRPr="004D451D">
        <w:rPr>
          <w:rFonts w:ascii="Arial" w:hAnsi="Arial" w:cs="Arial"/>
          <w:sz w:val="28"/>
          <w:szCs w:val="28"/>
        </w:rPr>
        <w:t>附表</w:t>
      </w:r>
      <w:r w:rsidR="00E5183D" w:rsidRPr="004D451D">
        <w:rPr>
          <w:rFonts w:ascii="Arial" w:hAnsi="Arial" w:cs="Arial" w:hint="eastAsia"/>
          <w:sz w:val="28"/>
          <w:szCs w:val="28"/>
        </w:rPr>
        <w:t>十</w:t>
      </w:r>
      <w:r w:rsidR="00BB7ED6" w:rsidRPr="004D451D">
        <w:rPr>
          <w:rFonts w:ascii="Arial" w:hAnsi="Arial" w:cs="Arial" w:hint="eastAsia"/>
          <w:sz w:val="28"/>
          <w:szCs w:val="28"/>
        </w:rPr>
        <w:t>）</w:t>
      </w:r>
    </w:p>
    <w:p w:rsidR="00E03BBD" w:rsidRPr="004D451D" w:rsidRDefault="00E03BBD" w:rsidP="002706B9">
      <w:pPr>
        <w:pStyle w:val="ad"/>
        <w:numPr>
          <w:ilvl w:val="1"/>
          <w:numId w:val="6"/>
        </w:numPr>
        <w:spacing w:line="480" w:lineRule="exact"/>
        <w:ind w:firstLine="240"/>
        <w:jc w:val="both"/>
        <w:rPr>
          <w:rFonts w:ascii="Arial" w:hAnsi="Arial" w:cs="Arial"/>
          <w:sz w:val="28"/>
          <w:szCs w:val="28"/>
        </w:rPr>
      </w:pPr>
      <w:r w:rsidRPr="004D451D">
        <w:rPr>
          <w:rFonts w:ascii="Arial" w:hAnsi="Arial" w:cs="Arial"/>
          <w:sz w:val="28"/>
          <w:szCs w:val="28"/>
        </w:rPr>
        <w:t>法定暴險額與財務報表帳面價值主要差異表</w:t>
      </w:r>
      <w:r w:rsidR="00BB7ED6" w:rsidRPr="004D451D">
        <w:rPr>
          <w:rFonts w:ascii="Arial" w:hAnsi="Arial" w:cs="Arial" w:hint="eastAsia"/>
          <w:sz w:val="28"/>
          <w:szCs w:val="28"/>
        </w:rPr>
        <w:t>。（</w:t>
      </w:r>
      <w:r w:rsidRPr="004D451D">
        <w:rPr>
          <w:rFonts w:ascii="Arial" w:hAnsi="Arial" w:cs="Arial"/>
          <w:sz w:val="28"/>
          <w:szCs w:val="28"/>
        </w:rPr>
        <w:t>附表十</w:t>
      </w:r>
      <w:r w:rsidR="00E5183D" w:rsidRPr="004D451D">
        <w:rPr>
          <w:rFonts w:ascii="Arial" w:hAnsi="Arial" w:cs="Arial" w:hint="eastAsia"/>
          <w:sz w:val="28"/>
          <w:szCs w:val="28"/>
        </w:rPr>
        <w:t>一</w:t>
      </w:r>
      <w:r w:rsidR="00BB7ED6" w:rsidRPr="004D451D">
        <w:rPr>
          <w:rFonts w:ascii="Arial" w:hAnsi="Arial" w:cs="Arial" w:hint="eastAsia"/>
          <w:sz w:val="28"/>
          <w:szCs w:val="28"/>
        </w:rPr>
        <w:t>）</w:t>
      </w:r>
    </w:p>
    <w:p w:rsidR="00E03BBD" w:rsidRPr="004D451D" w:rsidRDefault="00E03BBD" w:rsidP="002706B9">
      <w:pPr>
        <w:pStyle w:val="ad"/>
        <w:numPr>
          <w:ilvl w:val="1"/>
          <w:numId w:val="6"/>
        </w:numPr>
        <w:spacing w:line="480" w:lineRule="exact"/>
        <w:ind w:firstLine="240"/>
        <w:jc w:val="both"/>
        <w:rPr>
          <w:rFonts w:ascii="Arial" w:hAnsi="Arial" w:cs="Arial"/>
          <w:sz w:val="28"/>
          <w:szCs w:val="28"/>
        </w:rPr>
      </w:pPr>
      <w:r w:rsidRPr="004D451D">
        <w:rPr>
          <w:rFonts w:ascii="Arial" w:hAnsi="Arial" w:cs="Arial"/>
          <w:sz w:val="28"/>
          <w:szCs w:val="28"/>
        </w:rPr>
        <w:t>會計與法定暴險額間之差異說明</w:t>
      </w:r>
      <w:r w:rsidR="00BB7ED6" w:rsidRPr="004D451D">
        <w:rPr>
          <w:rFonts w:ascii="Arial" w:hAnsi="Arial" w:cs="Arial" w:hint="eastAsia"/>
          <w:sz w:val="28"/>
          <w:szCs w:val="28"/>
        </w:rPr>
        <w:t>。（</w:t>
      </w:r>
      <w:r w:rsidRPr="004D451D">
        <w:rPr>
          <w:rFonts w:ascii="Arial" w:hAnsi="Arial" w:cs="Arial"/>
          <w:sz w:val="28"/>
          <w:szCs w:val="28"/>
        </w:rPr>
        <w:t>附表十</w:t>
      </w:r>
      <w:r w:rsidR="00E5183D" w:rsidRPr="004D451D">
        <w:rPr>
          <w:rFonts w:ascii="Arial" w:hAnsi="Arial" w:cs="Arial" w:hint="eastAsia"/>
          <w:sz w:val="28"/>
          <w:szCs w:val="28"/>
        </w:rPr>
        <w:t>二</w:t>
      </w:r>
      <w:r w:rsidR="00BB7ED6" w:rsidRPr="004D451D">
        <w:rPr>
          <w:rFonts w:ascii="Arial" w:hAnsi="Arial" w:cs="Arial" w:hint="eastAsia"/>
          <w:sz w:val="28"/>
          <w:szCs w:val="28"/>
        </w:rPr>
        <w:t>）</w:t>
      </w:r>
    </w:p>
    <w:p w:rsidR="00E03BBD" w:rsidRPr="004D451D" w:rsidRDefault="00E03BBD" w:rsidP="002706B9">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信用風險：</w:t>
      </w:r>
    </w:p>
    <w:p w:rsidR="00A72432" w:rsidRPr="004D451D" w:rsidRDefault="00A72432"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sz w:val="28"/>
          <w:szCs w:val="28"/>
        </w:rPr>
        <w:t>信用風險一般性資訊</w:t>
      </w:r>
      <w:r w:rsidR="00E03BBD" w:rsidRPr="004D451D">
        <w:rPr>
          <w:rFonts w:ascii="Arial" w:hAnsi="Arial" w:cs="Arial"/>
          <w:sz w:val="28"/>
          <w:szCs w:val="28"/>
        </w:rPr>
        <w:t>。（附表</w:t>
      </w:r>
      <w:r w:rsidRPr="004D451D">
        <w:rPr>
          <w:rFonts w:ascii="Arial" w:hAnsi="Arial" w:cs="Arial"/>
          <w:sz w:val="28"/>
          <w:szCs w:val="28"/>
        </w:rPr>
        <w:t>十</w:t>
      </w:r>
      <w:r w:rsidR="00E5183D" w:rsidRPr="004D451D">
        <w:rPr>
          <w:rFonts w:ascii="Arial" w:hAnsi="Arial" w:cs="Arial" w:hint="eastAsia"/>
          <w:sz w:val="28"/>
          <w:szCs w:val="28"/>
        </w:rPr>
        <w:t>三</w:t>
      </w:r>
      <w:r w:rsidR="00E03BBD" w:rsidRPr="004D451D">
        <w:rPr>
          <w:rFonts w:ascii="Arial" w:hAnsi="Arial" w:cs="Arial"/>
          <w:sz w:val="28"/>
          <w:szCs w:val="28"/>
        </w:rPr>
        <w:t>）</w:t>
      </w:r>
    </w:p>
    <w:p w:rsidR="00E03BBD" w:rsidRPr="004D451D" w:rsidRDefault="00E03BBD"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sz w:val="28"/>
          <w:szCs w:val="28"/>
        </w:rPr>
        <w:t>信用風險定量資訊。（</w:t>
      </w:r>
      <w:r w:rsidR="007A67AB" w:rsidRPr="004D451D">
        <w:rPr>
          <w:rFonts w:ascii="Arial" w:hAnsi="Arial" w:cs="Arial" w:hint="eastAsia"/>
          <w:sz w:val="28"/>
          <w:szCs w:val="28"/>
        </w:rPr>
        <w:t>附表十</w:t>
      </w:r>
      <w:r w:rsidR="00E5183D" w:rsidRPr="004D451D">
        <w:rPr>
          <w:rFonts w:ascii="Arial" w:hAnsi="Arial" w:cs="Arial" w:hint="eastAsia"/>
          <w:sz w:val="28"/>
          <w:szCs w:val="28"/>
        </w:rPr>
        <w:t>四</w:t>
      </w:r>
      <w:r w:rsidR="00E624EA" w:rsidRPr="004D451D">
        <w:rPr>
          <w:rFonts w:ascii="Arial" w:hAnsi="Arial" w:cs="Arial" w:hint="eastAsia"/>
          <w:sz w:val="28"/>
          <w:szCs w:val="28"/>
        </w:rPr>
        <w:t>至附表十</w:t>
      </w:r>
      <w:r w:rsidR="00E5183D" w:rsidRPr="004D451D">
        <w:rPr>
          <w:rFonts w:ascii="Arial" w:hAnsi="Arial" w:cs="Arial" w:hint="eastAsia"/>
          <w:sz w:val="28"/>
          <w:szCs w:val="28"/>
        </w:rPr>
        <w:t>七</w:t>
      </w:r>
      <w:r w:rsidRPr="004D451D">
        <w:rPr>
          <w:rFonts w:ascii="Arial" w:hAnsi="Arial" w:cs="Arial"/>
          <w:sz w:val="28"/>
          <w:szCs w:val="28"/>
        </w:rPr>
        <w:t>）</w:t>
      </w:r>
    </w:p>
    <w:p w:rsidR="00E624EA" w:rsidRPr="004D451D" w:rsidRDefault="00E624EA"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sz w:val="28"/>
          <w:szCs w:val="28"/>
        </w:rPr>
        <w:t>信用風險標準法定</w:t>
      </w:r>
      <w:r w:rsidRPr="004D451D">
        <w:rPr>
          <w:rFonts w:ascii="Arial" w:hAnsi="Arial" w:cs="Arial" w:hint="eastAsia"/>
          <w:sz w:val="28"/>
          <w:szCs w:val="28"/>
        </w:rPr>
        <w:t>性</w:t>
      </w:r>
      <w:r w:rsidRPr="004D451D">
        <w:rPr>
          <w:rFonts w:ascii="Arial" w:hAnsi="Arial" w:cs="Arial"/>
          <w:sz w:val="28"/>
          <w:szCs w:val="28"/>
        </w:rPr>
        <w:t>資訊。（附表十</w:t>
      </w:r>
      <w:r w:rsidR="00E5183D" w:rsidRPr="004D451D">
        <w:rPr>
          <w:rFonts w:ascii="Arial" w:hAnsi="Arial" w:cs="Arial" w:hint="eastAsia"/>
          <w:sz w:val="28"/>
          <w:szCs w:val="28"/>
        </w:rPr>
        <w:t>八</w:t>
      </w:r>
      <w:r w:rsidRPr="004D451D">
        <w:rPr>
          <w:rFonts w:ascii="Arial" w:hAnsi="Arial" w:cs="Arial"/>
          <w:sz w:val="28"/>
          <w:szCs w:val="28"/>
        </w:rPr>
        <w:t>）</w:t>
      </w:r>
    </w:p>
    <w:p w:rsidR="00C54119" w:rsidRPr="004D451D"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sz w:val="28"/>
          <w:szCs w:val="28"/>
        </w:rPr>
        <w:t>信用風險</w:t>
      </w:r>
      <w:r w:rsidR="00C54119" w:rsidRPr="004D451D">
        <w:rPr>
          <w:rFonts w:ascii="Arial" w:hAnsi="Arial" w:cs="Arial"/>
          <w:sz w:val="28"/>
          <w:szCs w:val="28"/>
        </w:rPr>
        <w:t>標準法</w:t>
      </w:r>
      <w:r w:rsidRPr="004D451D">
        <w:rPr>
          <w:rFonts w:ascii="Arial" w:hAnsi="Arial" w:cs="Arial"/>
          <w:sz w:val="28"/>
          <w:szCs w:val="28"/>
        </w:rPr>
        <w:t>定量資訊</w:t>
      </w:r>
      <w:r w:rsidR="0091339A" w:rsidRPr="004D451D">
        <w:rPr>
          <w:rFonts w:ascii="Arial" w:hAnsi="Arial" w:cs="Arial"/>
          <w:sz w:val="28"/>
          <w:szCs w:val="28"/>
        </w:rPr>
        <w:t>。</w:t>
      </w:r>
      <w:r w:rsidR="00BB7ED6" w:rsidRPr="004D451D">
        <w:rPr>
          <w:rFonts w:ascii="Arial" w:hAnsi="Arial" w:cs="Arial" w:hint="eastAsia"/>
          <w:sz w:val="28"/>
          <w:szCs w:val="28"/>
        </w:rPr>
        <w:t>（</w:t>
      </w:r>
      <w:r w:rsidR="006D194F" w:rsidRPr="004D451D">
        <w:rPr>
          <w:rFonts w:ascii="Arial" w:hAnsi="Arial" w:cs="Arial" w:hint="eastAsia"/>
          <w:sz w:val="28"/>
          <w:szCs w:val="28"/>
        </w:rPr>
        <w:t>附表十</w:t>
      </w:r>
      <w:r w:rsidR="00E5183D" w:rsidRPr="004D451D">
        <w:rPr>
          <w:rFonts w:ascii="Arial" w:hAnsi="Arial" w:cs="Arial" w:hint="eastAsia"/>
          <w:sz w:val="28"/>
          <w:szCs w:val="28"/>
        </w:rPr>
        <w:t>九</w:t>
      </w:r>
      <w:r w:rsidR="00E237FD" w:rsidRPr="004D451D">
        <w:rPr>
          <w:rFonts w:ascii="Arial" w:hAnsi="Arial" w:cs="Arial" w:hint="eastAsia"/>
          <w:sz w:val="28"/>
          <w:szCs w:val="28"/>
        </w:rPr>
        <w:t>至</w:t>
      </w:r>
      <w:r w:rsidR="006D194F" w:rsidRPr="004D451D">
        <w:rPr>
          <w:rFonts w:ascii="Arial" w:hAnsi="Arial" w:cs="Arial"/>
          <w:sz w:val="28"/>
          <w:szCs w:val="28"/>
        </w:rPr>
        <w:t>附表</w:t>
      </w:r>
      <w:r w:rsidR="00E5183D" w:rsidRPr="004D451D">
        <w:rPr>
          <w:rFonts w:ascii="Arial" w:hAnsi="Arial" w:cs="Arial" w:hint="eastAsia"/>
          <w:sz w:val="28"/>
          <w:szCs w:val="28"/>
        </w:rPr>
        <w:t>二十</w:t>
      </w:r>
      <w:r w:rsidR="00BB7ED6" w:rsidRPr="004D451D">
        <w:rPr>
          <w:rFonts w:ascii="Arial" w:hAnsi="Arial" w:cs="Arial" w:hint="eastAsia"/>
          <w:sz w:val="28"/>
          <w:szCs w:val="28"/>
        </w:rPr>
        <w:t>）</w:t>
      </w:r>
    </w:p>
    <w:p w:rsidR="000F31B1" w:rsidRPr="004D451D"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sz w:val="28"/>
          <w:szCs w:val="28"/>
        </w:rPr>
        <w:t>內部評等模型之定性揭露。</w:t>
      </w:r>
      <w:r w:rsidR="00BB7ED6" w:rsidRPr="004D451D">
        <w:rPr>
          <w:rFonts w:ascii="Arial" w:hAnsi="Arial" w:cs="Arial" w:hint="eastAsia"/>
          <w:sz w:val="28"/>
          <w:szCs w:val="28"/>
        </w:rPr>
        <w:t>（</w:t>
      </w:r>
      <w:r w:rsidR="00B47ECF" w:rsidRPr="004D451D">
        <w:rPr>
          <w:rFonts w:ascii="Arial" w:hAnsi="Arial" w:cs="Arial"/>
          <w:sz w:val="28"/>
          <w:szCs w:val="28"/>
        </w:rPr>
        <w:t>附表</w:t>
      </w:r>
      <w:r w:rsidR="00E61D88" w:rsidRPr="004D451D">
        <w:rPr>
          <w:rFonts w:ascii="Arial" w:hAnsi="Arial" w:cs="Arial" w:hint="eastAsia"/>
          <w:sz w:val="28"/>
          <w:szCs w:val="28"/>
        </w:rPr>
        <w:t>二十</w:t>
      </w:r>
      <w:r w:rsidR="00E5183D" w:rsidRPr="004D451D">
        <w:rPr>
          <w:rFonts w:ascii="Arial" w:hAnsi="Arial" w:cs="Arial" w:hint="eastAsia"/>
          <w:sz w:val="28"/>
          <w:szCs w:val="28"/>
        </w:rPr>
        <w:t>一</w:t>
      </w:r>
      <w:r w:rsidR="00BB7ED6" w:rsidRPr="004D451D">
        <w:rPr>
          <w:rFonts w:ascii="Arial" w:hAnsi="Arial" w:cs="Arial" w:hint="eastAsia"/>
          <w:sz w:val="28"/>
          <w:szCs w:val="28"/>
        </w:rPr>
        <w:t>）</w:t>
      </w:r>
    </w:p>
    <w:p w:rsidR="00990231" w:rsidRPr="004D451D" w:rsidRDefault="00990231" w:rsidP="002706B9">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sz w:val="28"/>
          <w:szCs w:val="28"/>
        </w:rPr>
        <w:t>信用風險內部評等法定量資訊。</w:t>
      </w:r>
      <w:r w:rsidR="00444F22" w:rsidRPr="004D451D">
        <w:rPr>
          <w:rFonts w:ascii="Arial" w:hAnsi="Arial" w:cs="Arial" w:hint="eastAsia"/>
          <w:sz w:val="28"/>
          <w:szCs w:val="28"/>
        </w:rPr>
        <w:t>（</w:t>
      </w:r>
      <w:r w:rsidR="000873E0" w:rsidRPr="004D451D">
        <w:rPr>
          <w:rFonts w:ascii="Arial" w:hAnsi="Arial" w:cs="Arial" w:hint="eastAsia"/>
          <w:sz w:val="28"/>
          <w:szCs w:val="28"/>
        </w:rPr>
        <w:t>附表二十</w:t>
      </w:r>
      <w:r w:rsidR="00E5183D" w:rsidRPr="004D451D">
        <w:rPr>
          <w:rFonts w:ascii="Arial" w:hAnsi="Arial" w:cs="Arial" w:hint="eastAsia"/>
          <w:sz w:val="28"/>
          <w:szCs w:val="28"/>
        </w:rPr>
        <w:t>二</w:t>
      </w:r>
      <w:r w:rsidR="002C0079" w:rsidRPr="004D451D">
        <w:rPr>
          <w:rFonts w:ascii="Arial" w:hAnsi="Arial" w:cs="Arial" w:hint="eastAsia"/>
          <w:sz w:val="28"/>
          <w:szCs w:val="28"/>
        </w:rPr>
        <w:t>至附表二十</w:t>
      </w:r>
      <w:r w:rsidR="00E5183D" w:rsidRPr="004D451D">
        <w:rPr>
          <w:rFonts w:ascii="Arial" w:hAnsi="Arial" w:cs="Arial" w:hint="eastAsia"/>
          <w:sz w:val="28"/>
          <w:szCs w:val="28"/>
        </w:rPr>
        <w:t>六</w:t>
      </w:r>
      <w:r w:rsidR="00BB7ED6" w:rsidRPr="004D451D">
        <w:rPr>
          <w:rFonts w:ascii="Arial" w:hAnsi="Arial" w:cs="Arial" w:hint="eastAsia"/>
          <w:sz w:val="28"/>
          <w:szCs w:val="28"/>
        </w:rPr>
        <w:t>）</w:t>
      </w:r>
    </w:p>
    <w:p w:rsidR="00E61D88" w:rsidRPr="004D451D" w:rsidRDefault="00E61D88" w:rsidP="00E61D88">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hint="eastAsia"/>
          <w:sz w:val="28"/>
          <w:szCs w:val="28"/>
        </w:rPr>
        <w:t>交易對手信用</w:t>
      </w:r>
      <w:r w:rsidRPr="004D451D">
        <w:rPr>
          <w:rFonts w:ascii="Arial" w:hAnsi="Arial" w:cs="Arial"/>
          <w:sz w:val="28"/>
          <w:szCs w:val="28"/>
        </w:rPr>
        <w:t>風險定</w:t>
      </w:r>
      <w:r w:rsidRPr="004D451D">
        <w:rPr>
          <w:rFonts w:ascii="Arial" w:hAnsi="Arial" w:cs="Arial" w:hint="eastAsia"/>
          <w:sz w:val="28"/>
          <w:szCs w:val="28"/>
        </w:rPr>
        <w:t>性</w:t>
      </w:r>
      <w:r w:rsidRPr="004D451D">
        <w:rPr>
          <w:rFonts w:ascii="Arial" w:hAnsi="Arial" w:cs="Arial"/>
          <w:sz w:val="28"/>
          <w:szCs w:val="28"/>
        </w:rPr>
        <w:t>資訊。（附表</w:t>
      </w:r>
      <w:r w:rsidRPr="004D451D">
        <w:rPr>
          <w:rFonts w:ascii="Arial" w:hAnsi="Arial" w:cs="Arial" w:hint="eastAsia"/>
          <w:sz w:val="28"/>
          <w:szCs w:val="28"/>
        </w:rPr>
        <w:t>二十</w:t>
      </w:r>
      <w:r w:rsidR="00E5183D" w:rsidRPr="004D451D">
        <w:rPr>
          <w:rFonts w:ascii="Arial" w:hAnsi="Arial" w:cs="Arial" w:hint="eastAsia"/>
          <w:sz w:val="28"/>
          <w:szCs w:val="28"/>
        </w:rPr>
        <w:t>七</w:t>
      </w:r>
      <w:r w:rsidRPr="004D451D">
        <w:rPr>
          <w:rFonts w:ascii="Arial" w:hAnsi="Arial" w:cs="Arial"/>
          <w:sz w:val="28"/>
          <w:szCs w:val="28"/>
        </w:rPr>
        <w:t>）</w:t>
      </w:r>
    </w:p>
    <w:p w:rsidR="00E61D88" w:rsidRPr="004D451D" w:rsidRDefault="00CD12E6" w:rsidP="00CD12E6">
      <w:pPr>
        <w:pStyle w:val="ad"/>
        <w:numPr>
          <w:ilvl w:val="0"/>
          <w:numId w:val="5"/>
        </w:numPr>
        <w:tabs>
          <w:tab w:val="clear" w:pos="1500"/>
          <w:tab w:val="num" w:pos="1440"/>
        </w:tabs>
        <w:spacing w:line="480" w:lineRule="exact"/>
        <w:ind w:left="1440"/>
        <w:jc w:val="both"/>
        <w:rPr>
          <w:rFonts w:ascii="Arial" w:hAnsi="Arial" w:cs="Arial"/>
          <w:sz w:val="28"/>
          <w:szCs w:val="28"/>
        </w:rPr>
      </w:pPr>
      <w:r w:rsidRPr="004D451D">
        <w:rPr>
          <w:rFonts w:ascii="Arial" w:hAnsi="Arial" w:cs="Arial" w:hint="eastAsia"/>
          <w:sz w:val="28"/>
          <w:szCs w:val="28"/>
        </w:rPr>
        <w:t>交易對手信用</w:t>
      </w:r>
      <w:r w:rsidRPr="004D451D">
        <w:rPr>
          <w:rFonts w:ascii="Arial" w:hAnsi="Arial" w:cs="Arial"/>
          <w:sz w:val="28"/>
          <w:szCs w:val="28"/>
        </w:rPr>
        <w:t>風險定</w:t>
      </w:r>
      <w:r w:rsidRPr="004D451D">
        <w:rPr>
          <w:rFonts w:ascii="Arial" w:hAnsi="Arial" w:cs="Arial" w:hint="eastAsia"/>
          <w:sz w:val="28"/>
          <w:szCs w:val="28"/>
        </w:rPr>
        <w:t>量</w:t>
      </w:r>
      <w:r w:rsidRPr="004D451D">
        <w:rPr>
          <w:rFonts w:ascii="Arial" w:hAnsi="Arial" w:cs="Arial"/>
          <w:sz w:val="28"/>
          <w:szCs w:val="28"/>
        </w:rPr>
        <w:t>資訊。（附表</w:t>
      </w:r>
      <w:r w:rsidRPr="004D451D">
        <w:rPr>
          <w:rFonts w:ascii="Arial" w:hAnsi="Arial" w:cs="Arial" w:hint="eastAsia"/>
          <w:sz w:val="28"/>
          <w:szCs w:val="28"/>
        </w:rPr>
        <w:t>二十</w:t>
      </w:r>
      <w:r w:rsidR="00E5183D" w:rsidRPr="004D451D">
        <w:rPr>
          <w:rFonts w:ascii="Arial" w:hAnsi="Arial" w:cs="Arial" w:hint="eastAsia"/>
          <w:sz w:val="28"/>
          <w:szCs w:val="28"/>
        </w:rPr>
        <w:t>八</w:t>
      </w:r>
      <w:r w:rsidRPr="004D451D">
        <w:rPr>
          <w:rFonts w:ascii="Arial" w:hAnsi="Arial" w:cs="Arial" w:hint="eastAsia"/>
          <w:sz w:val="28"/>
          <w:szCs w:val="28"/>
        </w:rPr>
        <w:t>至附表三十</w:t>
      </w:r>
      <w:r w:rsidR="00E5183D" w:rsidRPr="004D451D">
        <w:rPr>
          <w:rFonts w:ascii="Arial" w:hAnsi="Arial" w:cs="Arial" w:hint="eastAsia"/>
          <w:sz w:val="28"/>
          <w:szCs w:val="28"/>
        </w:rPr>
        <w:t>五</w:t>
      </w:r>
      <w:r w:rsidRPr="004D451D">
        <w:rPr>
          <w:rFonts w:ascii="Arial" w:hAnsi="Arial" w:cs="Arial"/>
          <w:sz w:val="28"/>
          <w:szCs w:val="28"/>
        </w:rPr>
        <w:t>）</w:t>
      </w:r>
    </w:p>
    <w:p w:rsidR="00E03BBD" w:rsidRPr="004D451D" w:rsidRDefault="00E03BBD" w:rsidP="001828A0">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作業風險：</w:t>
      </w:r>
    </w:p>
    <w:p w:rsidR="00E03BBD" w:rsidRPr="004D451D" w:rsidRDefault="00E03BBD" w:rsidP="001828A0">
      <w:pPr>
        <w:pStyle w:val="ad"/>
        <w:numPr>
          <w:ilvl w:val="0"/>
          <w:numId w:val="3"/>
        </w:numPr>
        <w:tabs>
          <w:tab w:val="clear" w:pos="720"/>
          <w:tab w:val="num" w:pos="1440"/>
        </w:tabs>
        <w:spacing w:line="480" w:lineRule="exact"/>
        <w:ind w:left="1434" w:hanging="357"/>
        <w:jc w:val="both"/>
        <w:rPr>
          <w:rFonts w:ascii="Arial" w:hAnsi="Arial" w:cs="Arial"/>
          <w:sz w:val="28"/>
          <w:szCs w:val="28"/>
        </w:rPr>
      </w:pPr>
      <w:r w:rsidRPr="004D451D">
        <w:rPr>
          <w:rFonts w:ascii="Arial" w:hAnsi="Arial" w:cs="Arial"/>
          <w:sz w:val="28"/>
          <w:szCs w:val="28"/>
        </w:rPr>
        <w:t>作業風險管理制度。（附表</w:t>
      </w:r>
      <w:r w:rsidR="00C842BF" w:rsidRPr="004D451D">
        <w:rPr>
          <w:rFonts w:ascii="Arial" w:hAnsi="Arial" w:cs="Arial" w:hint="eastAsia"/>
          <w:sz w:val="28"/>
          <w:szCs w:val="28"/>
        </w:rPr>
        <w:t>三十</w:t>
      </w:r>
      <w:r w:rsidR="00E5183D" w:rsidRPr="004D451D">
        <w:rPr>
          <w:rFonts w:ascii="Arial" w:hAnsi="Arial" w:cs="Arial" w:hint="eastAsia"/>
          <w:sz w:val="28"/>
          <w:szCs w:val="28"/>
        </w:rPr>
        <w:t>六</w:t>
      </w:r>
      <w:r w:rsidRPr="004D451D">
        <w:rPr>
          <w:rFonts w:ascii="Arial" w:hAnsi="Arial" w:cs="Arial"/>
          <w:sz w:val="28"/>
          <w:szCs w:val="28"/>
        </w:rPr>
        <w:t>）</w:t>
      </w:r>
    </w:p>
    <w:p w:rsidR="00E03BBD" w:rsidRPr="004D451D" w:rsidRDefault="00E03BBD" w:rsidP="002706B9">
      <w:pPr>
        <w:pStyle w:val="ad"/>
        <w:numPr>
          <w:ilvl w:val="0"/>
          <w:numId w:val="3"/>
        </w:numPr>
        <w:tabs>
          <w:tab w:val="clear" w:pos="720"/>
          <w:tab w:val="num" w:pos="1440"/>
        </w:tabs>
        <w:spacing w:line="480" w:lineRule="exact"/>
        <w:ind w:left="1440"/>
        <w:jc w:val="both"/>
        <w:rPr>
          <w:rFonts w:ascii="Arial" w:hAnsi="Arial" w:cs="Arial"/>
          <w:sz w:val="28"/>
          <w:szCs w:val="28"/>
        </w:rPr>
      </w:pPr>
      <w:r w:rsidRPr="004D451D">
        <w:rPr>
          <w:rFonts w:ascii="Arial" w:hAnsi="Arial" w:cs="Arial"/>
          <w:sz w:val="28"/>
          <w:szCs w:val="28"/>
        </w:rPr>
        <w:t>作業風險定量資訊。（附表</w:t>
      </w:r>
      <w:r w:rsidR="00803E2C" w:rsidRPr="004D451D">
        <w:rPr>
          <w:rFonts w:ascii="Arial" w:hAnsi="Arial" w:cs="Arial" w:hint="eastAsia"/>
          <w:sz w:val="28"/>
          <w:szCs w:val="28"/>
        </w:rPr>
        <w:t>三十</w:t>
      </w:r>
      <w:r w:rsidR="00E5183D" w:rsidRPr="004D451D">
        <w:rPr>
          <w:rFonts w:ascii="Arial" w:hAnsi="Arial" w:cs="Arial" w:hint="eastAsia"/>
          <w:sz w:val="28"/>
          <w:szCs w:val="28"/>
        </w:rPr>
        <w:t>七</w:t>
      </w:r>
      <w:r w:rsidRPr="004D451D">
        <w:rPr>
          <w:rFonts w:ascii="Arial" w:hAnsi="Arial" w:cs="Arial"/>
          <w:sz w:val="28"/>
          <w:szCs w:val="28"/>
        </w:rPr>
        <w:t>）</w:t>
      </w:r>
    </w:p>
    <w:p w:rsidR="00E03BBD" w:rsidRPr="004D451D" w:rsidRDefault="00E03BBD" w:rsidP="001828A0">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市場風險：</w:t>
      </w:r>
    </w:p>
    <w:p w:rsidR="00E03BBD" w:rsidRPr="004D451D" w:rsidRDefault="002A7302" w:rsidP="002706B9">
      <w:pPr>
        <w:pStyle w:val="ad"/>
        <w:numPr>
          <w:ilvl w:val="0"/>
          <w:numId w:val="2"/>
        </w:numPr>
        <w:tabs>
          <w:tab w:val="clear" w:pos="720"/>
          <w:tab w:val="num" w:pos="1440"/>
        </w:tabs>
        <w:spacing w:line="480" w:lineRule="exact"/>
        <w:ind w:left="1440"/>
        <w:jc w:val="both"/>
        <w:rPr>
          <w:rFonts w:ascii="Arial" w:hAnsi="Arial" w:cs="Arial"/>
          <w:sz w:val="28"/>
          <w:szCs w:val="28"/>
        </w:rPr>
      </w:pPr>
      <w:r w:rsidRPr="004D451D">
        <w:rPr>
          <w:rFonts w:ascii="Arial" w:hAnsi="Arial" w:cs="Arial"/>
          <w:sz w:val="28"/>
          <w:szCs w:val="28"/>
        </w:rPr>
        <w:lastRenderedPageBreak/>
        <w:t>市場風險</w:t>
      </w:r>
      <w:r w:rsidRPr="004D451D">
        <w:rPr>
          <w:rFonts w:ascii="Arial" w:hAnsi="Arial" w:cs="Arial" w:hint="eastAsia"/>
          <w:sz w:val="28"/>
          <w:szCs w:val="28"/>
        </w:rPr>
        <w:t>定性資訊</w:t>
      </w:r>
      <w:r w:rsidR="00E03BBD" w:rsidRPr="004D451D">
        <w:rPr>
          <w:rFonts w:ascii="Arial" w:hAnsi="Arial" w:cs="Arial"/>
          <w:sz w:val="28"/>
          <w:szCs w:val="28"/>
        </w:rPr>
        <w:t>。（附表</w:t>
      </w:r>
      <w:r w:rsidRPr="004D451D">
        <w:rPr>
          <w:rFonts w:ascii="Arial" w:hAnsi="Arial" w:cs="Arial" w:hint="eastAsia"/>
          <w:sz w:val="28"/>
          <w:szCs w:val="28"/>
        </w:rPr>
        <w:t>三十</w:t>
      </w:r>
      <w:r w:rsidR="00E5183D" w:rsidRPr="004D451D">
        <w:rPr>
          <w:rFonts w:ascii="Arial" w:hAnsi="Arial" w:cs="Arial" w:hint="eastAsia"/>
          <w:sz w:val="28"/>
          <w:szCs w:val="28"/>
        </w:rPr>
        <w:t>八</w:t>
      </w:r>
      <w:r w:rsidRPr="004D451D">
        <w:rPr>
          <w:rFonts w:ascii="Arial" w:hAnsi="Arial" w:cs="Arial" w:hint="eastAsia"/>
          <w:sz w:val="28"/>
          <w:szCs w:val="28"/>
        </w:rPr>
        <w:t>至附表三十</w:t>
      </w:r>
      <w:r w:rsidR="00E5183D" w:rsidRPr="004D451D">
        <w:rPr>
          <w:rFonts w:ascii="Arial" w:hAnsi="Arial" w:cs="Arial" w:hint="eastAsia"/>
          <w:sz w:val="28"/>
          <w:szCs w:val="28"/>
        </w:rPr>
        <w:t>九</w:t>
      </w:r>
      <w:r w:rsidR="00E03BBD" w:rsidRPr="004D451D">
        <w:rPr>
          <w:rFonts w:ascii="Arial" w:hAnsi="Arial" w:cs="Arial"/>
          <w:sz w:val="28"/>
          <w:szCs w:val="28"/>
        </w:rPr>
        <w:t>）</w:t>
      </w:r>
    </w:p>
    <w:p w:rsidR="00E03BBD" w:rsidRPr="004D451D" w:rsidRDefault="00E03BBD" w:rsidP="002706B9">
      <w:pPr>
        <w:pStyle w:val="ad"/>
        <w:numPr>
          <w:ilvl w:val="0"/>
          <w:numId w:val="2"/>
        </w:numPr>
        <w:tabs>
          <w:tab w:val="clear" w:pos="720"/>
          <w:tab w:val="num" w:pos="1440"/>
        </w:tabs>
        <w:spacing w:line="480" w:lineRule="exact"/>
        <w:ind w:left="1440"/>
        <w:jc w:val="both"/>
        <w:rPr>
          <w:rFonts w:ascii="Arial" w:hAnsi="Arial" w:cs="Arial"/>
          <w:sz w:val="28"/>
          <w:szCs w:val="28"/>
        </w:rPr>
      </w:pPr>
      <w:r w:rsidRPr="004D451D">
        <w:rPr>
          <w:rFonts w:ascii="Arial" w:hAnsi="Arial" w:cs="Arial"/>
          <w:sz w:val="28"/>
          <w:szCs w:val="28"/>
        </w:rPr>
        <w:t>市場風險定量資訊。（附表</w:t>
      </w:r>
      <w:r w:rsidR="00E5183D" w:rsidRPr="004D451D">
        <w:rPr>
          <w:rFonts w:ascii="Arial" w:hAnsi="Arial" w:cs="Arial" w:hint="eastAsia"/>
          <w:sz w:val="28"/>
          <w:szCs w:val="28"/>
        </w:rPr>
        <w:t>四十</w:t>
      </w:r>
      <w:r w:rsidRPr="004D451D">
        <w:rPr>
          <w:rFonts w:ascii="Arial" w:hAnsi="Arial" w:cs="Arial"/>
          <w:sz w:val="28"/>
          <w:szCs w:val="28"/>
        </w:rPr>
        <w:t>至附表</w:t>
      </w:r>
      <w:r w:rsidR="002A7302" w:rsidRPr="004D451D">
        <w:rPr>
          <w:rFonts w:ascii="Arial" w:hAnsi="Arial" w:cs="Arial" w:hint="eastAsia"/>
          <w:sz w:val="28"/>
          <w:szCs w:val="28"/>
        </w:rPr>
        <w:t>四十</w:t>
      </w:r>
      <w:r w:rsidR="00E5183D" w:rsidRPr="004D451D">
        <w:rPr>
          <w:rFonts w:ascii="Arial" w:hAnsi="Arial" w:cs="Arial" w:hint="eastAsia"/>
          <w:sz w:val="28"/>
          <w:szCs w:val="28"/>
        </w:rPr>
        <w:t>三</w:t>
      </w:r>
      <w:r w:rsidRPr="004D451D">
        <w:rPr>
          <w:rFonts w:ascii="Arial" w:hAnsi="Arial" w:cs="Arial"/>
          <w:sz w:val="28"/>
          <w:szCs w:val="28"/>
        </w:rPr>
        <w:t>）</w:t>
      </w:r>
    </w:p>
    <w:p w:rsidR="00E03BBD" w:rsidRPr="004D451D" w:rsidRDefault="00E03BBD" w:rsidP="001828A0">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證券化：</w:t>
      </w:r>
    </w:p>
    <w:p w:rsidR="00E03BBD" w:rsidRPr="004D451D" w:rsidRDefault="001076A6" w:rsidP="001828A0">
      <w:pPr>
        <w:pStyle w:val="ad"/>
        <w:numPr>
          <w:ilvl w:val="0"/>
          <w:numId w:val="4"/>
        </w:numPr>
        <w:tabs>
          <w:tab w:val="clear" w:pos="720"/>
          <w:tab w:val="left" w:pos="1440"/>
        </w:tabs>
        <w:spacing w:line="480" w:lineRule="exact"/>
        <w:ind w:left="1434" w:hanging="357"/>
        <w:jc w:val="both"/>
        <w:rPr>
          <w:rFonts w:ascii="Arial" w:hAnsi="Arial" w:cs="Arial"/>
          <w:sz w:val="28"/>
          <w:szCs w:val="28"/>
        </w:rPr>
      </w:pPr>
      <w:r w:rsidRPr="004D451D">
        <w:rPr>
          <w:rFonts w:ascii="Arial" w:hAnsi="Arial" w:cs="Arial"/>
          <w:sz w:val="28"/>
          <w:szCs w:val="28"/>
        </w:rPr>
        <w:t>證券化</w:t>
      </w:r>
      <w:r w:rsidRPr="004D451D">
        <w:rPr>
          <w:rFonts w:ascii="Arial" w:hAnsi="Arial" w:cs="Arial" w:hint="eastAsia"/>
          <w:sz w:val="28"/>
          <w:szCs w:val="28"/>
        </w:rPr>
        <w:t>定性資訊</w:t>
      </w:r>
      <w:r w:rsidR="00E03BBD" w:rsidRPr="004D451D">
        <w:rPr>
          <w:rFonts w:ascii="Arial" w:hAnsi="Arial" w:cs="Arial"/>
          <w:sz w:val="28"/>
          <w:szCs w:val="28"/>
        </w:rPr>
        <w:t>。（附表</w:t>
      </w:r>
      <w:r w:rsidRPr="004D451D">
        <w:rPr>
          <w:rFonts w:ascii="Arial" w:hAnsi="Arial" w:cs="Arial" w:hint="eastAsia"/>
          <w:sz w:val="28"/>
          <w:szCs w:val="28"/>
        </w:rPr>
        <w:t>四十</w:t>
      </w:r>
      <w:r w:rsidR="00E5183D" w:rsidRPr="004D451D">
        <w:rPr>
          <w:rFonts w:ascii="Arial" w:hAnsi="Arial" w:cs="Arial" w:hint="eastAsia"/>
          <w:sz w:val="28"/>
          <w:szCs w:val="28"/>
        </w:rPr>
        <w:t>四</w:t>
      </w:r>
      <w:r w:rsidR="00E03BBD" w:rsidRPr="004D451D">
        <w:rPr>
          <w:rFonts w:ascii="Arial" w:hAnsi="Arial" w:cs="Arial"/>
          <w:sz w:val="28"/>
          <w:szCs w:val="28"/>
        </w:rPr>
        <w:t>）</w:t>
      </w:r>
    </w:p>
    <w:p w:rsidR="00E03BBD" w:rsidRPr="004D451D" w:rsidRDefault="00E03BBD" w:rsidP="001828A0">
      <w:pPr>
        <w:pStyle w:val="ad"/>
        <w:numPr>
          <w:ilvl w:val="0"/>
          <w:numId w:val="4"/>
        </w:numPr>
        <w:tabs>
          <w:tab w:val="clear" w:pos="720"/>
          <w:tab w:val="left" w:pos="1440"/>
        </w:tabs>
        <w:spacing w:line="480" w:lineRule="exact"/>
        <w:ind w:left="1434" w:hanging="357"/>
        <w:jc w:val="both"/>
        <w:rPr>
          <w:rFonts w:ascii="Arial" w:hAnsi="Arial" w:cs="Arial"/>
          <w:sz w:val="28"/>
          <w:szCs w:val="28"/>
        </w:rPr>
      </w:pPr>
      <w:r w:rsidRPr="004D451D">
        <w:rPr>
          <w:rFonts w:ascii="Arial" w:hAnsi="Arial" w:cs="Arial"/>
          <w:sz w:val="28"/>
          <w:szCs w:val="28"/>
        </w:rPr>
        <w:t>證券化定量資訊。（附表</w:t>
      </w:r>
      <w:r w:rsidR="001076A6" w:rsidRPr="004D451D">
        <w:rPr>
          <w:rFonts w:ascii="Arial" w:hAnsi="Arial" w:cs="Arial" w:hint="eastAsia"/>
          <w:sz w:val="28"/>
          <w:szCs w:val="28"/>
        </w:rPr>
        <w:t>四十</w:t>
      </w:r>
      <w:r w:rsidR="00E5183D" w:rsidRPr="004D451D">
        <w:rPr>
          <w:rFonts w:ascii="Arial" w:hAnsi="Arial" w:cs="Arial" w:hint="eastAsia"/>
          <w:sz w:val="28"/>
          <w:szCs w:val="28"/>
        </w:rPr>
        <w:t>五</w:t>
      </w:r>
      <w:r w:rsidR="001076A6" w:rsidRPr="004D451D">
        <w:rPr>
          <w:rFonts w:ascii="Arial" w:hAnsi="Arial" w:cs="Arial" w:hint="eastAsia"/>
          <w:sz w:val="28"/>
          <w:szCs w:val="28"/>
        </w:rPr>
        <w:t>至附表四十</w:t>
      </w:r>
      <w:r w:rsidR="00E5183D" w:rsidRPr="004D451D">
        <w:rPr>
          <w:rFonts w:ascii="Arial" w:hAnsi="Arial" w:cs="Arial" w:hint="eastAsia"/>
          <w:sz w:val="28"/>
          <w:szCs w:val="28"/>
        </w:rPr>
        <w:t>八</w:t>
      </w:r>
      <w:r w:rsidRPr="004D451D">
        <w:rPr>
          <w:rFonts w:ascii="Arial" w:hAnsi="Arial" w:cs="Arial"/>
          <w:sz w:val="28"/>
          <w:szCs w:val="28"/>
        </w:rPr>
        <w:t>）</w:t>
      </w:r>
    </w:p>
    <w:p w:rsidR="00E03BBD" w:rsidRPr="004D451D" w:rsidRDefault="00E03BBD" w:rsidP="001828A0">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銀行簿利率風險管理制度。（附表</w:t>
      </w:r>
      <w:r w:rsidR="001076A6" w:rsidRPr="004D451D">
        <w:rPr>
          <w:rFonts w:ascii="Arial" w:hAnsi="Arial" w:cs="Arial" w:hint="eastAsia"/>
          <w:sz w:val="28"/>
          <w:szCs w:val="28"/>
        </w:rPr>
        <w:t>四十</w:t>
      </w:r>
      <w:r w:rsidR="00E5183D" w:rsidRPr="004D451D">
        <w:rPr>
          <w:rFonts w:ascii="Arial" w:hAnsi="Arial" w:cs="Arial" w:hint="eastAsia"/>
          <w:sz w:val="28"/>
          <w:szCs w:val="28"/>
        </w:rPr>
        <w:t>九</w:t>
      </w:r>
      <w:r w:rsidRPr="004D451D">
        <w:rPr>
          <w:rFonts w:ascii="Arial" w:hAnsi="Arial" w:cs="Arial"/>
          <w:sz w:val="28"/>
          <w:szCs w:val="28"/>
        </w:rPr>
        <w:t>）</w:t>
      </w:r>
    </w:p>
    <w:p w:rsidR="00E03BBD" w:rsidRPr="004D451D" w:rsidRDefault="00E03BBD" w:rsidP="001828A0">
      <w:pPr>
        <w:pStyle w:val="ad"/>
        <w:numPr>
          <w:ilvl w:val="0"/>
          <w:numId w:val="6"/>
        </w:numPr>
        <w:spacing w:line="480" w:lineRule="exact"/>
        <w:jc w:val="both"/>
        <w:rPr>
          <w:rFonts w:ascii="Arial" w:hAnsi="Arial" w:cs="Arial"/>
          <w:sz w:val="28"/>
          <w:szCs w:val="28"/>
        </w:rPr>
      </w:pPr>
      <w:r w:rsidRPr="004D451D">
        <w:rPr>
          <w:rFonts w:ascii="Arial" w:hAnsi="Arial" w:cs="Arial"/>
          <w:sz w:val="28"/>
          <w:szCs w:val="28"/>
        </w:rPr>
        <w:t>流動性風險：</w:t>
      </w:r>
    </w:p>
    <w:p w:rsidR="00E03BBD" w:rsidRPr="004D451D" w:rsidRDefault="00E03BBD" w:rsidP="002706B9">
      <w:pPr>
        <w:pStyle w:val="ad"/>
        <w:numPr>
          <w:ilvl w:val="1"/>
          <w:numId w:val="1"/>
        </w:numPr>
        <w:tabs>
          <w:tab w:val="clear" w:pos="840"/>
        </w:tabs>
        <w:spacing w:line="480" w:lineRule="exact"/>
        <w:ind w:left="1442" w:hanging="388"/>
        <w:jc w:val="both"/>
        <w:rPr>
          <w:rFonts w:ascii="Arial" w:hAnsi="Arial" w:cs="Arial"/>
          <w:sz w:val="28"/>
          <w:szCs w:val="28"/>
        </w:rPr>
      </w:pPr>
      <w:r w:rsidRPr="004D451D">
        <w:rPr>
          <w:rFonts w:ascii="Arial" w:hAnsi="Arial" w:cs="Arial"/>
          <w:sz w:val="28"/>
          <w:szCs w:val="28"/>
        </w:rPr>
        <w:t>流動性風險管理制度。</w:t>
      </w:r>
      <w:r w:rsidR="00BB7ED6" w:rsidRPr="004D451D">
        <w:rPr>
          <w:rFonts w:ascii="Arial" w:hAnsi="Arial" w:cs="Arial" w:hint="eastAsia"/>
          <w:sz w:val="28"/>
          <w:szCs w:val="28"/>
        </w:rPr>
        <w:t>（</w:t>
      </w:r>
      <w:r w:rsidRPr="004D451D">
        <w:rPr>
          <w:rFonts w:ascii="Arial" w:hAnsi="Arial" w:cs="Arial"/>
          <w:sz w:val="28"/>
          <w:szCs w:val="28"/>
        </w:rPr>
        <w:t>附表</w:t>
      </w:r>
      <w:r w:rsidR="00E5183D" w:rsidRPr="004D451D">
        <w:rPr>
          <w:rFonts w:ascii="Arial" w:hAnsi="Arial" w:cs="Arial" w:hint="eastAsia"/>
          <w:sz w:val="28"/>
          <w:szCs w:val="28"/>
        </w:rPr>
        <w:t>五十</w:t>
      </w:r>
      <w:r w:rsidR="00BB7ED6" w:rsidRPr="004D451D">
        <w:rPr>
          <w:rFonts w:ascii="Arial" w:hAnsi="Arial" w:cs="Arial" w:hint="eastAsia"/>
          <w:sz w:val="28"/>
          <w:szCs w:val="28"/>
        </w:rPr>
        <w:t>）</w:t>
      </w:r>
    </w:p>
    <w:p w:rsidR="00E03BBD" w:rsidRPr="004D451D" w:rsidRDefault="00E03BBD" w:rsidP="002706B9">
      <w:pPr>
        <w:pStyle w:val="ad"/>
        <w:numPr>
          <w:ilvl w:val="1"/>
          <w:numId w:val="1"/>
        </w:numPr>
        <w:tabs>
          <w:tab w:val="clear" w:pos="840"/>
        </w:tabs>
        <w:spacing w:line="480" w:lineRule="exact"/>
        <w:ind w:left="1442" w:hanging="388"/>
        <w:jc w:val="both"/>
        <w:rPr>
          <w:rFonts w:ascii="Arial" w:hAnsi="Arial" w:cs="Arial"/>
          <w:sz w:val="28"/>
          <w:szCs w:val="28"/>
        </w:rPr>
      </w:pPr>
      <w:r w:rsidRPr="004D451D">
        <w:rPr>
          <w:rFonts w:ascii="Arial" w:hAnsi="Arial" w:cs="Arial"/>
          <w:sz w:val="28"/>
          <w:szCs w:val="28"/>
        </w:rPr>
        <w:t>流動性覆蓋比率及其組成項目。</w:t>
      </w:r>
      <w:r w:rsidR="00BB7ED6" w:rsidRPr="004D451D">
        <w:rPr>
          <w:rFonts w:ascii="Arial" w:hAnsi="Arial" w:cs="Arial" w:hint="eastAsia"/>
          <w:sz w:val="28"/>
          <w:szCs w:val="28"/>
        </w:rPr>
        <w:t>（</w:t>
      </w:r>
      <w:r w:rsidRPr="004D451D">
        <w:rPr>
          <w:rFonts w:ascii="Arial" w:hAnsi="Arial" w:cs="Arial"/>
          <w:sz w:val="28"/>
          <w:szCs w:val="28"/>
        </w:rPr>
        <w:t>附表</w:t>
      </w:r>
      <w:r w:rsidR="001076A6" w:rsidRPr="004D451D">
        <w:rPr>
          <w:rFonts w:ascii="Arial" w:hAnsi="Arial" w:cs="Arial" w:hint="eastAsia"/>
          <w:sz w:val="28"/>
          <w:szCs w:val="28"/>
        </w:rPr>
        <w:t>五十</w:t>
      </w:r>
      <w:r w:rsidR="00E5183D" w:rsidRPr="004D451D">
        <w:rPr>
          <w:rFonts w:ascii="Arial" w:hAnsi="Arial" w:cs="Arial" w:hint="eastAsia"/>
          <w:sz w:val="28"/>
          <w:szCs w:val="28"/>
        </w:rPr>
        <w:t>一</w:t>
      </w:r>
      <w:r w:rsidR="00BB7ED6" w:rsidRPr="004D451D">
        <w:rPr>
          <w:rFonts w:ascii="Arial" w:hAnsi="Arial" w:cs="Arial" w:hint="eastAsia"/>
          <w:sz w:val="28"/>
          <w:szCs w:val="28"/>
        </w:rPr>
        <w:t>）</w:t>
      </w:r>
    </w:p>
    <w:p w:rsidR="00E5183D" w:rsidRPr="004D451D" w:rsidRDefault="00E5183D" w:rsidP="002706B9">
      <w:pPr>
        <w:pStyle w:val="ad"/>
        <w:numPr>
          <w:ilvl w:val="1"/>
          <w:numId w:val="1"/>
        </w:numPr>
        <w:tabs>
          <w:tab w:val="clear" w:pos="840"/>
        </w:tabs>
        <w:spacing w:line="480" w:lineRule="exact"/>
        <w:ind w:left="1442" w:hanging="388"/>
        <w:jc w:val="both"/>
        <w:rPr>
          <w:rFonts w:ascii="Arial" w:hAnsi="Arial" w:cs="Arial"/>
          <w:sz w:val="28"/>
          <w:szCs w:val="28"/>
        </w:rPr>
      </w:pPr>
      <w:r w:rsidRPr="004D451D">
        <w:rPr>
          <w:rFonts w:ascii="Arial" w:hAnsi="Arial" w:cs="Arial" w:hint="eastAsia"/>
          <w:sz w:val="28"/>
          <w:szCs w:val="28"/>
        </w:rPr>
        <w:t>淨穩定資金比率。（附表五十二）</w:t>
      </w:r>
    </w:p>
    <w:p w:rsidR="00960EB0" w:rsidRPr="004D451D" w:rsidRDefault="00E5183D" w:rsidP="008032E7">
      <w:pPr>
        <w:pStyle w:val="ad"/>
        <w:numPr>
          <w:ilvl w:val="0"/>
          <w:numId w:val="6"/>
        </w:numPr>
        <w:spacing w:line="480" w:lineRule="exact"/>
        <w:jc w:val="both"/>
        <w:rPr>
          <w:sz w:val="28"/>
          <w:szCs w:val="28"/>
        </w:rPr>
      </w:pPr>
      <w:r w:rsidRPr="004D451D">
        <w:rPr>
          <w:rFonts w:hint="eastAsia"/>
          <w:sz w:val="28"/>
          <w:szCs w:val="28"/>
        </w:rPr>
        <w:t>薪酬</w:t>
      </w:r>
      <w:r w:rsidR="004047A6" w:rsidRPr="004D451D">
        <w:rPr>
          <w:rFonts w:hint="eastAsia"/>
          <w:sz w:val="28"/>
          <w:szCs w:val="28"/>
        </w:rPr>
        <w:t>制度</w:t>
      </w:r>
      <w:r w:rsidRPr="004D451D">
        <w:rPr>
          <w:rFonts w:hint="eastAsia"/>
          <w:sz w:val="28"/>
          <w:szCs w:val="28"/>
        </w:rPr>
        <w:t>：</w:t>
      </w:r>
    </w:p>
    <w:p w:rsidR="00E5183D" w:rsidRPr="004D451D" w:rsidRDefault="00E5183D" w:rsidP="009F53B0">
      <w:pPr>
        <w:pStyle w:val="ad"/>
        <w:numPr>
          <w:ilvl w:val="0"/>
          <w:numId w:val="119"/>
        </w:numPr>
        <w:spacing w:line="480" w:lineRule="exact"/>
        <w:ind w:left="1441" w:hanging="386"/>
        <w:jc w:val="both"/>
        <w:rPr>
          <w:sz w:val="28"/>
          <w:szCs w:val="28"/>
        </w:rPr>
      </w:pPr>
      <w:r w:rsidRPr="004D451D">
        <w:rPr>
          <w:rFonts w:hint="eastAsia"/>
          <w:sz w:val="28"/>
          <w:szCs w:val="28"/>
        </w:rPr>
        <w:t>薪酬揭露定性資訊。（附表五十三）</w:t>
      </w:r>
    </w:p>
    <w:p w:rsidR="00E5183D" w:rsidRPr="004D451D" w:rsidRDefault="00E5183D" w:rsidP="009F53B0">
      <w:pPr>
        <w:pStyle w:val="ad"/>
        <w:numPr>
          <w:ilvl w:val="0"/>
          <w:numId w:val="119"/>
        </w:numPr>
        <w:spacing w:line="480" w:lineRule="exact"/>
        <w:ind w:left="1441" w:hanging="386"/>
        <w:jc w:val="both"/>
        <w:rPr>
          <w:sz w:val="28"/>
          <w:szCs w:val="28"/>
        </w:rPr>
      </w:pPr>
      <w:r w:rsidRPr="004D451D">
        <w:rPr>
          <w:rFonts w:hint="eastAsia"/>
          <w:sz w:val="28"/>
          <w:szCs w:val="28"/>
        </w:rPr>
        <w:t>薪酬揭露定量資訊。（附表五十四至附表五十六）</w:t>
      </w:r>
    </w:p>
    <w:p w:rsidR="00E5183D" w:rsidRPr="004D451D" w:rsidRDefault="00E5183D" w:rsidP="008032E7">
      <w:pPr>
        <w:pStyle w:val="ad"/>
        <w:numPr>
          <w:ilvl w:val="0"/>
          <w:numId w:val="6"/>
        </w:numPr>
        <w:spacing w:line="480" w:lineRule="exact"/>
        <w:jc w:val="both"/>
        <w:rPr>
          <w:sz w:val="28"/>
          <w:szCs w:val="28"/>
        </w:rPr>
      </w:pPr>
      <w:r w:rsidRPr="004D451D">
        <w:rPr>
          <w:rFonts w:hint="eastAsia"/>
          <w:sz w:val="28"/>
          <w:szCs w:val="28"/>
        </w:rPr>
        <w:t>總體審慎監理衡量：</w:t>
      </w:r>
    </w:p>
    <w:p w:rsidR="00E5183D" w:rsidRPr="004D451D" w:rsidRDefault="00E5183D" w:rsidP="009F53B0">
      <w:pPr>
        <w:pStyle w:val="ad"/>
        <w:numPr>
          <w:ilvl w:val="0"/>
          <w:numId w:val="120"/>
        </w:numPr>
        <w:spacing w:line="480" w:lineRule="exact"/>
        <w:ind w:left="1441" w:hanging="386"/>
        <w:jc w:val="both"/>
        <w:rPr>
          <w:sz w:val="28"/>
          <w:szCs w:val="28"/>
        </w:rPr>
      </w:pPr>
      <w:r w:rsidRPr="004D451D">
        <w:rPr>
          <w:rFonts w:hint="eastAsia"/>
          <w:sz w:val="28"/>
          <w:szCs w:val="28"/>
        </w:rPr>
        <w:t>抗景氣循環緩衝資本</w:t>
      </w:r>
      <w:r w:rsidR="008032E7" w:rsidRPr="004D451D">
        <w:rPr>
          <w:rFonts w:hint="eastAsia"/>
          <w:sz w:val="28"/>
          <w:szCs w:val="28"/>
        </w:rPr>
        <w:t>。（附表五十七）</w:t>
      </w:r>
    </w:p>
    <w:p w:rsidR="00BF1989" w:rsidRPr="004D451D" w:rsidRDefault="00E03BBD" w:rsidP="00BF1989">
      <w:pPr>
        <w:rPr>
          <w:rFonts w:ascii="標楷體" w:eastAsia="標楷體" w:hAnsi="標楷體"/>
          <w:b/>
          <w:sz w:val="32"/>
          <w:szCs w:val="32"/>
        </w:rPr>
      </w:pPr>
      <w:r w:rsidRPr="004D451D">
        <w:rPr>
          <w:rFonts w:eastAsia="標楷體"/>
          <w:strike/>
          <w:sz w:val="32"/>
          <w:szCs w:val="32"/>
        </w:rPr>
        <w:br w:type="page"/>
      </w:r>
      <w:r w:rsidR="00BF1989" w:rsidRPr="004D451D">
        <w:rPr>
          <w:rFonts w:ascii="標楷體" w:eastAsia="標楷體" w:hAnsi="標楷體" w:hint="eastAsia"/>
          <w:b/>
          <w:sz w:val="32"/>
          <w:szCs w:val="32"/>
        </w:rPr>
        <w:lastRenderedPageBreak/>
        <w:t>【附表一】</w:t>
      </w:r>
    </w:p>
    <w:p w:rsidR="00BF1989" w:rsidRPr="004D451D" w:rsidRDefault="00BF1989" w:rsidP="00BF1989">
      <w:pPr>
        <w:pStyle w:val="ad"/>
        <w:spacing w:before="120" w:after="120" w:line="240" w:lineRule="auto"/>
        <w:ind w:left="0" w:rightChars="11" w:right="26" w:firstLine="0"/>
        <w:jc w:val="center"/>
        <w:rPr>
          <w:b/>
          <w:szCs w:val="32"/>
        </w:rPr>
      </w:pPr>
      <w:r w:rsidRPr="004D451D">
        <w:rPr>
          <w:rFonts w:hint="eastAsia"/>
          <w:b/>
          <w:szCs w:val="32"/>
        </w:rPr>
        <w:t>合併資本適足比率計算範圍</w:t>
      </w:r>
    </w:p>
    <w:p w:rsidR="00BF1989" w:rsidRPr="004D451D" w:rsidRDefault="0053460C" w:rsidP="0053460C">
      <w:pPr>
        <w:pStyle w:val="ad"/>
        <w:wordWrap w:val="0"/>
        <w:spacing w:before="120" w:after="120" w:line="240" w:lineRule="auto"/>
        <w:ind w:left="3360" w:right="-54" w:firstLine="0"/>
        <w:rPr>
          <w:szCs w:val="32"/>
        </w:rPr>
      </w:pPr>
      <w:r w:rsidRPr="004D451D">
        <w:rPr>
          <w:rFonts w:hint="eastAsia"/>
          <w:szCs w:val="32"/>
        </w:rPr>
        <w:t>10</w:t>
      </w:r>
      <w:r w:rsidR="00BE6F23" w:rsidRPr="004D451D">
        <w:rPr>
          <w:rFonts w:hint="eastAsia"/>
          <w:szCs w:val="32"/>
        </w:rPr>
        <w:t>7</w:t>
      </w:r>
      <w:r w:rsidR="00BF1989" w:rsidRPr="004D451D">
        <w:rPr>
          <w:rFonts w:hint="eastAsia"/>
          <w:szCs w:val="32"/>
        </w:rPr>
        <w:t>年</w:t>
      </w:r>
      <w:r w:rsidR="00BE6F23" w:rsidRPr="004D451D">
        <w:rPr>
          <w:rFonts w:hint="eastAsia"/>
          <w:szCs w:val="32"/>
        </w:rPr>
        <w:t>06</w:t>
      </w:r>
      <w:r w:rsidR="00BF1989" w:rsidRPr="004D451D">
        <w:rPr>
          <w:rFonts w:hint="eastAsia"/>
          <w:szCs w:val="32"/>
        </w:rPr>
        <w:t>月</w:t>
      </w:r>
      <w:r w:rsidRPr="004D451D">
        <w:rPr>
          <w:rFonts w:hint="eastAsia"/>
          <w:szCs w:val="32"/>
        </w:rPr>
        <w:t>3</w:t>
      </w:r>
      <w:r w:rsidR="00BE6F23" w:rsidRPr="004D451D">
        <w:rPr>
          <w:rFonts w:hint="eastAsia"/>
          <w:szCs w:val="32"/>
        </w:rPr>
        <w:t>0</w:t>
      </w:r>
      <w:r w:rsidR="00BF1989" w:rsidRPr="004D451D">
        <w:rPr>
          <w:rFonts w:hint="eastAsia"/>
          <w:szCs w:val="32"/>
        </w:rPr>
        <w:t>日</w:t>
      </w:r>
      <w:r w:rsidR="00BF1989" w:rsidRPr="004D451D">
        <w:rPr>
          <w:szCs w:val="32"/>
        </w:rPr>
        <w:t xml:space="preserve">        </w:t>
      </w:r>
      <w:r w:rsidR="00BF1989" w:rsidRPr="004D451D">
        <w:rPr>
          <w:rFonts w:hint="eastAsia"/>
          <w:sz w:val="24"/>
        </w:rPr>
        <w:t>（單位：新臺幣千元）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0"/>
        <w:gridCol w:w="1583"/>
        <w:gridCol w:w="1405"/>
        <w:gridCol w:w="1371"/>
        <w:gridCol w:w="1377"/>
        <w:gridCol w:w="1388"/>
      </w:tblGrid>
      <w:tr w:rsidR="004D451D" w:rsidRPr="004D451D" w:rsidTr="00BF53C1">
        <w:trPr>
          <w:cantSplit/>
          <w:trHeight w:val="541"/>
          <w:tblHeader/>
        </w:trPr>
        <w:tc>
          <w:tcPr>
            <w:tcW w:w="1228" w:type="pct"/>
            <w:vMerge w:val="restart"/>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kern w:val="0"/>
              </w:rPr>
              <w:t>項</w:t>
            </w:r>
            <w:r w:rsidRPr="004D451D">
              <w:rPr>
                <w:rFonts w:ascii="標楷體" w:eastAsia="標楷體" w:hAnsi="標楷體"/>
                <w:kern w:val="0"/>
              </w:rPr>
              <w:t xml:space="preserve">    </w:t>
            </w:r>
            <w:r w:rsidRPr="004D451D">
              <w:rPr>
                <w:rFonts w:ascii="標楷體" w:eastAsia="標楷體" w:hAnsi="標楷體" w:hint="eastAsia"/>
                <w:kern w:val="0"/>
              </w:rPr>
              <w:t>目</w:t>
            </w:r>
          </w:p>
        </w:tc>
        <w:tc>
          <w:tcPr>
            <w:tcW w:w="3772" w:type="pct"/>
            <w:gridSpan w:val="5"/>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內</w:t>
            </w:r>
            <w:r w:rsidRPr="004D451D">
              <w:rPr>
                <w:rFonts w:ascii="標楷體" w:eastAsia="標楷體" w:hAnsi="標楷體"/>
              </w:rPr>
              <w:t xml:space="preserve">    </w:t>
            </w:r>
            <w:r w:rsidRPr="004D451D">
              <w:rPr>
                <w:rFonts w:ascii="標楷體" w:eastAsia="標楷體" w:hAnsi="標楷體" w:hint="eastAsia"/>
              </w:rPr>
              <w:t>容</w:t>
            </w:r>
          </w:p>
        </w:tc>
      </w:tr>
      <w:tr w:rsidR="004D451D" w:rsidRPr="004D451D" w:rsidTr="00BF53C1">
        <w:trPr>
          <w:cantSplit/>
          <w:trHeight w:val="700"/>
          <w:tblHeader/>
        </w:trPr>
        <w:tc>
          <w:tcPr>
            <w:tcW w:w="1228" w:type="pct"/>
            <w:vMerge/>
            <w:vAlign w:val="center"/>
          </w:tcPr>
          <w:p w:rsidR="00BF1989" w:rsidRPr="004D451D" w:rsidRDefault="00BF1989" w:rsidP="00BF53C1">
            <w:pPr>
              <w:spacing w:before="60" w:after="60"/>
              <w:jc w:val="center"/>
              <w:rPr>
                <w:rFonts w:ascii="標楷體" w:eastAsia="標楷體" w:hAnsi="標楷體"/>
                <w:kern w:val="0"/>
              </w:rPr>
            </w:pPr>
          </w:p>
        </w:tc>
        <w:tc>
          <w:tcPr>
            <w:tcW w:w="838" w:type="pct"/>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公司名稱</w:t>
            </w:r>
          </w:p>
        </w:tc>
        <w:tc>
          <w:tcPr>
            <w:tcW w:w="744" w:type="pct"/>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資產金額</w:t>
            </w:r>
          </w:p>
        </w:tc>
        <w:tc>
          <w:tcPr>
            <w:tcW w:w="726" w:type="pct"/>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合併比例</w:t>
            </w:r>
          </w:p>
        </w:tc>
        <w:tc>
          <w:tcPr>
            <w:tcW w:w="729" w:type="pct"/>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未納入計算之原因</w:t>
            </w:r>
          </w:p>
        </w:tc>
        <w:tc>
          <w:tcPr>
            <w:tcW w:w="735" w:type="pct"/>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自自有資本</w:t>
            </w:r>
          </w:p>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扣除金額</w:t>
            </w:r>
          </w:p>
        </w:tc>
      </w:tr>
      <w:tr w:rsidR="004D451D" w:rsidRPr="004D451D" w:rsidTr="000E67C5">
        <w:trPr>
          <w:cantSplit/>
          <w:trHeight w:val="481"/>
        </w:trPr>
        <w:tc>
          <w:tcPr>
            <w:tcW w:w="1228" w:type="pct"/>
            <w:vMerge w:val="restart"/>
            <w:vAlign w:val="center"/>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r w:rsidRPr="004D451D">
              <w:rPr>
                <w:rFonts w:eastAsia="標楷體"/>
                <w:kern w:val="0"/>
              </w:rPr>
              <w:t>納入合併資本適足比率計算之子公司名稱</w:t>
            </w:r>
          </w:p>
        </w:tc>
        <w:tc>
          <w:tcPr>
            <w:tcW w:w="838" w:type="pct"/>
            <w:vAlign w:val="center"/>
          </w:tcPr>
          <w:p w:rsidR="0053460C" w:rsidRPr="004D451D" w:rsidRDefault="0053460C" w:rsidP="0053460C">
            <w:pPr>
              <w:spacing w:before="60" w:after="60"/>
              <w:jc w:val="both"/>
              <w:rPr>
                <w:rFonts w:ascii="標楷體" w:eastAsia="標楷體" w:hAnsi="標楷體"/>
              </w:rPr>
            </w:pPr>
            <w:r w:rsidRPr="004D451D">
              <w:rPr>
                <w:rFonts w:ascii="標楷體" w:eastAsia="標楷體" w:hAnsi="標楷體" w:hint="eastAsia"/>
              </w:rPr>
              <w:t>台南人身保險代理人股份有限公司</w:t>
            </w:r>
          </w:p>
        </w:tc>
        <w:tc>
          <w:tcPr>
            <w:tcW w:w="744" w:type="pct"/>
            <w:vAlign w:val="center"/>
          </w:tcPr>
          <w:p w:rsidR="0053460C" w:rsidRPr="004D451D" w:rsidRDefault="00BE6F23" w:rsidP="00BE6F23">
            <w:pPr>
              <w:pStyle w:val="14"/>
              <w:spacing w:line="240" w:lineRule="auto"/>
              <w:ind w:firstLine="0"/>
              <w:jc w:val="center"/>
              <w:rPr>
                <w:rFonts w:ascii="Arial" w:hAnsi="Arial" w:cs="Arial"/>
                <w:szCs w:val="24"/>
              </w:rPr>
            </w:pPr>
            <w:r w:rsidRPr="004D451D">
              <w:rPr>
                <w:rFonts w:ascii="Arial" w:hAnsi="Arial" w:cs="Arial" w:hint="eastAsia"/>
                <w:szCs w:val="24"/>
              </w:rPr>
              <w:t>580</w:t>
            </w:r>
            <w:r w:rsidR="0053460C" w:rsidRPr="004D451D">
              <w:rPr>
                <w:rFonts w:ascii="Arial" w:hAnsi="Arial" w:cs="Arial"/>
                <w:szCs w:val="24"/>
              </w:rPr>
              <w:t>,</w:t>
            </w:r>
            <w:r w:rsidRPr="004D451D">
              <w:rPr>
                <w:rFonts w:ascii="Arial" w:hAnsi="Arial" w:cs="Arial" w:hint="eastAsia"/>
                <w:szCs w:val="24"/>
              </w:rPr>
              <w:t>453</w:t>
            </w:r>
          </w:p>
        </w:tc>
        <w:tc>
          <w:tcPr>
            <w:tcW w:w="726" w:type="pct"/>
            <w:vAlign w:val="center"/>
          </w:tcPr>
          <w:p w:rsidR="0053460C" w:rsidRPr="004D451D" w:rsidRDefault="0053460C" w:rsidP="0053460C">
            <w:pPr>
              <w:pStyle w:val="14"/>
              <w:spacing w:line="240" w:lineRule="auto"/>
              <w:ind w:firstLine="0"/>
              <w:jc w:val="center"/>
              <w:rPr>
                <w:rFonts w:ascii="Arial" w:eastAsia="標楷體" w:hAnsi="Arial" w:cs="Arial"/>
                <w:szCs w:val="24"/>
              </w:rPr>
            </w:pPr>
            <w:r w:rsidRPr="004D451D">
              <w:rPr>
                <w:rFonts w:ascii="Arial" w:hAnsi="Arial" w:cs="Arial"/>
                <w:szCs w:val="24"/>
              </w:rPr>
              <w:t>100%</w:t>
            </w:r>
          </w:p>
        </w:tc>
        <w:tc>
          <w:tcPr>
            <w:tcW w:w="1464" w:type="pct"/>
            <w:gridSpan w:val="2"/>
            <w:vMerge w:val="restart"/>
            <w:shd w:val="clear" w:color="auto" w:fill="C0C0C0"/>
            <w:vAlign w:val="center"/>
          </w:tcPr>
          <w:p w:rsidR="0053460C" w:rsidRPr="004D451D" w:rsidRDefault="0053460C" w:rsidP="00BF53C1">
            <w:pPr>
              <w:spacing w:before="60" w:after="60"/>
              <w:jc w:val="both"/>
              <w:rPr>
                <w:rFonts w:ascii="標楷體" w:eastAsia="標楷體" w:hAnsi="標楷體"/>
              </w:rPr>
            </w:pPr>
          </w:p>
        </w:tc>
      </w:tr>
      <w:tr w:rsidR="004D451D" w:rsidRPr="004D451D" w:rsidTr="000E67C5">
        <w:trPr>
          <w:cantSplit/>
          <w:trHeight w:val="481"/>
        </w:trPr>
        <w:tc>
          <w:tcPr>
            <w:tcW w:w="1228" w:type="pct"/>
            <w:vMerge/>
            <w:vAlign w:val="center"/>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4D451D" w:rsidRDefault="0053460C" w:rsidP="0053460C">
            <w:pPr>
              <w:spacing w:before="60" w:after="60"/>
              <w:jc w:val="both"/>
              <w:rPr>
                <w:rFonts w:ascii="標楷體" w:eastAsia="標楷體" w:hAnsi="標楷體"/>
              </w:rPr>
            </w:pPr>
            <w:r w:rsidRPr="004D451D">
              <w:rPr>
                <w:rFonts w:ascii="標楷體" w:eastAsia="標楷體" w:hAnsi="標楷體" w:hint="eastAsia"/>
              </w:rPr>
              <w:t>府城財產保險代理人股份有限公司</w:t>
            </w:r>
          </w:p>
        </w:tc>
        <w:tc>
          <w:tcPr>
            <w:tcW w:w="744" w:type="pct"/>
            <w:vAlign w:val="center"/>
          </w:tcPr>
          <w:p w:rsidR="0053460C" w:rsidRPr="004D451D" w:rsidRDefault="00BE6F23" w:rsidP="00BE6F23">
            <w:pPr>
              <w:pStyle w:val="14"/>
              <w:spacing w:line="240" w:lineRule="auto"/>
              <w:ind w:firstLine="0"/>
              <w:jc w:val="center"/>
              <w:rPr>
                <w:rFonts w:ascii="Arial" w:hAnsi="Arial" w:cs="Arial"/>
                <w:szCs w:val="24"/>
              </w:rPr>
            </w:pPr>
            <w:r w:rsidRPr="004D451D">
              <w:rPr>
                <w:rFonts w:ascii="Arial" w:hAnsi="Arial" w:cs="Arial" w:hint="eastAsia"/>
                <w:szCs w:val="24"/>
              </w:rPr>
              <w:t>7</w:t>
            </w:r>
            <w:r w:rsidR="00AD24B5" w:rsidRPr="004D451D">
              <w:rPr>
                <w:rFonts w:ascii="Arial" w:hAnsi="Arial" w:cs="Arial"/>
                <w:szCs w:val="24"/>
              </w:rPr>
              <w:t>,</w:t>
            </w:r>
            <w:r w:rsidRPr="004D451D">
              <w:rPr>
                <w:rFonts w:ascii="Arial" w:hAnsi="Arial" w:cs="Arial" w:hint="eastAsia"/>
                <w:szCs w:val="24"/>
              </w:rPr>
              <w:t>593</w:t>
            </w:r>
          </w:p>
        </w:tc>
        <w:tc>
          <w:tcPr>
            <w:tcW w:w="726" w:type="pct"/>
            <w:vAlign w:val="center"/>
          </w:tcPr>
          <w:p w:rsidR="0053460C" w:rsidRPr="004D451D" w:rsidRDefault="0053460C" w:rsidP="0053460C">
            <w:pPr>
              <w:pStyle w:val="14"/>
              <w:spacing w:line="240" w:lineRule="auto"/>
              <w:ind w:firstLine="0"/>
              <w:jc w:val="center"/>
              <w:rPr>
                <w:rFonts w:ascii="Arial" w:eastAsia="標楷體" w:hAnsi="Arial" w:cs="Arial"/>
                <w:szCs w:val="24"/>
              </w:rPr>
            </w:pPr>
            <w:r w:rsidRPr="004D451D">
              <w:rPr>
                <w:rFonts w:ascii="Arial" w:hAnsi="Arial" w:cs="Arial"/>
                <w:szCs w:val="24"/>
              </w:rPr>
              <w:t>100%</w:t>
            </w:r>
          </w:p>
        </w:tc>
        <w:tc>
          <w:tcPr>
            <w:tcW w:w="1464" w:type="pct"/>
            <w:gridSpan w:val="2"/>
            <w:vMerge/>
            <w:shd w:val="clear" w:color="auto" w:fill="C0C0C0"/>
            <w:vAlign w:val="center"/>
          </w:tcPr>
          <w:p w:rsidR="0053460C" w:rsidRPr="004D451D" w:rsidRDefault="0053460C" w:rsidP="00BF53C1">
            <w:pPr>
              <w:spacing w:before="60" w:after="60"/>
              <w:jc w:val="both"/>
              <w:rPr>
                <w:rFonts w:ascii="標楷體" w:eastAsia="標楷體" w:hAnsi="標楷體"/>
              </w:rPr>
            </w:pPr>
          </w:p>
        </w:tc>
      </w:tr>
      <w:tr w:rsidR="004D451D" w:rsidRPr="004D451D" w:rsidTr="000E67C5">
        <w:trPr>
          <w:cantSplit/>
          <w:trHeight w:val="481"/>
        </w:trPr>
        <w:tc>
          <w:tcPr>
            <w:tcW w:w="1228" w:type="pct"/>
            <w:vMerge/>
            <w:vAlign w:val="center"/>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4D451D" w:rsidRDefault="0053460C" w:rsidP="0053460C">
            <w:pPr>
              <w:spacing w:before="60" w:after="60"/>
              <w:jc w:val="both"/>
              <w:rPr>
                <w:rFonts w:ascii="標楷體" w:eastAsia="標楷體" w:hAnsi="標楷體"/>
              </w:rPr>
            </w:pPr>
            <w:r w:rsidRPr="004D451D">
              <w:rPr>
                <w:rFonts w:ascii="標楷體" w:eastAsia="標楷體" w:hAnsi="標楷體" w:hint="eastAsia"/>
              </w:rPr>
              <w:t>京城銀國際租賃股份有限公司</w:t>
            </w:r>
          </w:p>
        </w:tc>
        <w:tc>
          <w:tcPr>
            <w:tcW w:w="744" w:type="pct"/>
            <w:vAlign w:val="center"/>
          </w:tcPr>
          <w:p w:rsidR="0053460C" w:rsidRPr="004D451D" w:rsidRDefault="00AD24B5" w:rsidP="00CF078F">
            <w:pPr>
              <w:pStyle w:val="14"/>
              <w:spacing w:line="240" w:lineRule="auto"/>
              <w:ind w:firstLine="0"/>
              <w:jc w:val="center"/>
              <w:rPr>
                <w:rFonts w:ascii="Arial" w:hAnsi="Arial" w:cs="Arial"/>
                <w:szCs w:val="24"/>
              </w:rPr>
            </w:pPr>
            <w:r w:rsidRPr="004D451D">
              <w:rPr>
                <w:rFonts w:ascii="Arial" w:hAnsi="Arial" w:cs="Arial"/>
                <w:szCs w:val="24"/>
              </w:rPr>
              <w:t>2,</w:t>
            </w:r>
            <w:r w:rsidR="00CF078F" w:rsidRPr="004D451D">
              <w:rPr>
                <w:rFonts w:ascii="Arial" w:hAnsi="Arial" w:cs="Arial" w:hint="eastAsia"/>
                <w:szCs w:val="24"/>
              </w:rPr>
              <w:t>815</w:t>
            </w:r>
            <w:r w:rsidRPr="004D451D">
              <w:rPr>
                <w:rFonts w:ascii="Arial" w:hAnsi="Arial" w:cs="Arial"/>
                <w:szCs w:val="24"/>
              </w:rPr>
              <w:t>,</w:t>
            </w:r>
            <w:r w:rsidR="00CF078F" w:rsidRPr="004D451D">
              <w:rPr>
                <w:rFonts w:ascii="Arial" w:hAnsi="Arial" w:cs="Arial" w:hint="eastAsia"/>
                <w:szCs w:val="24"/>
              </w:rPr>
              <w:t>127</w:t>
            </w:r>
          </w:p>
        </w:tc>
        <w:tc>
          <w:tcPr>
            <w:tcW w:w="726" w:type="pct"/>
            <w:vAlign w:val="center"/>
          </w:tcPr>
          <w:p w:rsidR="0053460C" w:rsidRPr="004D451D" w:rsidRDefault="0053460C" w:rsidP="0053460C">
            <w:pPr>
              <w:spacing w:before="60" w:after="60"/>
              <w:jc w:val="center"/>
              <w:rPr>
                <w:rFonts w:ascii="Arial" w:eastAsia="標楷體" w:hAnsi="Arial" w:cs="Arial"/>
              </w:rPr>
            </w:pPr>
            <w:r w:rsidRPr="004D451D">
              <w:rPr>
                <w:rFonts w:ascii="Arial" w:eastAsia="標楷體" w:hAnsi="Arial" w:cs="Arial"/>
              </w:rPr>
              <w:t>100%</w:t>
            </w:r>
          </w:p>
        </w:tc>
        <w:tc>
          <w:tcPr>
            <w:tcW w:w="1464" w:type="pct"/>
            <w:gridSpan w:val="2"/>
            <w:vMerge/>
            <w:shd w:val="clear" w:color="auto" w:fill="C0C0C0"/>
            <w:vAlign w:val="center"/>
          </w:tcPr>
          <w:p w:rsidR="0053460C" w:rsidRPr="004D451D" w:rsidRDefault="0053460C" w:rsidP="00BF53C1">
            <w:pPr>
              <w:spacing w:before="60" w:after="60"/>
              <w:jc w:val="both"/>
              <w:rPr>
                <w:rFonts w:ascii="標楷體" w:eastAsia="標楷體" w:hAnsi="標楷體"/>
              </w:rPr>
            </w:pPr>
          </w:p>
        </w:tc>
      </w:tr>
      <w:tr w:rsidR="004D451D" w:rsidRPr="004D451D" w:rsidTr="00BF53C1">
        <w:trPr>
          <w:cantSplit/>
          <w:trHeight w:val="447"/>
        </w:trPr>
        <w:tc>
          <w:tcPr>
            <w:tcW w:w="1228" w:type="pct"/>
            <w:vMerge w:val="restart"/>
            <w:vAlign w:val="center"/>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r w:rsidRPr="004D451D">
              <w:rPr>
                <w:rFonts w:eastAsia="標楷體"/>
                <w:kern w:val="0"/>
              </w:rPr>
              <w:t>未納入合併資本適足比率計算之子公司名稱</w:t>
            </w:r>
          </w:p>
        </w:tc>
        <w:tc>
          <w:tcPr>
            <w:tcW w:w="838" w:type="pct"/>
            <w:vAlign w:val="center"/>
          </w:tcPr>
          <w:p w:rsidR="0053460C" w:rsidRPr="004D451D" w:rsidRDefault="0053460C" w:rsidP="00BF53C1">
            <w:pPr>
              <w:pStyle w:val="ab"/>
              <w:spacing w:before="60" w:after="60"/>
              <w:jc w:val="both"/>
              <w:rPr>
                <w:rFonts w:ascii="標楷體"/>
              </w:rPr>
            </w:pPr>
          </w:p>
        </w:tc>
        <w:tc>
          <w:tcPr>
            <w:tcW w:w="744" w:type="pct"/>
            <w:vAlign w:val="center"/>
          </w:tcPr>
          <w:p w:rsidR="0053460C" w:rsidRPr="004D451D" w:rsidRDefault="0053460C" w:rsidP="00BF53C1">
            <w:pPr>
              <w:pStyle w:val="ab"/>
              <w:spacing w:before="60" w:after="60"/>
              <w:jc w:val="both"/>
              <w:rPr>
                <w:rFonts w:ascii="標楷體"/>
              </w:rPr>
            </w:pPr>
          </w:p>
        </w:tc>
        <w:tc>
          <w:tcPr>
            <w:tcW w:w="726" w:type="pct"/>
          </w:tcPr>
          <w:p w:rsidR="0053460C" w:rsidRPr="004D451D" w:rsidRDefault="0053460C" w:rsidP="00BF53C1">
            <w:pPr>
              <w:pStyle w:val="ab"/>
              <w:spacing w:before="60" w:after="60"/>
              <w:jc w:val="both"/>
              <w:rPr>
                <w:rFonts w:ascii="標楷體"/>
              </w:rPr>
            </w:pPr>
          </w:p>
        </w:tc>
        <w:tc>
          <w:tcPr>
            <w:tcW w:w="729" w:type="pct"/>
            <w:vAlign w:val="center"/>
          </w:tcPr>
          <w:p w:rsidR="0053460C" w:rsidRPr="004D451D" w:rsidRDefault="0053460C" w:rsidP="00BF53C1">
            <w:pPr>
              <w:pStyle w:val="ab"/>
              <w:spacing w:before="60" w:after="60"/>
              <w:jc w:val="both"/>
              <w:rPr>
                <w:rFonts w:ascii="標楷體"/>
              </w:rPr>
            </w:pPr>
          </w:p>
        </w:tc>
        <w:tc>
          <w:tcPr>
            <w:tcW w:w="735" w:type="pct"/>
            <w:vAlign w:val="center"/>
          </w:tcPr>
          <w:p w:rsidR="0053460C" w:rsidRPr="004D451D" w:rsidRDefault="0053460C" w:rsidP="00BF53C1">
            <w:pPr>
              <w:pStyle w:val="ab"/>
              <w:spacing w:before="60" w:after="60"/>
              <w:jc w:val="both"/>
              <w:rPr>
                <w:rFonts w:ascii="標楷體"/>
              </w:rPr>
            </w:pPr>
          </w:p>
        </w:tc>
      </w:tr>
      <w:tr w:rsidR="004D451D" w:rsidRPr="004D451D" w:rsidTr="00BF53C1">
        <w:trPr>
          <w:cantSplit/>
          <w:trHeight w:val="447"/>
        </w:trPr>
        <w:tc>
          <w:tcPr>
            <w:tcW w:w="1228" w:type="pct"/>
            <w:vMerge/>
            <w:vAlign w:val="center"/>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4D451D" w:rsidRDefault="0053460C" w:rsidP="00BF53C1">
            <w:pPr>
              <w:pStyle w:val="ab"/>
              <w:spacing w:before="60" w:after="60"/>
              <w:jc w:val="both"/>
              <w:rPr>
                <w:rFonts w:ascii="標楷體"/>
              </w:rPr>
            </w:pPr>
          </w:p>
        </w:tc>
        <w:tc>
          <w:tcPr>
            <w:tcW w:w="744" w:type="pct"/>
            <w:vAlign w:val="center"/>
          </w:tcPr>
          <w:p w:rsidR="0053460C" w:rsidRPr="004D451D" w:rsidRDefault="0053460C" w:rsidP="00BF53C1">
            <w:pPr>
              <w:pStyle w:val="ab"/>
              <w:spacing w:before="60" w:after="60"/>
              <w:jc w:val="both"/>
              <w:rPr>
                <w:rFonts w:ascii="標楷體"/>
              </w:rPr>
            </w:pPr>
          </w:p>
        </w:tc>
        <w:tc>
          <w:tcPr>
            <w:tcW w:w="726" w:type="pct"/>
          </w:tcPr>
          <w:p w:rsidR="0053460C" w:rsidRPr="004D451D" w:rsidRDefault="0053460C" w:rsidP="00BF53C1">
            <w:pPr>
              <w:pStyle w:val="ab"/>
              <w:spacing w:before="60" w:after="60"/>
              <w:jc w:val="both"/>
              <w:rPr>
                <w:rFonts w:ascii="標楷體"/>
              </w:rPr>
            </w:pPr>
          </w:p>
        </w:tc>
        <w:tc>
          <w:tcPr>
            <w:tcW w:w="729" w:type="pct"/>
            <w:vAlign w:val="center"/>
          </w:tcPr>
          <w:p w:rsidR="0053460C" w:rsidRPr="004D451D" w:rsidRDefault="0053460C" w:rsidP="00BF53C1">
            <w:pPr>
              <w:pStyle w:val="ab"/>
              <w:spacing w:before="60" w:after="60"/>
              <w:jc w:val="both"/>
              <w:rPr>
                <w:rFonts w:ascii="標楷體"/>
              </w:rPr>
            </w:pPr>
          </w:p>
        </w:tc>
        <w:tc>
          <w:tcPr>
            <w:tcW w:w="735" w:type="pct"/>
            <w:vAlign w:val="center"/>
          </w:tcPr>
          <w:p w:rsidR="0053460C" w:rsidRPr="004D451D" w:rsidRDefault="0053460C" w:rsidP="00BF53C1">
            <w:pPr>
              <w:pStyle w:val="ab"/>
              <w:spacing w:before="60" w:after="60"/>
              <w:jc w:val="both"/>
              <w:rPr>
                <w:rFonts w:ascii="標楷體"/>
              </w:rPr>
            </w:pPr>
          </w:p>
        </w:tc>
      </w:tr>
      <w:tr w:rsidR="004D451D" w:rsidRPr="004D451D" w:rsidTr="00BF53C1">
        <w:trPr>
          <w:cantSplit/>
          <w:trHeight w:val="447"/>
        </w:trPr>
        <w:tc>
          <w:tcPr>
            <w:tcW w:w="1228" w:type="pct"/>
            <w:vMerge/>
            <w:vAlign w:val="center"/>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jc w:val="both"/>
              <w:rPr>
                <w:rFonts w:eastAsia="標楷體"/>
                <w:kern w:val="0"/>
              </w:rPr>
            </w:pPr>
          </w:p>
        </w:tc>
        <w:tc>
          <w:tcPr>
            <w:tcW w:w="838" w:type="pct"/>
            <w:vAlign w:val="center"/>
          </w:tcPr>
          <w:p w:rsidR="0053460C" w:rsidRPr="004D451D" w:rsidRDefault="0053460C" w:rsidP="00BF53C1">
            <w:pPr>
              <w:pStyle w:val="ab"/>
              <w:spacing w:before="60" w:after="60"/>
              <w:jc w:val="both"/>
              <w:rPr>
                <w:rFonts w:ascii="標楷體"/>
              </w:rPr>
            </w:pPr>
          </w:p>
        </w:tc>
        <w:tc>
          <w:tcPr>
            <w:tcW w:w="744" w:type="pct"/>
            <w:vAlign w:val="center"/>
          </w:tcPr>
          <w:p w:rsidR="0053460C" w:rsidRPr="004D451D" w:rsidRDefault="0053460C" w:rsidP="00BF53C1">
            <w:pPr>
              <w:pStyle w:val="ab"/>
              <w:spacing w:before="60" w:after="60"/>
              <w:jc w:val="both"/>
              <w:rPr>
                <w:rFonts w:ascii="標楷體"/>
              </w:rPr>
            </w:pPr>
          </w:p>
        </w:tc>
        <w:tc>
          <w:tcPr>
            <w:tcW w:w="726" w:type="pct"/>
          </w:tcPr>
          <w:p w:rsidR="0053460C" w:rsidRPr="004D451D" w:rsidRDefault="0053460C" w:rsidP="00BF53C1">
            <w:pPr>
              <w:pStyle w:val="ab"/>
              <w:spacing w:before="60" w:after="60"/>
              <w:jc w:val="both"/>
              <w:rPr>
                <w:rFonts w:ascii="標楷體"/>
              </w:rPr>
            </w:pPr>
          </w:p>
        </w:tc>
        <w:tc>
          <w:tcPr>
            <w:tcW w:w="729" w:type="pct"/>
            <w:vAlign w:val="center"/>
          </w:tcPr>
          <w:p w:rsidR="0053460C" w:rsidRPr="004D451D" w:rsidRDefault="0053460C" w:rsidP="00BF53C1">
            <w:pPr>
              <w:pStyle w:val="ab"/>
              <w:spacing w:before="60" w:after="60"/>
              <w:jc w:val="both"/>
              <w:rPr>
                <w:rFonts w:ascii="標楷體"/>
              </w:rPr>
            </w:pPr>
          </w:p>
        </w:tc>
        <w:tc>
          <w:tcPr>
            <w:tcW w:w="735" w:type="pct"/>
            <w:vAlign w:val="center"/>
          </w:tcPr>
          <w:p w:rsidR="0053460C" w:rsidRPr="004D451D" w:rsidRDefault="0053460C" w:rsidP="00BF53C1">
            <w:pPr>
              <w:pStyle w:val="ab"/>
              <w:spacing w:before="60" w:after="60"/>
              <w:jc w:val="both"/>
              <w:rPr>
                <w:rFonts w:ascii="標楷體"/>
              </w:rPr>
            </w:pPr>
          </w:p>
        </w:tc>
      </w:tr>
      <w:tr w:rsidR="0053460C" w:rsidRPr="004D451D" w:rsidTr="00BF53C1">
        <w:trPr>
          <w:cantSplit/>
          <w:trHeight w:val="132"/>
        </w:trPr>
        <w:tc>
          <w:tcPr>
            <w:tcW w:w="1228" w:type="pct"/>
          </w:tcPr>
          <w:p w:rsidR="0053460C" w:rsidRPr="004D451D" w:rsidRDefault="0053460C" w:rsidP="00482E54">
            <w:pPr>
              <w:numPr>
                <w:ilvl w:val="0"/>
                <w:numId w:val="87"/>
              </w:numPr>
              <w:tabs>
                <w:tab w:val="clear" w:pos="480"/>
                <w:tab w:val="num" w:pos="332"/>
              </w:tabs>
              <w:autoSpaceDE w:val="0"/>
              <w:autoSpaceDN w:val="0"/>
              <w:adjustRightInd w:val="0"/>
              <w:spacing w:before="60" w:after="60"/>
              <w:ind w:left="332" w:hanging="332"/>
              <w:rPr>
                <w:rFonts w:eastAsia="標楷體"/>
                <w:kern w:val="0"/>
              </w:rPr>
            </w:pPr>
            <w:r w:rsidRPr="004D451D">
              <w:rPr>
                <w:rFonts w:eastAsia="標楷體"/>
                <w:kern w:val="0"/>
              </w:rPr>
              <w:t>說明集團內資金或監理資本轉移的限制或主要障礙</w:t>
            </w:r>
          </w:p>
        </w:tc>
        <w:tc>
          <w:tcPr>
            <w:tcW w:w="3772" w:type="pct"/>
            <w:gridSpan w:val="5"/>
            <w:vAlign w:val="center"/>
          </w:tcPr>
          <w:p w:rsidR="0053460C" w:rsidRPr="004D451D" w:rsidRDefault="0053460C" w:rsidP="00BF53C1">
            <w:pPr>
              <w:spacing w:before="60" w:after="60"/>
              <w:jc w:val="both"/>
              <w:rPr>
                <w:rFonts w:ascii="標楷體" w:eastAsia="標楷體" w:hAnsi="標楷體"/>
              </w:rPr>
            </w:pPr>
            <w:r w:rsidRPr="004D451D">
              <w:rPr>
                <w:rFonts w:ascii="標楷體" w:eastAsia="標楷體" w:hAnsi="標楷體" w:cs="Arial" w:hint="eastAsia"/>
                <w:kern w:val="0"/>
              </w:rPr>
              <w:t>無相關轉移的限制或主要障礙。</w:t>
            </w:r>
          </w:p>
        </w:tc>
      </w:tr>
    </w:tbl>
    <w:p w:rsidR="00BF1989" w:rsidRPr="004D451D" w:rsidRDefault="00BF1989" w:rsidP="00BF1989">
      <w:pPr>
        <w:rPr>
          <w:rFonts w:eastAsia="標楷體"/>
          <w:b/>
          <w:sz w:val="22"/>
          <w:szCs w:val="22"/>
        </w:rPr>
      </w:pPr>
    </w:p>
    <w:p w:rsidR="008747F1" w:rsidRPr="004D451D" w:rsidRDefault="00BF1989" w:rsidP="00BF1989">
      <w:pPr>
        <w:ind w:left="1218" w:hangingChars="507" w:hanging="1218"/>
        <w:rPr>
          <w:rFonts w:eastAsia="標楷體" w:hAnsi="標楷體"/>
          <w:b/>
        </w:rPr>
      </w:pPr>
      <w:r w:rsidRPr="004D451D">
        <w:rPr>
          <w:rFonts w:eastAsia="標楷體" w:hAnsi="標楷體" w:hint="eastAsia"/>
          <w:b/>
        </w:rPr>
        <w:t>填表說明：</w:t>
      </w:r>
    </w:p>
    <w:p w:rsidR="008747F1" w:rsidRPr="004D451D" w:rsidRDefault="008747F1" w:rsidP="00482E54">
      <w:pPr>
        <w:numPr>
          <w:ilvl w:val="0"/>
          <w:numId w:val="95"/>
        </w:numPr>
        <w:ind w:leftChars="150" w:left="720" w:hangingChars="150"/>
        <w:rPr>
          <w:rFonts w:eastAsia="標楷體" w:hAnsi="標楷體"/>
        </w:rPr>
      </w:pPr>
      <w:r w:rsidRPr="004D451D">
        <w:rPr>
          <w:rFonts w:eastAsia="標楷體" w:hAnsi="標楷體" w:hint="eastAsia"/>
        </w:rPr>
        <w:t>本表更新頻率：</w:t>
      </w:r>
      <w:r w:rsidR="00CF73C7" w:rsidRPr="004D451D">
        <w:rPr>
          <w:rFonts w:eastAsia="標楷體" w:hAnsi="標楷體" w:hint="eastAsia"/>
        </w:rPr>
        <w:t>半</w:t>
      </w:r>
      <w:r w:rsidRPr="004D451D">
        <w:rPr>
          <w:rFonts w:eastAsia="標楷體" w:hAnsi="標楷體" w:hint="eastAsia"/>
        </w:rPr>
        <w:t>年。</w:t>
      </w:r>
    </w:p>
    <w:p w:rsidR="00BF1989" w:rsidRPr="004D451D" w:rsidRDefault="00BF1989" w:rsidP="00482E54">
      <w:pPr>
        <w:numPr>
          <w:ilvl w:val="0"/>
          <w:numId w:val="95"/>
        </w:numPr>
        <w:ind w:leftChars="150" w:left="720" w:hangingChars="150"/>
        <w:rPr>
          <w:rFonts w:eastAsia="標楷體"/>
          <w:b/>
        </w:rPr>
      </w:pPr>
      <w:r w:rsidRPr="004D451D">
        <w:rPr>
          <w:rFonts w:eastAsia="標楷體" w:hAnsi="標楷體" w:hint="eastAsia"/>
        </w:rPr>
        <w:t>合併比例一欄，完全合併者填入</w:t>
      </w:r>
      <w:r w:rsidRPr="004D451D">
        <w:rPr>
          <w:rFonts w:eastAsia="標楷體"/>
        </w:rPr>
        <w:t>100%</w:t>
      </w:r>
      <w:r w:rsidRPr="004D451D">
        <w:rPr>
          <w:rFonts w:eastAsia="標楷體" w:hAnsi="標楷體" w:hint="eastAsia"/>
        </w:rPr>
        <w:t>，比例合併者填入持股比例，未納入合併者填入</w:t>
      </w:r>
      <w:r w:rsidRPr="004D451D">
        <w:rPr>
          <w:rFonts w:eastAsia="標楷體"/>
        </w:rPr>
        <w:t>0%</w:t>
      </w:r>
      <w:r w:rsidRPr="004D451D">
        <w:rPr>
          <w:rFonts w:eastAsia="標楷體" w:hAnsi="標楷體" w:hint="eastAsia"/>
        </w:rPr>
        <w:t>。</w:t>
      </w:r>
    </w:p>
    <w:p w:rsidR="00BF1989" w:rsidRPr="004D451D" w:rsidRDefault="00BF1989" w:rsidP="00AD24B5">
      <w:pPr>
        <w:spacing w:beforeLines="2000" w:before="4800"/>
        <w:rPr>
          <w:rFonts w:ascii="標楷體" w:eastAsia="標楷體" w:hAnsi="標楷體"/>
          <w:b/>
          <w:sz w:val="28"/>
          <w:szCs w:val="28"/>
          <w:u w:val="single"/>
        </w:rPr>
      </w:pPr>
      <w:r w:rsidRPr="004D451D">
        <w:rPr>
          <w:rFonts w:ascii="標楷體" w:eastAsia="標楷體" w:hAnsi="標楷體" w:hint="eastAsia"/>
          <w:b/>
          <w:sz w:val="32"/>
          <w:szCs w:val="32"/>
        </w:rPr>
        <w:lastRenderedPageBreak/>
        <w:t>【附表二】</w:t>
      </w:r>
    </w:p>
    <w:p w:rsidR="00BF1989" w:rsidRPr="004D451D" w:rsidRDefault="00BF1989" w:rsidP="00BF1989">
      <w:pPr>
        <w:pStyle w:val="ad"/>
        <w:spacing w:beforeLines="100" w:before="240" w:afterLines="100" w:after="240" w:line="240" w:lineRule="auto"/>
        <w:ind w:left="0" w:firstLine="0"/>
        <w:jc w:val="center"/>
        <w:rPr>
          <w:b/>
        </w:rPr>
      </w:pPr>
      <w:r w:rsidRPr="004D451D">
        <w:rPr>
          <w:rFonts w:hint="eastAsia"/>
          <w:b/>
        </w:rPr>
        <w:t>資本適足性管理說明</w:t>
      </w:r>
    </w:p>
    <w:p w:rsidR="00BF1989" w:rsidRPr="004D451D" w:rsidRDefault="00AD24B5" w:rsidP="00BF1989">
      <w:pPr>
        <w:pStyle w:val="ad"/>
        <w:spacing w:before="120" w:after="120" w:line="240" w:lineRule="auto"/>
        <w:ind w:left="0" w:firstLine="0"/>
        <w:jc w:val="center"/>
        <w:rPr>
          <w:szCs w:val="32"/>
        </w:rPr>
      </w:pPr>
      <w:r w:rsidRPr="004D451D">
        <w:rPr>
          <w:rFonts w:cs="Arial" w:hint="eastAsia"/>
          <w:szCs w:val="32"/>
        </w:rPr>
        <w:t>10</w:t>
      </w:r>
      <w:r w:rsidR="00854AFA" w:rsidRPr="004D451D">
        <w:rPr>
          <w:rFonts w:cs="Arial" w:hint="eastAsia"/>
          <w:szCs w:val="32"/>
        </w:rPr>
        <w:t>7</w:t>
      </w:r>
      <w:r w:rsidR="00BF1989" w:rsidRPr="004D451D">
        <w:rPr>
          <w:rFonts w:hint="eastAsia"/>
          <w:szCs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904"/>
      </w:tblGrid>
      <w:tr w:rsidR="004D451D" w:rsidRPr="004D451D" w:rsidTr="00BF53C1">
        <w:trPr>
          <w:trHeight w:val="480"/>
        </w:trPr>
        <w:tc>
          <w:tcPr>
            <w:tcW w:w="2447" w:type="pct"/>
            <w:vAlign w:val="center"/>
          </w:tcPr>
          <w:p w:rsidR="00BF1989" w:rsidRPr="004D451D" w:rsidRDefault="00BF1989" w:rsidP="00BF53C1">
            <w:pPr>
              <w:spacing w:line="400" w:lineRule="exact"/>
              <w:jc w:val="center"/>
              <w:rPr>
                <w:rFonts w:ascii="標楷體" w:eastAsia="標楷體" w:hAnsi="標楷體" w:cs="Arial"/>
                <w:bCs/>
                <w:kern w:val="0"/>
              </w:rPr>
            </w:pPr>
            <w:r w:rsidRPr="004D451D">
              <w:rPr>
                <w:rFonts w:ascii="標楷體" w:eastAsia="標楷體" w:hAnsi="標楷體" w:hint="eastAsia"/>
              </w:rPr>
              <w:t>項</w:t>
            </w:r>
            <w:r w:rsidRPr="004D451D">
              <w:rPr>
                <w:rFonts w:ascii="標楷體" w:eastAsia="標楷體" w:hAnsi="標楷體"/>
              </w:rPr>
              <w:t xml:space="preserve">    </w:t>
            </w:r>
            <w:r w:rsidRPr="004D451D">
              <w:rPr>
                <w:rFonts w:ascii="標楷體" w:eastAsia="標楷體" w:hAnsi="標楷體" w:hint="eastAsia"/>
              </w:rPr>
              <w:t>目</w:t>
            </w:r>
          </w:p>
        </w:tc>
        <w:tc>
          <w:tcPr>
            <w:tcW w:w="2553" w:type="pct"/>
            <w:vAlign w:val="center"/>
          </w:tcPr>
          <w:p w:rsidR="00BF1989" w:rsidRPr="004D451D" w:rsidRDefault="00BF1989" w:rsidP="00BF53C1">
            <w:pPr>
              <w:spacing w:line="400" w:lineRule="exact"/>
              <w:jc w:val="center"/>
              <w:rPr>
                <w:rFonts w:ascii="標楷體" w:eastAsia="標楷體" w:hAnsi="標楷體" w:cs="Arial"/>
                <w:bCs/>
                <w:kern w:val="0"/>
              </w:rPr>
            </w:pPr>
            <w:r w:rsidRPr="004D451D">
              <w:rPr>
                <w:rFonts w:ascii="標楷體" w:eastAsia="標楷體" w:hAnsi="標楷體" w:hint="eastAsia"/>
              </w:rPr>
              <w:t>內</w:t>
            </w:r>
            <w:r w:rsidRPr="004D451D">
              <w:rPr>
                <w:rFonts w:ascii="標楷體" w:eastAsia="標楷體" w:hAnsi="標楷體"/>
              </w:rPr>
              <w:t xml:space="preserve">    </w:t>
            </w:r>
            <w:r w:rsidRPr="004D451D">
              <w:rPr>
                <w:rFonts w:ascii="標楷體" w:eastAsia="標楷體" w:hAnsi="標楷體" w:hint="eastAsia"/>
              </w:rPr>
              <w:t>容</w:t>
            </w:r>
          </w:p>
        </w:tc>
      </w:tr>
      <w:tr w:rsidR="00BF1989" w:rsidRPr="004D451D" w:rsidTr="00BF53C1">
        <w:trPr>
          <w:trHeight w:val="876"/>
        </w:trPr>
        <w:tc>
          <w:tcPr>
            <w:tcW w:w="2447" w:type="pct"/>
          </w:tcPr>
          <w:p w:rsidR="00BF1989" w:rsidRPr="004D451D" w:rsidRDefault="00BF1989" w:rsidP="00BF53C1">
            <w:pPr>
              <w:spacing w:line="400" w:lineRule="exact"/>
              <w:rPr>
                <w:rFonts w:ascii="標楷體" w:eastAsia="標楷體" w:hAnsi="標楷體" w:cs="Arial"/>
                <w:bCs/>
                <w:kern w:val="0"/>
              </w:rPr>
            </w:pPr>
            <w:r w:rsidRPr="004D451D">
              <w:rPr>
                <w:rFonts w:ascii="標楷體" w:eastAsia="標楷體" w:hAnsi="標楷體" w:cs="Arial" w:hint="eastAsia"/>
                <w:kern w:val="0"/>
              </w:rPr>
              <w:t>簡要論述銀行面對目前和未來業務，其評估資本適足性的方法</w:t>
            </w:r>
          </w:p>
        </w:tc>
        <w:tc>
          <w:tcPr>
            <w:tcW w:w="2553" w:type="pct"/>
          </w:tcPr>
          <w:p w:rsidR="00BF1989" w:rsidRPr="004D451D" w:rsidRDefault="00AD24B5" w:rsidP="00BF53C1">
            <w:pPr>
              <w:spacing w:line="400" w:lineRule="exact"/>
              <w:rPr>
                <w:rFonts w:ascii="標楷體" w:eastAsia="標楷體" w:hAnsi="標楷體" w:cs="Arial"/>
                <w:bCs/>
                <w:kern w:val="0"/>
              </w:rPr>
            </w:pPr>
            <w:r w:rsidRPr="004D451D">
              <w:rPr>
                <w:rFonts w:ascii="標楷體" w:eastAsia="標楷體" w:hAnsi="標楷體" w:cs="Arial" w:hint="eastAsia"/>
                <w:kern w:val="0"/>
                <w:sz w:val="28"/>
                <w:szCs w:val="28"/>
              </w:rPr>
              <w:t>本行依金管會「</w:t>
            </w:r>
            <w:r w:rsidRPr="004D451D">
              <w:rPr>
                <w:rFonts w:ascii="標楷體" w:eastAsia="標楷體" w:hAnsi="標楷體" w:hint="eastAsia"/>
                <w:sz w:val="28"/>
                <w:szCs w:val="28"/>
              </w:rPr>
              <w:t>銀行</w:t>
            </w:r>
            <w:r w:rsidRPr="004D451D">
              <w:rPr>
                <w:rFonts w:ascii="標楷體" w:eastAsia="標楷體" w:hAnsi="標楷體"/>
                <w:sz w:val="28"/>
                <w:szCs w:val="28"/>
              </w:rPr>
              <w:t>資本適足性</w:t>
            </w:r>
            <w:r w:rsidRPr="004D451D">
              <w:rPr>
                <w:rFonts w:ascii="標楷體" w:eastAsia="標楷體" w:hAnsi="標楷體" w:hint="eastAsia"/>
                <w:sz w:val="28"/>
                <w:szCs w:val="28"/>
              </w:rPr>
              <w:t>及資本等級</w:t>
            </w:r>
            <w:r w:rsidRPr="004D451D">
              <w:rPr>
                <w:rFonts w:ascii="標楷體" w:eastAsia="標楷體" w:hAnsi="標楷體"/>
                <w:sz w:val="28"/>
                <w:szCs w:val="28"/>
              </w:rPr>
              <w:t>管理辦法</w:t>
            </w:r>
            <w:r w:rsidRPr="004D451D">
              <w:rPr>
                <w:rFonts w:ascii="標楷體" w:eastAsia="標楷體" w:hAnsi="標楷體" w:cs="Arial" w:hint="eastAsia"/>
                <w:kern w:val="0"/>
                <w:sz w:val="28"/>
                <w:szCs w:val="28"/>
              </w:rPr>
              <w:t>」及</w:t>
            </w:r>
            <w:r w:rsidRPr="004D451D">
              <w:rPr>
                <w:rFonts w:ascii="標楷體" w:eastAsia="標楷體" w:hAnsi="標楷體" w:cs="Tahoma" w:hint="eastAsia"/>
                <w:kern w:val="0"/>
                <w:sz w:val="28"/>
                <w:szCs w:val="28"/>
              </w:rPr>
              <w:t>「銀行自有資本與風險性資產之計算方法及表格」</w:t>
            </w:r>
            <w:r w:rsidRPr="004D451D">
              <w:rPr>
                <w:rFonts w:ascii="標楷體" w:eastAsia="標楷體" w:hAnsi="標楷體" w:cs="Arial" w:hint="eastAsia"/>
                <w:kern w:val="0"/>
                <w:sz w:val="28"/>
                <w:szCs w:val="28"/>
              </w:rPr>
              <w:t>規定計算資本適足率，高於最低資本適足率8%要求，屬於「資本適足」水準，</w:t>
            </w:r>
            <w:r w:rsidRPr="004D451D">
              <w:rPr>
                <w:rFonts w:ascii="標楷體" w:eastAsia="標楷體" w:hAnsi="標楷體" w:hint="eastAsia"/>
                <w:sz w:val="28"/>
                <w:szCs w:val="28"/>
              </w:rPr>
              <w:t>符合本行「資本適足性評估程序」對「目標資本適足率」胃納聲明（整體資本適足率不低於</w:t>
            </w:r>
            <w:r w:rsidRPr="004D451D">
              <w:rPr>
                <w:rFonts w:ascii="標楷體" w:eastAsia="標楷體" w:hAnsi="標楷體"/>
                <w:sz w:val="28"/>
                <w:szCs w:val="28"/>
              </w:rPr>
              <w:t>10</w:t>
            </w:r>
            <w:r w:rsidRPr="004D451D">
              <w:rPr>
                <w:rFonts w:ascii="標楷體" w:eastAsia="標楷體" w:hAnsi="標楷體" w:hint="eastAsia"/>
                <w:sz w:val="28"/>
                <w:szCs w:val="28"/>
              </w:rPr>
              <w:t>.5</w:t>
            </w:r>
            <w:r w:rsidRPr="004D451D">
              <w:rPr>
                <w:rFonts w:ascii="標楷體" w:eastAsia="標楷體" w:hAnsi="標楷體"/>
                <w:sz w:val="28"/>
                <w:szCs w:val="28"/>
              </w:rPr>
              <w:t>%</w:t>
            </w:r>
            <w:r w:rsidRPr="004D451D">
              <w:rPr>
                <w:rFonts w:ascii="標楷體" w:eastAsia="標楷體" w:hAnsi="標楷體" w:hint="eastAsia"/>
                <w:sz w:val="28"/>
                <w:szCs w:val="28"/>
              </w:rPr>
              <w:t>為目標，第一類資本不低於風險性資產總額之8.5</w:t>
            </w:r>
            <w:r w:rsidRPr="004D451D">
              <w:rPr>
                <w:rFonts w:ascii="標楷體" w:eastAsia="標楷體" w:hAnsi="標楷體"/>
                <w:sz w:val="28"/>
                <w:szCs w:val="28"/>
              </w:rPr>
              <w:t>%</w:t>
            </w:r>
            <w:r w:rsidRPr="004D451D">
              <w:rPr>
                <w:rFonts w:ascii="標楷體" w:eastAsia="標楷體" w:hAnsi="標楷體" w:hint="eastAsia"/>
                <w:sz w:val="28"/>
                <w:szCs w:val="28"/>
              </w:rPr>
              <w:t>為目標，槓桿比率不低於3%為目標）及本行</w:t>
            </w:r>
            <w:r w:rsidRPr="004D451D">
              <w:rPr>
                <w:rFonts w:ascii="標楷體" w:eastAsia="標楷體" w:hAnsi="標楷體"/>
                <w:sz w:val="28"/>
                <w:szCs w:val="28"/>
              </w:rPr>
              <w:t>資本</w:t>
            </w:r>
            <w:r w:rsidRPr="004D451D">
              <w:rPr>
                <w:rFonts w:ascii="標楷體" w:eastAsia="標楷體" w:hAnsi="標楷體" w:hint="eastAsia"/>
                <w:sz w:val="28"/>
                <w:szCs w:val="28"/>
              </w:rPr>
              <w:t>管理指標規定，並</w:t>
            </w:r>
            <w:r w:rsidRPr="004D451D">
              <w:rPr>
                <w:rFonts w:ascii="標楷體" w:eastAsia="標楷體" w:hAnsi="標楷體" w:cs="Arial" w:hint="eastAsia"/>
                <w:kern w:val="0"/>
                <w:sz w:val="28"/>
                <w:szCs w:val="28"/>
              </w:rPr>
              <w:t>每月向風險管理委員會報告，每季向董事會提報風險控管報告，依財務預測計畫預估未來三年的資本狀況及所採行之策略</w:t>
            </w:r>
            <w:r w:rsidRPr="004D451D">
              <w:rPr>
                <w:rFonts w:ascii="標楷體" w:eastAsia="標楷體" w:hAnsi="標楷體" w:hint="eastAsia"/>
                <w:sz w:val="28"/>
                <w:szCs w:val="28"/>
              </w:rPr>
              <w:t>。</w:t>
            </w:r>
          </w:p>
        </w:tc>
      </w:tr>
    </w:tbl>
    <w:p w:rsidR="008747F1" w:rsidRPr="004D451D" w:rsidRDefault="008747F1" w:rsidP="002E6965">
      <w:pPr>
        <w:spacing w:line="400" w:lineRule="exact"/>
        <w:rPr>
          <w:rFonts w:ascii="標楷體" w:eastAsia="標楷體" w:hAnsi="標楷體" w:cs="Arial"/>
          <w:b/>
          <w:bCs/>
          <w:kern w:val="0"/>
          <w:sz w:val="22"/>
          <w:szCs w:val="22"/>
        </w:rPr>
      </w:pPr>
    </w:p>
    <w:p w:rsidR="008747F1" w:rsidRPr="004D451D" w:rsidRDefault="008747F1" w:rsidP="002E6965">
      <w:pPr>
        <w:spacing w:line="400" w:lineRule="exact"/>
        <w:rPr>
          <w:rFonts w:ascii="標楷體" w:eastAsia="標楷體" w:hAnsi="標楷體" w:cs="Arial"/>
          <w:b/>
          <w:bCs/>
          <w:kern w:val="0"/>
          <w:sz w:val="22"/>
          <w:szCs w:val="22"/>
        </w:rPr>
      </w:pPr>
      <w:r w:rsidRPr="004D451D">
        <w:rPr>
          <w:rFonts w:ascii="標楷體" w:eastAsia="標楷體" w:hAnsi="標楷體" w:cs="Arial" w:hint="eastAsia"/>
          <w:b/>
          <w:bCs/>
          <w:kern w:val="0"/>
          <w:sz w:val="22"/>
          <w:szCs w:val="22"/>
        </w:rPr>
        <w:t>填表說明：</w:t>
      </w:r>
    </w:p>
    <w:p w:rsidR="008747F1" w:rsidRPr="004D451D" w:rsidRDefault="008747F1" w:rsidP="00482E54">
      <w:pPr>
        <w:numPr>
          <w:ilvl w:val="0"/>
          <w:numId w:val="96"/>
        </w:numPr>
        <w:spacing w:line="400" w:lineRule="exact"/>
        <w:ind w:leftChars="150" w:left="690" w:hangingChars="150" w:hanging="330"/>
        <w:rPr>
          <w:rFonts w:ascii="標楷體" w:eastAsia="標楷體" w:hAnsi="標楷體" w:cs="Arial"/>
          <w:bCs/>
          <w:kern w:val="0"/>
          <w:sz w:val="22"/>
          <w:szCs w:val="22"/>
        </w:rPr>
      </w:pPr>
      <w:r w:rsidRPr="004D451D">
        <w:rPr>
          <w:rFonts w:ascii="標楷體" w:eastAsia="標楷體" w:hAnsi="標楷體" w:cs="Arial" w:hint="eastAsia"/>
          <w:bCs/>
          <w:kern w:val="0"/>
          <w:sz w:val="22"/>
          <w:szCs w:val="22"/>
        </w:rPr>
        <w:t>本表更新頻率：年。</w:t>
      </w:r>
    </w:p>
    <w:p w:rsidR="00BF1989" w:rsidRPr="004D451D" w:rsidRDefault="00BF1989" w:rsidP="00BF1989">
      <w:pPr>
        <w:rPr>
          <w:rFonts w:ascii="標楷體" w:eastAsia="標楷體" w:hAnsi="標楷體"/>
          <w:b/>
          <w:sz w:val="32"/>
          <w:szCs w:val="32"/>
        </w:rPr>
      </w:pPr>
      <w:r w:rsidRPr="004D451D">
        <w:rPr>
          <w:rFonts w:ascii="標楷體" w:eastAsia="標楷體" w:hAnsi="標楷體"/>
          <w:sz w:val="32"/>
          <w:szCs w:val="32"/>
        </w:rPr>
        <w:br w:type="page"/>
      </w:r>
      <w:r w:rsidRPr="004D451D">
        <w:rPr>
          <w:rFonts w:ascii="標楷體" w:eastAsia="標楷體" w:hAnsi="標楷體" w:hint="eastAsia"/>
          <w:b/>
          <w:sz w:val="32"/>
          <w:szCs w:val="32"/>
        </w:rPr>
        <w:lastRenderedPageBreak/>
        <w:t>【附表三】</w:t>
      </w:r>
    </w:p>
    <w:p w:rsidR="00BF1989" w:rsidRPr="004D451D" w:rsidRDefault="00BF1989" w:rsidP="00BF1989">
      <w:pPr>
        <w:pStyle w:val="ad"/>
        <w:spacing w:beforeLines="100" w:before="240" w:afterLines="100" w:after="240" w:line="240" w:lineRule="auto"/>
        <w:ind w:left="0" w:firstLine="0"/>
        <w:jc w:val="center"/>
        <w:rPr>
          <w:b/>
        </w:rPr>
      </w:pPr>
      <w:r w:rsidRPr="004D451D">
        <w:rPr>
          <w:rFonts w:hint="eastAsia"/>
          <w:b/>
        </w:rPr>
        <w:t>資本適足比率</w:t>
      </w:r>
    </w:p>
    <w:p w:rsidR="00BF1989" w:rsidRPr="004D451D" w:rsidRDefault="00AD24B5" w:rsidP="00BF1989">
      <w:pPr>
        <w:spacing w:before="120" w:after="120" w:line="400" w:lineRule="exact"/>
        <w:ind w:firstLineChars="250" w:firstLine="700"/>
        <w:rPr>
          <w:rFonts w:ascii="標楷體" w:eastAsia="標楷體" w:hAnsi="標楷體" w:cs="Arial"/>
          <w:b/>
          <w:bCs/>
          <w:kern w:val="0"/>
          <w:sz w:val="22"/>
          <w:szCs w:val="22"/>
        </w:rPr>
      </w:pPr>
      <w:r w:rsidRPr="004D451D">
        <w:rPr>
          <w:rFonts w:ascii="標楷體" w:eastAsia="標楷體" w:hAnsi="標楷體"/>
          <w:sz w:val="28"/>
          <w:szCs w:val="28"/>
        </w:rPr>
        <w:t xml:space="preserve">                  </w:t>
      </w:r>
      <w:r w:rsidRPr="004D451D">
        <w:rPr>
          <w:rFonts w:ascii="標楷體" w:eastAsia="標楷體" w:hAnsi="標楷體"/>
          <w:sz w:val="32"/>
          <w:szCs w:val="32"/>
        </w:rPr>
        <w:t xml:space="preserve">  </w:t>
      </w:r>
      <w:r w:rsidRPr="004D451D">
        <w:rPr>
          <w:rFonts w:ascii="標楷體" w:eastAsia="標楷體" w:hAnsi="標楷體" w:hint="eastAsia"/>
          <w:sz w:val="32"/>
          <w:szCs w:val="32"/>
        </w:rPr>
        <w:t>10</w:t>
      </w:r>
      <w:r w:rsidR="00854AFA" w:rsidRPr="004D451D">
        <w:rPr>
          <w:rFonts w:ascii="標楷體" w:eastAsia="標楷體" w:hAnsi="標楷體" w:hint="eastAsia"/>
          <w:sz w:val="32"/>
          <w:szCs w:val="32"/>
        </w:rPr>
        <w:t>7</w:t>
      </w:r>
      <w:r w:rsidR="00BF1989" w:rsidRPr="004D451D">
        <w:rPr>
          <w:rFonts w:ascii="標楷體" w:eastAsia="標楷體" w:hAnsi="標楷體" w:hint="eastAsia"/>
          <w:sz w:val="32"/>
          <w:szCs w:val="32"/>
        </w:rPr>
        <w:t>年</w:t>
      </w:r>
      <w:r w:rsidR="00854AFA" w:rsidRPr="004D451D">
        <w:rPr>
          <w:rFonts w:ascii="標楷體" w:eastAsia="標楷體" w:hAnsi="標楷體" w:hint="eastAsia"/>
          <w:sz w:val="32"/>
          <w:szCs w:val="32"/>
        </w:rPr>
        <w:t>06</w:t>
      </w:r>
      <w:r w:rsidR="00BF1989" w:rsidRPr="004D451D">
        <w:rPr>
          <w:rFonts w:ascii="標楷體" w:eastAsia="標楷體" w:hAnsi="標楷體" w:hint="eastAsia"/>
          <w:sz w:val="32"/>
          <w:szCs w:val="32"/>
        </w:rPr>
        <w:t>月</w:t>
      </w:r>
      <w:r w:rsidRPr="004D451D">
        <w:rPr>
          <w:rFonts w:ascii="標楷體" w:eastAsia="標楷體" w:hAnsi="標楷體" w:hint="eastAsia"/>
          <w:sz w:val="32"/>
          <w:szCs w:val="32"/>
        </w:rPr>
        <w:t>3</w:t>
      </w:r>
      <w:r w:rsidR="00854AFA" w:rsidRPr="004D451D">
        <w:rPr>
          <w:rFonts w:ascii="標楷體" w:eastAsia="標楷體" w:hAnsi="標楷體" w:hint="eastAsia"/>
          <w:sz w:val="32"/>
          <w:szCs w:val="32"/>
        </w:rPr>
        <w:t>0</w:t>
      </w:r>
      <w:r w:rsidR="00BF1989" w:rsidRPr="004D451D">
        <w:rPr>
          <w:rFonts w:ascii="標楷體" w:eastAsia="標楷體" w:hAnsi="標楷體" w:hint="eastAsia"/>
          <w:sz w:val="32"/>
          <w:szCs w:val="32"/>
        </w:rPr>
        <w:t>日</w:t>
      </w:r>
      <w:r w:rsidR="00BF1989" w:rsidRPr="004D451D">
        <w:rPr>
          <w:rFonts w:ascii="標楷體" w:eastAsia="標楷體" w:hAnsi="標楷體"/>
          <w:sz w:val="28"/>
          <w:szCs w:val="28"/>
        </w:rPr>
        <w:t xml:space="preserve">      </w:t>
      </w:r>
      <w:r w:rsidR="00BF1989" w:rsidRPr="004D451D">
        <w:rPr>
          <w:rFonts w:ascii="標楷體" w:eastAsia="標楷體" w:hAnsi="標楷體" w:hint="eastAsia"/>
        </w:rPr>
        <w:t>（單位：新臺幣千元；</w:t>
      </w:r>
      <w:r w:rsidR="00BF1989" w:rsidRPr="004D451D">
        <w:rPr>
          <w:rFonts w:ascii="標楷體" w:eastAsia="標楷體" w:hAnsi="標楷體"/>
        </w:rPr>
        <w:t>%</w:t>
      </w:r>
      <w:r w:rsidR="00BF1989" w:rsidRPr="004D451D">
        <w:rPr>
          <w:rFonts w:ascii="標楷體" w:eastAsia="標楷體" w:hAnsi="標楷體" w:hint="eastAsia"/>
        </w:rPr>
        <w:t>）</w:t>
      </w:r>
    </w:p>
    <w:tbl>
      <w:tblPr>
        <w:tblW w:w="5001" w:type="pct"/>
        <w:tblLook w:val="01E0" w:firstRow="1" w:lastRow="1" w:firstColumn="1" w:lastColumn="1" w:noHBand="0" w:noVBand="0"/>
      </w:tblPr>
      <w:tblGrid>
        <w:gridCol w:w="2640"/>
        <w:gridCol w:w="100"/>
        <w:gridCol w:w="1710"/>
        <w:gridCol w:w="58"/>
        <w:gridCol w:w="1658"/>
        <w:gridCol w:w="42"/>
        <w:gridCol w:w="1671"/>
        <w:gridCol w:w="29"/>
        <w:gridCol w:w="1698"/>
      </w:tblGrid>
      <w:tr w:rsidR="004D451D" w:rsidRPr="004D451D" w:rsidTr="00BF53C1">
        <w:trPr>
          <w:trHeight w:val="458"/>
        </w:trPr>
        <w:tc>
          <w:tcPr>
            <w:tcW w:w="1426" w:type="pct"/>
            <w:gridSpan w:val="2"/>
            <w:vMerge w:val="restart"/>
            <w:tcBorders>
              <w:top w:val="single" w:sz="4" w:space="0" w:color="auto"/>
              <w:left w:val="single" w:sz="4" w:space="0" w:color="auto"/>
              <w:right w:val="single" w:sz="4" w:space="0" w:color="auto"/>
            </w:tcBorders>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項</w:t>
            </w:r>
            <w:r w:rsidRPr="004D451D">
              <w:rPr>
                <w:rFonts w:ascii="標楷體" w:eastAsia="標楷體" w:hAnsi="標楷體"/>
              </w:rPr>
              <w:t xml:space="preserve">    </w:t>
            </w:r>
            <w:r w:rsidRPr="004D451D">
              <w:rPr>
                <w:rFonts w:ascii="標楷體" w:eastAsia="標楷體" w:hAnsi="標楷體" w:hint="eastAsia"/>
              </w:rPr>
              <w:t>目</w:t>
            </w:r>
          </w:p>
        </w:tc>
        <w:tc>
          <w:tcPr>
            <w:tcW w:w="1783" w:type="pct"/>
            <w:gridSpan w:val="3"/>
            <w:tcBorders>
              <w:top w:val="single" w:sz="4" w:space="0" w:color="auto"/>
              <w:left w:val="single" w:sz="4" w:space="0" w:color="auto"/>
              <w:bottom w:val="single" w:sz="4" w:space="0" w:color="auto"/>
              <w:right w:val="single" w:sz="4" w:space="0" w:color="auto"/>
            </w:tcBorders>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本</w:t>
            </w:r>
            <w:r w:rsidRPr="004D451D">
              <w:rPr>
                <w:rFonts w:ascii="標楷體" w:eastAsia="標楷體" w:hAnsi="標楷體"/>
              </w:rPr>
              <w:t xml:space="preserve">    </w:t>
            </w:r>
            <w:r w:rsidRPr="004D451D">
              <w:rPr>
                <w:rFonts w:ascii="標楷體" w:eastAsia="標楷體" w:hAnsi="標楷體" w:hint="eastAsia"/>
              </w:rPr>
              <w:t>行</w:t>
            </w:r>
          </w:p>
        </w:tc>
        <w:tc>
          <w:tcPr>
            <w:tcW w:w="1791" w:type="pct"/>
            <w:gridSpan w:val="4"/>
            <w:tcBorders>
              <w:top w:val="single" w:sz="4" w:space="0" w:color="auto"/>
              <w:left w:val="single" w:sz="4" w:space="0" w:color="auto"/>
              <w:bottom w:val="single" w:sz="4" w:space="0" w:color="auto"/>
              <w:right w:val="single" w:sz="4" w:space="0" w:color="auto"/>
            </w:tcBorders>
            <w:vAlign w:val="center"/>
          </w:tcPr>
          <w:p w:rsidR="00BF1989" w:rsidRPr="004D451D" w:rsidRDefault="00BF1989" w:rsidP="00BF53C1">
            <w:pPr>
              <w:spacing w:before="60" w:after="60"/>
              <w:jc w:val="center"/>
              <w:rPr>
                <w:rFonts w:ascii="標楷體" w:eastAsia="標楷體" w:hAnsi="標楷體"/>
              </w:rPr>
            </w:pPr>
            <w:r w:rsidRPr="004D451D">
              <w:rPr>
                <w:rFonts w:ascii="標楷體" w:eastAsia="標楷體" w:hAnsi="標楷體" w:hint="eastAsia"/>
              </w:rPr>
              <w:t>合</w:t>
            </w:r>
            <w:r w:rsidRPr="004D451D">
              <w:rPr>
                <w:rFonts w:ascii="標楷體" w:eastAsia="標楷體" w:hAnsi="標楷體"/>
              </w:rPr>
              <w:t xml:space="preserve">    </w:t>
            </w:r>
            <w:r w:rsidRPr="004D451D">
              <w:rPr>
                <w:rFonts w:ascii="標楷體" w:eastAsia="標楷體" w:hAnsi="標楷體" w:hint="eastAsia"/>
              </w:rPr>
              <w:t>併</w:t>
            </w:r>
          </w:p>
        </w:tc>
      </w:tr>
      <w:tr w:rsidR="004D451D" w:rsidRPr="004D451D" w:rsidTr="00854AFA">
        <w:trPr>
          <w:trHeight w:val="493"/>
        </w:trPr>
        <w:tc>
          <w:tcPr>
            <w:tcW w:w="1426" w:type="pct"/>
            <w:gridSpan w:val="2"/>
            <w:vMerge/>
            <w:tcBorders>
              <w:left w:val="single" w:sz="4" w:space="0" w:color="auto"/>
              <w:bottom w:val="single" w:sz="4" w:space="0" w:color="auto"/>
              <w:right w:val="single" w:sz="4" w:space="0" w:color="auto"/>
            </w:tcBorders>
          </w:tcPr>
          <w:p w:rsidR="00854AFA" w:rsidRPr="004D451D" w:rsidRDefault="00854AFA" w:rsidP="00BF53C1">
            <w:pPr>
              <w:spacing w:before="60" w:after="60"/>
              <w:rPr>
                <w:rFonts w:ascii="標楷體" w:eastAsia="標楷體" w:hAnsi="標楷體"/>
              </w:rPr>
            </w:pP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年06月30日</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pStyle w:val="ad"/>
              <w:spacing w:before="60" w:after="60" w:line="240" w:lineRule="auto"/>
              <w:ind w:left="0" w:firstLine="0"/>
              <w:jc w:val="center"/>
              <w:rPr>
                <w:sz w:val="20"/>
                <w:szCs w:val="20"/>
              </w:rPr>
            </w:pPr>
            <w:r w:rsidRPr="004D451D">
              <w:rPr>
                <w:rFonts w:cs="Arial" w:hint="eastAsia"/>
                <w:sz w:val="20"/>
                <w:szCs w:val="20"/>
              </w:rPr>
              <w:t>106</w:t>
            </w:r>
            <w:r w:rsidRPr="004D451D">
              <w:rPr>
                <w:rFonts w:hint="eastAsia"/>
                <w:sz w:val="20"/>
                <w:szCs w:val="20"/>
              </w:rPr>
              <w:t>年06月30日</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pStyle w:val="ad"/>
              <w:spacing w:before="60" w:after="60" w:line="240" w:lineRule="auto"/>
              <w:ind w:left="0" w:firstLine="0"/>
              <w:jc w:val="center"/>
              <w:rPr>
                <w:rFonts w:cs="Arial"/>
                <w:sz w:val="20"/>
                <w:szCs w:val="20"/>
              </w:rPr>
            </w:pPr>
            <w:r w:rsidRPr="004D451D">
              <w:rPr>
                <w:rFonts w:cs="Arial" w:hint="eastAsia"/>
                <w:sz w:val="20"/>
                <w:szCs w:val="20"/>
              </w:rPr>
              <w:t>107年06月30日</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pStyle w:val="ad"/>
              <w:spacing w:before="60" w:after="60" w:line="240" w:lineRule="auto"/>
              <w:ind w:left="0" w:firstLine="0"/>
              <w:jc w:val="center"/>
              <w:rPr>
                <w:rFonts w:cs="Arial"/>
                <w:sz w:val="20"/>
                <w:szCs w:val="20"/>
              </w:rPr>
            </w:pPr>
            <w:r w:rsidRPr="004D451D">
              <w:rPr>
                <w:rFonts w:cs="Arial" w:hint="eastAsia"/>
                <w:sz w:val="20"/>
                <w:szCs w:val="20"/>
              </w:rPr>
              <w:t>106年06月30日</w:t>
            </w:r>
          </w:p>
        </w:tc>
      </w:tr>
      <w:tr w:rsidR="004D451D" w:rsidRPr="004D451D" w:rsidTr="00BF53C1">
        <w:trPr>
          <w:trHeight w:val="416"/>
        </w:trPr>
        <w:tc>
          <w:tcPr>
            <w:tcW w:w="5000" w:type="pct"/>
            <w:gridSpan w:val="9"/>
            <w:tcBorders>
              <w:left w:val="single" w:sz="4" w:space="0" w:color="auto"/>
              <w:bottom w:val="single" w:sz="4" w:space="0" w:color="auto"/>
              <w:right w:val="single" w:sz="4" w:space="0" w:color="auto"/>
            </w:tcBorders>
            <w:vAlign w:val="center"/>
          </w:tcPr>
          <w:p w:rsidR="00BF1989" w:rsidRPr="004D451D" w:rsidRDefault="00BF1989" w:rsidP="00BF53C1">
            <w:pPr>
              <w:spacing w:before="60" w:after="60"/>
              <w:rPr>
                <w:rFonts w:ascii="標楷體" w:eastAsia="標楷體" w:hAnsi="標楷體"/>
              </w:rPr>
            </w:pPr>
            <w:r w:rsidRPr="004D451D">
              <w:rPr>
                <w:rFonts w:ascii="標楷體" w:eastAsia="標楷體" w:hAnsi="標楷體" w:hint="eastAsia"/>
              </w:rPr>
              <w:t>自有資本：</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ind w:leftChars="100" w:left="240"/>
              <w:rPr>
                <w:rFonts w:ascii="標楷體" w:eastAsia="標楷體" w:hAnsi="標楷體"/>
              </w:rPr>
            </w:pPr>
            <w:r w:rsidRPr="004D451D">
              <w:rPr>
                <w:rFonts w:ascii="標楷體" w:eastAsia="標楷體" w:hAnsi="標楷體" w:hint="eastAsia"/>
              </w:rPr>
              <w:t>普通股權益第一類資本淨額</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130FBC">
            <w:pPr>
              <w:spacing w:before="60" w:after="60"/>
              <w:jc w:val="right"/>
              <w:rPr>
                <w:rFonts w:ascii="Arial" w:eastAsia="標楷體" w:hAnsi="Arial" w:cs="Arial"/>
              </w:rPr>
            </w:pPr>
            <w:r w:rsidRPr="004D451D">
              <w:rPr>
                <w:rFonts w:ascii="Arial" w:eastAsia="標楷體" w:hAnsi="Arial" w:cs="Arial" w:hint="eastAsia"/>
              </w:rPr>
              <w:t>33,799,409</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31,286,431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34,353,001</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31,675,288</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ind w:leftChars="100" w:left="240"/>
              <w:rPr>
                <w:rFonts w:ascii="標楷體" w:eastAsia="標楷體" w:hAnsi="標楷體"/>
              </w:rPr>
            </w:pPr>
            <w:r w:rsidRPr="004D451D">
              <w:rPr>
                <w:rFonts w:ascii="標楷體" w:eastAsia="標楷體" w:hAnsi="標楷體" w:hint="eastAsia"/>
              </w:rPr>
              <w:t>非普通股權益之其他第一類資本淨額</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hint="eastAsia"/>
              </w:rPr>
              <w:t>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0</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0</w:t>
            </w:r>
          </w:p>
        </w:tc>
      </w:tr>
      <w:tr w:rsidR="004D451D" w:rsidRPr="004D451D" w:rsidTr="00BF53C1">
        <w:trPr>
          <w:trHeight w:val="416"/>
        </w:trPr>
        <w:tc>
          <w:tcPr>
            <w:tcW w:w="1426" w:type="pct"/>
            <w:gridSpan w:val="2"/>
            <w:tcBorders>
              <w:top w:val="single" w:sz="4" w:space="0" w:color="auto"/>
              <w:left w:val="single" w:sz="4" w:space="0" w:color="auto"/>
              <w:right w:val="single" w:sz="4" w:space="0" w:color="auto"/>
            </w:tcBorders>
            <w:vAlign w:val="center"/>
          </w:tcPr>
          <w:p w:rsidR="00854AFA" w:rsidRPr="004D451D" w:rsidRDefault="00854AFA" w:rsidP="00BF53C1">
            <w:pPr>
              <w:spacing w:before="60" w:after="60"/>
              <w:ind w:leftChars="100" w:left="240"/>
              <w:rPr>
                <w:rFonts w:ascii="標楷體" w:eastAsia="標楷體" w:hAnsi="標楷體"/>
              </w:rPr>
            </w:pPr>
            <w:r w:rsidRPr="004D451D">
              <w:rPr>
                <w:rFonts w:ascii="標楷體" w:eastAsia="標楷體" w:hAnsi="標楷體" w:hint="eastAsia"/>
              </w:rPr>
              <w:t>第二類資本淨額</w:t>
            </w:r>
          </w:p>
        </w:tc>
        <w:tc>
          <w:tcPr>
            <w:tcW w:w="890" w:type="pct"/>
            <w:tcBorders>
              <w:top w:val="single" w:sz="4" w:space="0" w:color="auto"/>
              <w:left w:val="single" w:sz="4" w:space="0" w:color="auto"/>
              <w:right w:val="single" w:sz="4" w:space="0" w:color="auto"/>
            </w:tcBorders>
            <w:vAlign w:val="center"/>
          </w:tcPr>
          <w:p w:rsidR="00854AFA" w:rsidRPr="004D451D" w:rsidRDefault="00854AFA" w:rsidP="00130FBC">
            <w:pPr>
              <w:spacing w:before="60" w:after="60"/>
              <w:jc w:val="right"/>
              <w:rPr>
                <w:rFonts w:ascii="Arial" w:eastAsia="標楷體" w:hAnsi="Arial" w:cs="Arial"/>
              </w:rPr>
            </w:pPr>
            <w:r w:rsidRPr="004D451D">
              <w:rPr>
                <w:rFonts w:ascii="Arial" w:eastAsia="標楷體" w:hAnsi="Arial" w:cs="Arial" w:hint="eastAsia"/>
              </w:rPr>
              <w:t>397,513</w:t>
            </w:r>
          </w:p>
        </w:tc>
        <w:tc>
          <w:tcPr>
            <w:tcW w:w="893" w:type="pct"/>
            <w:gridSpan w:val="2"/>
            <w:tcBorders>
              <w:top w:val="single" w:sz="4" w:space="0" w:color="auto"/>
              <w:left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1,261,156</w:t>
            </w:r>
          </w:p>
        </w:tc>
        <w:tc>
          <w:tcPr>
            <w:tcW w:w="892" w:type="pct"/>
            <w:gridSpan w:val="2"/>
            <w:tcBorders>
              <w:top w:val="single" w:sz="4" w:space="0" w:color="auto"/>
              <w:left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951,105</w:t>
            </w:r>
          </w:p>
        </w:tc>
        <w:tc>
          <w:tcPr>
            <w:tcW w:w="899" w:type="pct"/>
            <w:gridSpan w:val="2"/>
            <w:tcBorders>
              <w:top w:val="single" w:sz="4" w:space="0" w:color="auto"/>
              <w:left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1,650,013</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rPr>
            </w:pPr>
            <w:r w:rsidRPr="004D451D">
              <w:rPr>
                <w:rFonts w:ascii="標楷體" w:eastAsia="標楷體" w:hAnsi="標楷體" w:hint="eastAsia"/>
              </w:rPr>
              <w:t>自有資本合計數</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130FBC">
            <w:pPr>
              <w:spacing w:before="60" w:after="60"/>
              <w:jc w:val="right"/>
              <w:rPr>
                <w:rFonts w:ascii="Arial" w:eastAsia="標楷體" w:hAnsi="Arial" w:cs="Arial"/>
              </w:rPr>
            </w:pPr>
            <w:r w:rsidRPr="004D451D">
              <w:rPr>
                <w:rFonts w:ascii="Arial" w:eastAsia="標楷體" w:hAnsi="Arial" w:cs="Arial" w:hint="eastAsia"/>
              </w:rPr>
              <w:t>34,196,922</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32,547,587</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35,304,106</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33,325,301</w:t>
            </w:r>
          </w:p>
        </w:tc>
      </w:tr>
      <w:tr w:rsidR="004D451D" w:rsidRPr="004D451D" w:rsidTr="00BF53C1">
        <w:trPr>
          <w:trHeight w:val="416"/>
        </w:trPr>
        <w:tc>
          <w:tcPr>
            <w:tcW w:w="5000" w:type="pct"/>
            <w:gridSpan w:val="9"/>
            <w:tcBorders>
              <w:top w:val="single" w:sz="4" w:space="0" w:color="auto"/>
              <w:left w:val="single" w:sz="4" w:space="0" w:color="auto"/>
              <w:bottom w:val="single" w:sz="4" w:space="0" w:color="auto"/>
              <w:right w:val="single" w:sz="4" w:space="0" w:color="auto"/>
            </w:tcBorders>
            <w:vAlign w:val="center"/>
          </w:tcPr>
          <w:p w:rsidR="00AD24B5" w:rsidRPr="004D451D" w:rsidRDefault="00AD24B5" w:rsidP="00BF53C1">
            <w:pPr>
              <w:spacing w:before="60" w:after="60"/>
              <w:rPr>
                <w:rFonts w:ascii="標楷體" w:eastAsia="標楷體" w:hAnsi="標楷體"/>
              </w:rPr>
            </w:pPr>
            <w:r w:rsidRPr="004D451D">
              <w:rPr>
                <w:rFonts w:ascii="標楷體" w:eastAsia="標楷體" w:hAnsi="標楷體" w:cs="DFKaiShu-SB-Estd-BF" w:hint="eastAsia"/>
                <w:kern w:val="0"/>
              </w:rPr>
              <w:t>加權風險性資產：</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autoSpaceDE w:val="0"/>
              <w:autoSpaceDN w:val="0"/>
              <w:spacing w:before="60" w:after="60" w:line="400" w:lineRule="exact"/>
              <w:ind w:leftChars="100" w:left="480" w:hangingChars="100" w:hanging="240"/>
              <w:rPr>
                <w:rFonts w:ascii="標楷體" w:eastAsia="標楷體" w:hAnsi="標楷體"/>
              </w:rPr>
            </w:pPr>
            <w:r w:rsidRPr="004D451D">
              <w:rPr>
                <w:rFonts w:ascii="標楷體" w:eastAsia="標楷體" w:hAnsi="標楷體" w:cs="DFKaiShu-SB-Estd-BF" w:hint="eastAsia"/>
                <w:kern w:val="0"/>
              </w:rPr>
              <w:t>信用風險</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130FBC">
            <w:pPr>
              <w:spacing w:before="60" w:after="60"/>
              <w:jc w:val="right"/>
              <w:rPr>
                <w:rFonts w:ascii="Arial" w:eastAsia="標楷體" w:hAnsi="Arial" w:cs="Arial"/>
              </w:rPr>
            </w:pPr>
            <w:r w:rsidRPr="004D451D">
              <w:rPr>
                <w:rFonts w:ascii="Arial" w:eastAsia="標楷體" w:hAnsi="Arial" w:cs="Arial" w:hint="eastAsia"/>
              </w:rPr>
              <w:t>194,441,015</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177,416,819</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196,931,070</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178,436,603</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autoSpaceDE w:val="0"/>
              <w:autoSpaceDN w:val="0"/>
              <w:spacing w:before="60" w:after="60" w:line="400" w:lineRule="exact"/>
              <w:ind w:leftChars="100" w:left="480" w:hangingChars="100" w:hanging="240"/>
              <w:rPr>
                <w:rFonts w:ascii="標楷體" w:eastAsia="標楷體" w:hAnsi="標楷體"/>
              </w:rPr>
            </w:pPr>
            <w:r w:rsidRPr="004D451D">
              <w:rPr>
                <w:rFonts w:ascii="標楷體" w:eastAsia="標楷體" w:hAnsi="標楷體" w:cs="DFKaiShu-SB-Estd-BF" w:hint="eastAsia"/>
                <w:kern w:val="0"/>
              </w:rPr>
              <w:t>作業風險</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hint="eastAsia"/>
              </w:rPr>
              <w:t>13,437,529</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12,412,119</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13,659,885</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12,624,398</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ind w:leftChars="100" w:left="240"/>
              <w:rPr>
                <w:rFonts w:ascii="標楷體" w:eastAsia="標楷體" w:hAnsi="標楷體"/>
              </w:rPr>
            </w:pPr>
            <w:r w:rsidRPr="004D451D">
              <w:rPr>
                <w:rFonts w:ascii="標楷體" w:eastAsia="標楷體" w:hAnsi="標楷體" w:cs="DFKaiShu-SB-Estd-BF" w:hint="eastAsia"/>
                <w:kern w:val="0"/>
              </w:rPr>
              <w:t>市場風險</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130FBC">
            <w:pPr>
              <w:spacing w:before="60" w:after="60"/>
              <w:jc w:val="right"/>
              <w:rPr>
                <w:rFonts w:ascii="Arial" w:eastAsia="標楷體" w:hAnsi="Arial" w:cs="Arial"/>
              </w:rPr>
            </w:pPr>
            <w:r w:rsidRPr="004D451D">
              <w:rPr>
                <w:rFonts w:ascii="Arial" w:eastAsia="標楷體" w:hAnsi="Arial" w:cs="Arial" w:hint="eastAsia"/>
              </w:rPr>
              <w:t>23,697,738</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22,830,687</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24,421,806</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23,623,654</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rPr>
            </w:pPr>
            <w:r w:rsidRPr="004D451D">
              <w:rPr>
                <w:rFonts w:ascii="標楷體" w:eastAsia="標楷體" w:hAnsi="標楷體" w:cs="DFKaiShu-SB-Estd-BF" w:hint="eastAsia"/>
                <w:kern w:val="0"/>
              </w:rPr>
              <w:t>加權風險性資產合計數</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hint="eastAsia"/>
              </w:rPr>
              <w:t>231,576,282</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212,659,625</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235,012,761</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214,684,655</w:t>
            </w:r>
          </w:p>
        </w:tc>
      </w:tr>
      <w:tr w:rsidR="004D451D" w:rsidRPr="004D451D" w:rsidTr="00BF53C1">
        <w:trPr>
          <w:trHeight w:val="277"/>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cs="DFKaiShu-SB-Estd-BF"/>
                <w:kern w:val="0"/>
              </w:rPr>
            </w:pPr>
            <w:r w:rsidRPr="004D451D">
              <w:rPr>
                <w:rFonts w:ascii="標楷體" w:eastAsia="標楷體" w:hAnsi="標楷體" w:cs="DFKaiShu-SB-Estd-BF" w:hint="eastAsia"/>
                <w:kern w:val="0"/>
              </w:rPr>
              <w:t>普通股權益比率</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E4648C" w:rsidP="00130FBC">
            <w:pPr>
              <w:spacing w:before="60" w:after="60"/>
              <w:jc w:val="right"/>
              <w:rPr>
                <w:rFonts w:ascii="Arial" w:eastAsia="標楷體" w:hAnsi="Arial" w:cs="Arial"/>
              </w:rPr>
            </w:pPr>
            <w:r w:rsidRPr="004D451D">
              <w:rPr>
                <w:rFonts w:ascii="Arial" w:eastAsia="標楷體" w:hAnsi="Arial" w:cs="Arial" w:hint="eastAsia"/>
              </w:rPr>
              <w:t>14.60%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14.71%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14.62%</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14.75%</w:t>
            </w:r>
          </w:p>
        </w:tc>
      </w:tr>
      <w:tr w:rsidR="004D451D" w:rsidRPr="004D451D" w:rsidTr="00BF53C1">
        <w:trPr>
          <w:trHeight w:val="277"/>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rPr>
            </w:pPr>
            <w:r w:rsidRPr="004D451D">
              <w:rPr>
                <w:rFonts w:ascii="標楷體" w:eastAsia="標楷體" w:hAnsi="標楷體" w:cs="DFKaiShu-SB-Estd-BF" w:hint="eastAsia"/>
                <w:kern w:val="0"/>
              </w:rPr>
              <w:t>第一類資本比率</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E4648C" w:rsidP="00130FBC">
            <w:pPr>
              <w:spacing w:before="60" w:after="60"/>
              <w:jc w:val="right"/>
              <w:rPr>
                <w:rFonts w:ascii="Arial" w:eastAsia="標楷體" w:hAnsi="Arial" w:cs="Arial"/>
              </w:rPr>
            </w:pPr>
            <w:r w:rsidRPr="004D451D">
              <w:rPr>
                <w:rFonts w:ascii="Arial" w:eastAsia="標楷體" w:hAnsi="Arial" w:cs="Arial" w:hint="eastAsia"/>
              </w:rPr>
              <w:t>14.60%</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14.71%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14.62%</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14.75%</w:t>
            </w:r>
          </w:p>
        </w:tc>
      </w:tr>
      <w:tr w:rsidR="004D451D" w:rsidRPr="004D451D" w:rsidTr="00BF53C1">
        <w:trPr>
          <w:trHeight w:val="416"/>
        </w:trPr>
        <w:tc>
          <w:tcPr>
            <w:tcW w:w="1426"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rPr>
            </w:pPr>
            <w:r w:rsidRPr="004D451D">
              <w:rPr>
                <w:rFonts w:ascii="標楷體" w:eastAsia="標楷體" w:hAnsi="標楷體" w:cs="DFKaiShu-SB-Estd-BF" w:hint="eastAsia"/>
                <w:kern w:val="0"/>
              </w:rPr>
              <w:t>資本適足率</w:t>
            </w:r>
          </w:p>
        </w:tc>
        <w:tc>
          <w:tcPr>
            <w:tcW w:w="890" w:type="pct"/>
            <w:tcBorders>
              <w:top w:val="single" w:sz="4" w:space="0" w:color="auto"/>
              <w:left w:val="single" w:sz="4" w:space="0" w:color="auto"/>
              <w:bottom w:val="single" w:sz="4" w:space="0" w:color="auto"/>
              <w:right w:val="single" w:sz="4" w:space="0" w:color="auto"/>
            </w:tcBorders>
            <w:vAlign w:val="center"/>
          </w:tcPr>
          <w:p w:rsidR="00854AFA" w:rsidRPr="004D451D" w:rsidRDefault="00E4648C" w:rsidP="00130FBC">
            <w:pPr>
              <w:spacing w:before="60" w:after="60"/>
              <w:jc w:val="right"/>
              <w:rPr>
                <w:rFonts w:ascii="Arial" w:eastAsia="標楷體" w:hAnsi="Arial" w:cs="Arial"/>
              </w:rPr>
            </w:pPr>
            <w:r w:rsidRPr="004D451D">
              <w:rPr>
                <w:rFonts w:ascii="Arial" w:eastAsia="標楷體" w:hAnsi="Arial" w:cs="Arial" w:hint="eastAsia"/>
              </w:rPr>
              <w:t>14.77%</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15.31%</w:t>
            </w:r>
          </w:p>
        </w:tc>
        <w:tc>
          <w:tcPr>
            <w:tcW w:w="892"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15.02%</w:t>
            </w:r>
          </w:p>
        </w:tc>
        <w:tc>
          <w:tcPr>
            <w:tcW w:w="899"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15.52%</w:t>
            </w:r>
          </w:p>
        </w:tc>
      </w:tr>
      <w:tr w:rsidR="004D451D" w:rsidRPr="004D451D" w:rsidTr="00BF53C1">
        <w:trPr>
          <w:trHeight w:val="2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D24B5" w:rsidRPr="004D451D" w:rsidRDefault="00AD24B5" w:rsidP="00BF53C1">
            <w:pPr>
              <w:spacing w:before="60" w:after="60"/>
              <w:rPr>
                <w:rFonts w:ascii="標楷體" w:eastAsia="標楷體" w:hAnsi="標楷體"/>
              </w:rPr>
            </w:pPr>
            <w:r w:rsidRPr="004D451D">
              <w:rPr>
                <w:rFonts w:ascii="標楷體" w:eastAsia="標楷體" w:hAnsi="標楷體" w:cs="DFKaiShu-SB-Estd-BF" w:hint="eastAsia"/>
                <w:kern w:val="0"/>
              </w:rPr>
              <w:t>槓桿比率：</w:t>
            </w:r>
          </w:p>
        </w:tc>
      </w:tr>
      <w:tr w:rsidR="004D451D" w:rsidRPr="004D451D"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cs="DFKaiShu-SB-Estd-BF"/>
                <w:kern w:val="0"/>
              </w:rPr>
            </w:pPr>
            <w:r w:rsidRPr="004D451D">
              <w:rPr>
                <w:rFonts w:ascii="標楷體" w:eastAsia="標楷體" w:hAnsi="標楷體" w:cs="DFKaiShu-SB-Estd-BF" w:hint="eastAsia"/>
                <w:kern w:val="0"/>
              </w:rPr>
              <w:t>第一類資本淨額</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854AFA" w:rsidRPr="004D451D" w:rsidRDefault="00E4648C" w:rsidP="00130FBC">
            <w:pPr>
              <w:spacing w:before="60" w:after="60"/>
              <w:jc w:val="right"/>
              <w:rPr>
                <w:rFonts w:ascii="Arial" w:eastAsia="標楷體" w:hAnsi="Arial" w:cs="Arial"/>
              </w:rPr>
            </w:pPr>
            <w:r w:rsidRPr="004D451D">
              <w:rPr>
                <w:rFonts w:ascii="Arial" w:eastAsia="標楷體" w:hAnsi="Arial" w:cs="Arial" w:hint="eastAsia"/>
              </w:rPr>
              <w:t>33,799,409</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31,286,431</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34,353,001</w:t>
            </w:r>
          </w:p>
        </w:tc>
        <w:tc>
          <w:tcPr>
            <w:tcW w:w="884"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31,675,288</w:t>
            </w:r>
          </w:p>
        </w:tc>
      </w:tr>
      <w:tr w:rsidR="004D451D" w:rsidRPr="004D451D"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cs="DFKaiShu-SB-Estd-BF"/>
                <w:kern w:val="0"/>
              </w:rPr>
            </w:pPr>
            <w:r w:rsidRPr="004D451D">
              <w:rPr>
                <w:rFonts w:ascii="標楷體" w:eastAsia="標楷體" w:hAnsi="標楷體" w:cs="DFKaiShu-SB-Estd-BF" w:hint="eastAsia"/>
                <w:kern w:val="0"/>
              </w:rPr>
              <w:t>暴險總額</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854AFA" w:rsidRPr="004D451D" w:rsidRDefault="00E4648C" w:rsidP="00130FBC">
            <w:pPr>
              <w:spacing w:before="60" w:after="60"/>
              <w:jc w:val="right"/>
              <w:rPr>
                <w:rFonts w:ascii="Arial" w:eastAsia="標楷體" w:hAnsi="Arial" w:cs="Arial"/>
              </w:rPr>
            </w:pPr>
            <w:r w:rsidRPr="004D451D">
              <w:rPr>
                <w:rFonts w:ascii="Arial" w:eastAsia="標楷體" w:hAnsi="Arial" w:cs="Arial" w:hint="eastAsia"/>
              </w:rPr>
              <w:t>293,336,042</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268,251,275</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295,651,533</w:t>
            </w:r>
          </w:p>
        </w:tc>
        <w:tc>
          <w:tcPr>
            <w:tcW w:w="884"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269,340,447</w:t>
            </w:r>
          </w:p>
        </w:tc>
      </w:tr>
      <w:tr w:rsidR="004D451D" w:rsidRPr="004D451D" w:rsidTr="00BF53C1">
        <w:trPr>
          <w:trHeight w:val="160"/>
        </w:trPr>
        <w:tc>
          <w:tcPr>
            <w:tcW w:w="1374"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BF53C1">
            <w:pPr>
              <w:spacing w:before="60" w:after="60"/>
              <w:rPr>
                <w:rFonts w:ascii="標楷體" w:eastAsia="標楷體" w:hAnsi="標楷體" w:cs="DFKaiShu-SB-Estd-BF"/>
                <w:kern w:val="0"/>
              </w:rPr>
            </w:pPr>
            <w:r w:rsidRPr="004D451D">
              <w:rPr>
                <w:rFonts w:ascii="標楷體" w:eastAsia="標楷體" w:hAnsi="標楷體" w:cs="DFKaiShu-SB-Estd-BF" w:hint="eastAsia"/>
                <w:kern w:val="0"/>
              </w:rPr>
              <w:t>槓桿比率</w:t>
            </w:r>
          </w:p>
        </w:tc>
        <w:tc>
          <w:tcPr>
            <w:tcW w:w="972" w:type="pct"/>
            <w:gridSpan w:val="3"/>
            <w:tcBorders>
              <w:top w:val="single" w:sz="4" w:space="0" w:color="auto"/>
              <w:left w:val="single" w:sz="4" w:space="0" w:color="auto"/>
              <w:bottom w:val="single" w:sz="4" w:space="0" w:color="auto"/>
              <w:right w:val="single" w:sz="4" w:space="0" w:color="auto"/>
            </w:tcBorders>
            <w:vAlign w:val="center"/>
          </w:tcPr>
          <w:p w:rsidR="00854AFA" w:rsidRPr="004D451D" w:rsidRDefault="00E4648C" w:rsidP="00130FBC">
            <w:pPr>
              <w:spacing w:before="60" w:after="60"/>
              <w:jc w:val="right"/>
              <w:rPr>
                <w:rFonts w:ascii="Arial" w:eastAsia="標楷體" w:hAnsi="Arial" w:cs="Arial"/>
              </w:rPr>
            </w:pPr>
            <w:r w:rsidRPr="004D451D">
              <w:rPr>
                <w:rFonts w:ascii="Arial" w:eastAsia="標楷體" w:hAnsi="Arial" w:cs="Arial" w:hint="eastAsia"/>
              </w:rPr>
              <w:t>11.52%</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11.66%</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854AFA" w:rsidRPr="004D451D" w:rsidRDefault="00E4648C" w:rsidP="006B6F43">
            <w:pPr>
              <w:spacing w:before="60" w:after="60"/>
              <w:jc w:val="right"/>
              <w:rPr>
                <w:rFonts w:ascii="Arial" w:eastAsia="標楷體" w:hAnsi="Arial" w:cs="Arial"/>
              </w:rPr>
            </w:pPr>
            <w:r w:rsidRPr="004D451D">
              <w:rPr>
                <w:rFonts w:ascii="Arial" w:eastAsia="標楷體" w:hAnsi="Arial" w:cs="Arial" w:hint="eastAsia"/>
              </w:rPr>
              <w:t>11.62%</w:t>
            </w:r>
          </w:p>
        </w:tc>
        <w:tc>
          <w:tcPr>
            <w:tcW w:w="884" w:type="pct"/>
            <w:tcBorders>
              <w:top w:val="single" w:sz="4" w:space="0" w:color="auto"/>
              <w:left w:val="single" w:sz="4" w:space="0" w:color="auto"/>
              <w:bottom w:val="single" w:sz="4" w:space="0" w:color="auto"/>
              <w:right w:val="single" w:sz="4" w:space="0" w:color="auto"/>
            </w:tcBorders>
            <w:vAlign w:val="center"/>
          </w:tcPr>
          <w:p w:rsidR="00854AFA" w:rsidRPr="004D451D" w:rsidRDefault="00854AFA" w:rsidP="00854AFA">
            <w:pPr>
              <w:spacing w:before="60" w:after="60"/>
              <w:jc w:val="right"/>
              <w:rPr>
                <w:rFonts w:ascii="Arial" w:eastAsia="標楷體" w:hAnsi="Arial" w:cs="Arial"/>
              </w:rPr>
            </w:pPr>
            <w:r w:rsidRPr="004D451D">
              <w:rPr>
                <w:rFonts w:ascii="Arial" w:eastAsia="標楷體" w:hAnsi="Arial" w:cs="Arial"/>
              </w:rPr>
              <w:t>11.76%</w:t>
            </w:r>
          </w:p>
        </w:tc>
      </w:tr>
    </w:tbl>
    <w:p w:rsidR="00337D63" w:rsidRPr="004D451D" w:rsidRDefault="00BF1989" w:rsidP="00BF1989">
      <w:pPr>
        <w:pStyle w:val="ad"/>
        <w:spacing w:line="240" w:lineRule="auto"/>
        <w:ind w:leftChars="23" w:left="1013" w:right="555"/>
        <w:rPr>
          <w:sz w:val="24"/>
        </w:rPr>
      </w:pPr>
      <w:r w:rsidRPr="004D451D">
        <w:rPr>
          <w:rFonts w:hint="eastAsia"/>
          <w:b/>
          <w:sz w:val="24"/>
        </w:rPr>
        <w:t>填表說明</w:t>
      </w:r>
      <w:r w:rsidRPr="004D451D">
        <w:rPr>
          <w:rFonts w:hint="eastAsia"/>
          <w:sz w:val="24"/>
        </w:rPr>
        <w:t>：</w:t>
      </w:r>
    </w:p>
    <w:p w:rsidR="00337D63" w:rsidRPr="004D451D" w:rsidRDefault="00337D63" w:rsidP="00482E54">
      <w:pPr>
        <w:pStyle w:val="ad"/>
        <w:numPr>
          <w:ilvl w:val="0"/>
          <w:numId w:val="97"/>
        </w:numPr>
        <w:spacing w:line="240" w:lineRule="auto"/>
        <w:ind w:leftChars="150" w:left="720" w:right="556" w:hangingChars="150"/>
        <w:rPr>
          <w:rFonts w:ascii="Times New Roman" w:hAnsi="Times New Roman"/>
          <w:sz w:val="24"/>
        </w:rPr>
      </w:pPr>
      <w:r w:rsidRPr="004D451D">
        <w:rPr>
          <w:rFonts w:ascii="Times New Roman" w:hAnsi="Times New Roman"/>
          <w:sz w:val="24"/>
        </w:rPr>
        <w:t>本表更新頻率：半年。</w:t>
      </w:r>
    </w:p>
    <w:p w:rsidR="00BF1989" w:rsidRPr="004D451D" w:rsidRDefault="00BF1989" w:rsidP="00482E54">
      <w:pPr>
        <w:pStyle w:val="ad"/>
        <w:numPr>
          <w:ilvl w:val="0"/>
          <w:numId w:val="97"/>
        </w:numPr>
        <w:spacing w:line="240" w:lineRule="auto"/>
        <w:ind w:leftChars="150" w:left="720" w:right="556" w:hangingChars="150"/>
        <w:rPr>
          <w:rFonts w:ascii="Times New Roman" w:hAnsi="Times New Roman"/>
          <w:sz w:val="24"/>
        </w:rPr>
      </w:pPr>
      <w:r w:rsidRPr="004D451D">
        <w:rPr>
          <w:rFonts w:ascii="Times New Roman" w:hAnsi="Times New Roman"/>
          <w:sz w:val="24"/>
        </w:rPr>
        <w:t>請填列申報當期及前一年度同期資料。</w:t>
      </w:r>
    </w:p>
    <w:p w:rsidR="00BF1989" w:rsidRPr="004D451D" w:rsidRDefault="00BF1989" w:rsidP="00337D63">
      <w:pPr>
        <w:rPr>
          <w:rFonts w:eastAsia="標楷體"/>
          <w:kern w:val="0"/>
        </w:rPr>
      </w:pPr>
    </w:p>
    <w:p w:rsidR="00BF1989" w:rsidRPr="004D451D" w:rsidRDefault="00BF1989" w:rsidP="00BF1989">
      <w:pPr>
        <w:rPr>
          <w:rFonts w:ascii="標楷體" w:eastAsia="標楷體" w:hAnsi="標楷體"/>
          <w:b/>
          <w:sz w:val="32"/>
          <w:szCs w:val="32"/>
        </w:rPr>
      </w:pPr>
      <w:r w:rsidRPr="004D451D">
        <w:rPr>
          <w:rFonts w:ascii="標楷體" w:eastAsia="標楷體" w:hAnsi="標楷體" w:cs="Arial"/>
          <w:kern w:val="0"/>
        </w:rPr>
        <w:br w:type="page"/>
      </w:r>
      <w:r w:rsidRPr="004D451D">
        <w:rPr>
          <w:rFonts w:ascii="標楷體" w:eastAsia="標楷體" w:hAnsi="標楷體" w:hint="eastAsia"/>
          <w:b/>
          <w:sz w:val="32"/>
          <w:szCs w:val="32"/>
        </w:rPr>
        <w:lastRenderedPageBreak/>
        <w:t>【附表四】</w:t>
      </w:r>
    </w:p>
    <w:p w:rsidR="00BF1989" w:rsidRPr="004D451D" w:rsidRDefault="00BF1989" w:rsidP="00BF1989">
      <w:pPr>
        <w:pStyle w:val="ad"/>
        <w:spacing w:afterLines="50" w:after="120" w:line="240" w:lineRule="auto"/>
        <w:ind w:left="0" w:firstLine="0"/>
        <w:jc w:val="center"/>
        <w:rPr>
          <w:b/>
        </w:rPr>
      </w:pPr>
      <w:r w:rsidRPr="004D451D">
        <w:rPr>
          <w:rFonts w:hint="eastAsia"/>
          <w:b/>
        </w:rPr>
        <w:t>資本結構</w:t>
      </w:r>
    </w:p>
    <w:p w:rsidR="00BF1989" w:rsidRPr="004D451D" w:rsidRDefault="006B6F43" w:rsidP="00BF1989">
      <w:pPr>
        <w:pStyle w:val="ad"/>
        <w:tabs>
          <w:tab w:val="left" w:pos="9360"/>
        </w:tabs>
        <w:spacing w:line="240" w:lineRule="auto"/>
        <w:ind w:leftChars="221" w:left="530" w:right="28" w:firstLine="0"/>
        <w:rPr>
          <w:b/>
          <w:szCs w:val="32"/>
        </w:rPr>
      </w:pPr>
      <w:r w:rsidRPr="004D451D">
        <w:rPr>
          <w:rFonts w:cs="Arial"/>
          <w:szCs w:val="32"/>
        </w:rPr>
        <w:t xml:space="preserve">                  </w:t>
      </w:r>
      <w:r w:rsidRPr="004D451D">
        <w:rPr>
          <w:rFonts w:cs="Arial" w:hint="eastAsia"/>
          <w:szCs w:val="32"/>
        </w:rPr>
        <w:t>10</w:t>
      </w:r>
      <w:r w:rsidR="00426D0C" w:rsidRPr="004D451D">
        <w:rPr>
          <w:rFonts w:cs="Arial" w:hint="eastAsia"/>
          <w:szCs w:val="32"/>
        </w:rPr>
        <w:t>7</w:t>
      </w:r>
      <w:r w:rsidR="00BF1989" w:rsidRPr="004D451D">
        <w:rPr>
          <w:rFonts w:hint="eastAsia"/>
          <w:szCs w:val="32"/>
        </w:rPr>
        <w:t>年</w:t>
      </w:r>
      <w:r w:rsidR="00426D0C" w:rsidRPr="004D451D">
        <w:rPr>
          <w:rFonts w:hint="eastAsia"/>
          <w:szCs w:val="32"/>
        </w:rPr>
        <w:t>06</w:t>
      </w:r>
      <w:r w:rsidR="00BF1989" w:rsidRPr="004D451D">
        <w:rPr>
          <w:rFonts w:hint="eastAsia"/>
          <w:szCs w:val="32"/>
        </w:rPr>
        <w:t>月</w:t>
      </w:r>
      <w:r w:rsidRPr="004D451D">
        <w:rPr>
          <w:rFonts w:hint="eastAsia"/>
          <w:szCs w:val="32"/>
        </w:rPr>
        <w:t>3</w:t>
      </w:r>
      <w:r w:rsidR="00426D0C" w:rsidRPr="004D451D">
        <w:rPr>
          <w:rFonts w:hint="eastAsia"/>
          <w:szCs w:val="32"/>
        </w:rPr>
        <w:t>0</w:t>
      </w:r>
      <w:r w:rsidR="00BF1989" w:rsidRPr="004D451D">
        <w:rPr>
          <w:rFonts w:hint="eastAsia"/>
          <w:szCs w:val="32"/>
        </w:rPr>
        <w:t>日</w:t>
      </w:r>
      <w:r w:rsidR="00BF1989" w:rsidRPr="004D451D">
        <w:rPr>
          <w:rFonts w:cs="Arial"/>
          <w:szCs w:val="32"/>
        </w:rPr>
        <w:t xml:space="preserve">        </w:t>
      </w:r>
      <w:r w:rsidR="00BF1989" w:rsidRPr="004D451D">
        <w:rPr>
          <w:rFonts w:cs="Arial" w:hint="eastAsia"/>
          <w:sz w:val="24"/>
        </w:rPr>
        <w:t>（單位：新臺幣千元）</w:t>
      </w:r>
    </w:p>
    <w:tbl>
      <w:tblPr>
        <w:tblW w:w="9228" w:type="pct"/>
        <w:tblInd w:w="-539" w:type="dxa"/>
        <w:tblCellMar>
          <w:left w:w="28" w:type="dxa"/>
          <w:right w:w="28" w:type="dxa"/>
        </w:tblCellMar>
        <w:tblLook w:val="0000" w:firstRow="0" w:lastRow="0" w:firstColumn="0" w:lastColumn="0" w:noHBand="0" w:noVBand="0"/>
      </w:tblPr>
      <w:tblGrid>
        <w:gridCol w:w="4112"/>
        <w:gridCol w:w="1701"/>
        <w:gridCol w:w="1705"/>
        <w:gridCol w:w="1590"/>
        <w:gridCol w:w="1670"/>
        <w:gridCol w:w="1663"/>
        <w:gridCol w:w="1663"/>
        <w:gridCol w:w="1663"/>
        <w:gridCol w:w="1663"/>
      </w:tblGrid>
      <w:tr w:rsidR="004D451D" w:rsidRPr="004D451D" w:rsidTr="00EF4134">
        <w:trPr>
          <w:gridAfter w:val="4"/>
          <w:wAfter w:w="1909" w:type="pct"/>
          <w:trHeight w:val="329"/>
        </w:trPr>
        <w:tc>
          <w:tcPr>
            <w:tcW w:w="1180" w:type="pct"/>
            <w:vMerge w:val="restart"/>
            <w:tcBorders>
              <w:top w:val="single" w:sz="4" w:space="0" w:color="auto"/>
              <w:left w:val="single" w:sz="4" w:space="0" w:color="auto"/>
              <w:bottom w:val="single" w:sz="4" w:space="0" w:color="auto"/>
              <w:right w:val="single" w:sz="4" w:space="0" w:color="auto"/>
            </w:tcBorders>
            <w:vAlign w:val="center"/>
          </w:tcPr>
          <w:p w:rsidR="00BF1989" w:rsidRPr="004D451D" w:rsidRDefault="00BF1989" w:rsidP="00BF53C1">
            <w:pPr>
              <w:widowControl/>
              <w:jc w:val="center"/>
              <w:rPr>
                <w:rFonts w:ascii="標楷體" w:eastAsia="標楷體" w:hAnsi="標楷體" w:cs="新細明體"/>
                <w:kern w:val="0"/>
              </w:rPr>
            </w:pPr>
            <w:r w:rsidRPr="004D451D">
              <w:rPr>
                <w:rFonts w:ascii="標楷體" w:eastAsia="標楷體" w:hAnsi="標楷體" w:cs="新細明體" w:hint="eastAsia"/>
                <w:kern w:val="0"/>
              </w:rPr>
              <w:t>項</w:t>
            </w:r>
            <w:r w:rsidRPr="004D451D">
              <w:rPr>
                <w:rFonts w:ascii="標楷體" w:eastAsia="標楷體" w:hAnsi="標楷體" w:cs="新細明體"/>
                <w:kern w:val="0"/>
              </w:rPr>
              <w:t xml:space="preserve">    </w:t>
            </w:r>
            <w:r w:rsidRPr="004D451D">
              <w:rPr>
                <w:rFonts w:ascii="標楷體" w:eastAsia="標楷體" w:hAnsi="標楷體" w:cs="新細明體" w:hint="eastAsia"/>
                <w:kern w:val="0"/>
              </w:rPr>
              <w:t>目</w:t>
            </w:r>
          </w:p>
        </w:tc>
        <w:tc>
          <w:tcPr>
            <w:tcW w:w="977" w:type="pct"/>
            <w:gridSpan w:val="2"/>
            <w:tcBorders>
              <w:top w:val="single" w:sz="4" w:space="0" w:color="auto"/>
              <w:left w:val="nil"/>
              <w:bottom w:val="single" w:sz="4" w:space="0" w:color="auto"/>
              <w:right w:val="single" w:sz="4" w:space="0" w:color="auto"/>
            </w:tcBorders>
            <w:noWrap/>
            <w:vAlign w:val="center"/>
          </w:tcPr>
          <w:p w:rsidR="00BF1989" w:rsidRPr="004D451D" w:rsidRDefault="00BF1989" w:rsidP="00BF53C1">
            <w:pPr>
              <w:widowControl/>
              <w:jc w:val="center"/>
              <w:rPr>
                <w:rFonts w:ascii="標楷體" w:eastAsia="標楷體" w:hAnsi="標楷體" w:cs="新細明體"/>
                <w:kern w:val="0"/>
              </w:rPr>
            </w:pPr>
            <w:r w:rsidRPr="004D451D">
              <w:rPr>
                <w:rFonts w:ascii="標楷體" w:eastAsia="標楷體" w:hAnsi="標楷體" w:cs="新細明體" w:hint="eastAsia"/>
                <w:kern w:val="0"/>
              </w:rPr>
              <w:t>本行</w:t>
            </w:r>
          </w:p>
        </w:tc>
        <w:tc>
          <w:tcPr>
            <w:tcW w:w="934" w:type="pct"/>
            <w:gridSpan w:val="2"/>
            <w:tcBorders>
              <w:top w:val="single" w:sz="4" w:space="0" w:color="auto"/>
              <w:left w:val="nil"/>
              <w:bottom w:val="single" w:sz="4" w:space="0" w:color="auto"/>
              <w:right w:val="single" w:sz="4" w:space="0" w:color="auto"/>
            </w:tcBorders>
            <w:noWrap/>
            <w:vAlign w:val="center"/>
          </w:tcPr>
          <w:p w:rsidR="00BF1989" w:rsidRPr="004D451D" w:rsidRDefault="00BF1989" w:rsidP="00BF53C1">
            <w:pPr>
              <w:widowControl/>
              <w:jc w:val="center"/>
              <w:rPr>
                <w:rFonts w:ascii="標楷體" w:eastAsia="標楷體" w:hAnsi="標楷體" w:cs="新細明體"/>
                <w:kern w:val="0"/>
              </w:rPr>
            </w:pPr>
            <w:r w:rsidRPr="004D451D">
              <w:rPr>
                <w:rFonts w:ascii="標楷體" w:eastAsia="標楷體" w:hAnsi="標楷體" w:cs="新細明體" w:hint="eastAsia"/>
                <w:kern w:val="0"/>
              </w:rPr>
              <w:t>合併</w:t>
            </w:r>
          </w:p>
        </w:tc>
      </w:tr>
      <w:tr w:rsidR="004D451D" w:rsidRPr="004D451D" w:rsidTr="00EF4134">
        <w:trPr>
          <w:gridAfter w:val="4"/>
          <w:wAfter w:w="1909" w:type="pct"/>
          <w:trHeight w:val="329"/>
        </w:trPr>
        <w:tc>
          <w:tcPr>
            <w:tcW w:w="1180" w:type="pct"/>
            <w:vMerge/>
            <w:tcBorders>
              <w:top w:val="single" w:sz="4" w:space="0" w:color="auto"/>
              <w:left w:val="single" w:sz="4" w:space="0" w:color="auto"/>
              <w:bottom w:val="single" w:sz="4" w:space="0" w:color="auto"/>
              <w:right w:val="single" w:sz="4" w:space="0" w:color="auto"/>
            </w:tcBorders>
            <w:vAlign w:val="center"/>
          </w:tcPr>
          <w:p w:rsidR="00426D0C" w:rsidRPr="004D451D" w:rsidRDefault="00426D0C" w:rsidP="00BF53C1">
            <w:pPr>
              <w:widowControl/>
              <w:rPr>
                <w:rFonts w:ascii="標楷體" w:eastAsia="標楷體" w:hAnsi="標楷體" w:cs="新細明體"/>
                <w:kern w:val="0"/>
              </w:rPr>
            </w:pPr>
          </w:p>
        </w:tc>
        <w:tc>
          <w:tcPr>
            <w:tcW w:w="488" w:type="pct"/>
            <w:tcBorders>
              <w:top w:val="nil"/>
              <w:left w:val="nil"/>
              <w:bottom w:val="single" w:sz="4" w:space="0" w:color="auto"/>
              <w:right w:val="single" w:sz="4" w:space="0" w:color="auto"/>
            </w:tcBorders>
            <w:vAlign w:val="center"/>
          </w:tcPr>
          <w:p w:rsidR="00426D0C" w:rsidRPr="004D451D" w:rsidRDefault="00426D0C" w:rsidP="00426D0C">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年06月30日</w:t>
            </w:r>
          </w:p>
        </w:tc>
        <w:tc>
          <w:tcPr>
            <w:tcW w:w="489" w:type="pct"/>
            <w:tcBorders>
              <w:top w:val="nil"/>
              <w:left w:val="nil"/>
              <w:bottom w:val="single" w:sz="4" w:space="0" w:color="auto"/>
              <w:right w:val="single" w:sz="4" w:space="0" w:color="auto"/>
            </w:tcBorders>
            <w:vAlign w:val="center"/>
          </w:tcPr>
          <w:p w:rsidR="00426D0C" w:rsidRPr="004D451D" w:rsidRDefault="00426D0C" w:rsidP="00426D0C">
            <w:pPr>
              <w:pStyle w:val="ad"/>
              <w:spacing w:before="60" w:after="60" w:line="240" w:lineRule="auto"/>
              <w:ind w:left="0" w:firstLine="0"/>
              <w:jc w:val="center"/>
              <w:rPr>
                <w:sz w:val="20"/>
                <w:szCs w:val="20"/>
              </w:rPr>
            </w:pPr>
            <w:r w:rsidRPr="004D451D">
              <w:rPr>
                <w:rFonts w:cs="Arial" w:hint="eastAsia"/>
                <w:sz w:val="20"/>
                <w:szCs w:val="20"/>
              </w:rPr>
              <w:t>106</w:t>
            </w:r>
            <w:r w:rsidRPr="004D451D">
              <w:rPr>
                <w:rFonts w:hint="eastAsia"/>
                <w:sz w:val="20"/>
                <w:szCs w:val="20"/>
              </w:rPr>
              <w:t>年06月30日</w:t>
            </w:r>
          </w:p>
        </w:tc>
        <w:tc>
          <w:tcPr>
            <w:tcW w:w="456" w:type="pct"/>
            <w:tcBorders>
              <w:top w:val="nil"/>
              <w:left w:val="nil"/>
              <w:bottom w:val="single" w:sz="4" w:space="0" w:color="auto"/>
              <w:right w:val="single" w:sz="4" w:space="0" w:color="auto"/>
            </w:tcBorders>
            <w:vAlign w:val="center"/>
          </w:tcPr>
          <w:p w:rsidR="00426D0C" w:rsidRPr="004D451D" w:rsidRDefault="00426D0C" w:rsidP="00426D0C">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年06月30日</w:t>
            </w:r>
          </w:p>
        </w:tc>
        <w:tc>
          <w:tcPr>
            <w:tcW w:w="478" w:type="pct"/>
            <w:tcBorders>
              <w:top w:val="nil"/>
              <w:left w:val="nil"/>
              <w:bottom w:val="single" w:sz="4" w:space="0" w:color="auto"/>
              <w:right w:val="single" w:sz="4" w:space="0" w:color="auto"/>
            </w:tcBorders>
            <w:vAlign w:val="center"/>
          </w:tcPr>
          <w:p w:rsidR="00426D0C" w:rsidRPr="004D451D" w:rsidRDefault="00426D0C" w:rsidP="00426D0C">
            <w:pPr>
              <w:pStyle w:val="ad"/>
              <w:spacing w:before="60" w:after="60" w:line="240" w:lineRule="auto"/>
              <w:ind w:left="0" w:firstLine="0"/>
              <w:jc w:val="center"/>
              <w:rPr>
                <w:sz w:val="20"/>
                <w:szCs w:val="20"/>
              </w:rPr>
            </w:pPr>
            <w:r w:rsidRPr="004D451D">
              <w:rPr>
                <w:rFonts w:cs="Arial" w:hint="eastAsia"/>
                <w:sz w:val="20"/>
                <w:szCs w:val="20"/>
              </w:rPr>
              <w:t>106</w:t>
            </w:r>
            <w:r w:rsidRPr="004D451D">
              <w:rPr>
                <w:rFonts w:hint="eastAsia"/>
                <w:sz w:val="20"/>
                <w:szCs w:val="20"/>
              </w:rPr>
              <w:t>年06月30日</w:t>
            </w:r>
          </w:p>
        </w:tc>
      </w:tr>
      <w:tr w:rsidR="004D451D" w:rsidRPr="004D451D" w:rsidTr="0061578E">
        <w:trPr>
          <w:gridAfter w:val="4"/>
          <w:wAfter w:w="1909" w:type="pct"/>
          <w:trHeight w:val="329"/>
        </w:trPr>
        <w:tc>
          <w:tcPr>
            <w:tcW w:w="3091" w:type="pct"/>
            <w:gridSpan w:val="5"/>
            <w:tcBorders>
              <w:top w:val="single" w:sz="4" w:space="0" w:color="auto"/>
              <w:left w:val="single" w:sz="4" w:space="0" w:color="auto"/>
              <w:bottom w:val="single" w:sz="4" w:space="0" w:color="auto"/>
              <w:right w:val="single" w:sz="4" w:space="0" w:color="auto"/>
            </w:tcBorders>
            <w:vAlign w:val="center"/>
          </w:tcPr>
          <w:p w:rsidR="00BF1989" w:rsidRPr="004D451D" w:rsidRDefault="00BF1989" w:rsidP="00BF53C1">
            <w:pPr>
              <w:widowControl/>
              <w:rPr>
                <w:rFonts w:ascii="標楷體" w:eastAsia="標楷體" w:hAnsi="標楷體" w:cs="新細明體"/>
                <w:b/>
                <w:bCs/>
                <w:kern w:val="0"/>
              </w:rPr>
            </w:pPr>
            <w:r w:rsidRPr="004D451D">
              <w:rPr>
                <w:rFonts w:ascii="標楷體" w:eastAsia="標楷體" w:hAnsi="標楷體" w:cs="新細明體" w:hint="eastAsia"/>
                <w:b/>
                <w:bCs/>
                <w:kern w:val="0"/>
              </w:rPr>
              <w:t>普通股權益第一類資本淨額：</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普通股股本</w:t>
            </w:r>
          </w:p>
        </w:tc>
        <w:tc>
          <w:tcPr>
            <w:tcW w:w="488" w:type="pct"/>
            <w:tcBorders>
              <w:top w:val="nil"/>
              <w:left w:val="nil"/>
              <w:bottom w:val="single" w:sz="4" w:space="0" w:color="auto"/>
              <w:right w:val="single" w:sz="4" w:space="0" w:color="auto"/>
            </w:tcBorders>
            <w:vAlign w:val="center"/>
          </w:tcPr>
          <w:p w:rsidR="00F97362" w:rsidRPr="004D451D" w:rsidRDefault="00F97362" w:rsidP="00B42968">
            <w:pPr>
              <w:widowControl/>
              <w:jc w:val="right"/>
              <w:rPr>
                <w:rFonts w:ascii="Arial" w:eastAsia="標楷體" w:hAnsi="Arial" w:cs="Arial"/>
                <w:kern w:val="0"/>
              </w:rPr>
            </w:pPr>
            <w:r w:rsidRPr="004D451D">
              <w:rPr>
                <w:rFonts w:ascii="Arial" w:eastAsia="標楷體" w:hAnsi="Arial" w:cs="Arial" w:hint="eastAsia"/>
                <w:kern w:val="0"/>
              </w:rPr>
              <w:t>11,512,343</w:t>
            </w:r>
          </w:p>
        </w:tc>
        <w:tc>
          <w:tcPr>
            <w:tcW w:w="489"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kern w:val="0"/>
              </w:rPr>
              <w:t>11,512,343</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11,512,343</w:t>
            </w:r>
          </w:p>
        </w:tc>
        <w:tc>
          <w:tcPr>
            <w:tcW w:w="478"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kern w:val="0"/>
              </w:rPr>
              <w:t>11,512,343</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預收普通股股本</w:t>
            </w:r>
          </w:p>
        </w:tc>
        <w:tc>
          <w:tcPr>
            <w:tcW w:w="488" w:type="pct"/>
            <w:tcBorders>
              <w:top w:val="nil"/>
              <w:left w:val="nil"/>
              <w:bottom w:val="single" w:sz="4" w:space="0" w:color="auto"/>
              <w:right w:val="single" w:sz="4" w:space="0" w:color="auto"/>
            </w:tcBorders>
            <w:vAlign w:val="center"/>
          </w:tcPr>
          <w:p w:rsidR="00F97362" w:rsidRPr="004D451D" w:rsidRDefault="00F97362" w:rsidP="00B42968">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strike/>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資本公積</w:t>
            </w:r>
            <w:r w:rsidRPr="004D451D">
              <w:rPr>
                <w:rFonts w:ascii="標楷體" w:eastAsia="標楷體" w:hAnsi="標楷體" w:cs="新細明體"/>
                <w:kern w:val="0"/>
              </w:rPr>
              <w:t>—</w:t>
            </w:r>
            <w:r w:rsidRPr="004D451D">
              <w:rPr>
                <w:rFonts w:ascii="標楷體" w:eastAsia="標楷體" w:hAnsi="標楷體" w:cs="新細明體" w:hint="eastAsia"/>
                <w:kern w:val="0"/>
              </w:rPr>
              <w:t>普通股股本溢價</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r w:rsidRPr="004D451D">
              <w:rPr>
                <w:rFonts w:ascii="Arial" w:eastAsia="標楷體" w:hAnsi="Arial" w:cs="Arial" w:hint="eastAsia"/>
                <w:kern w:val="0"/>
              </w:rPr>
              <w:t>54,455</w:t>
            </w:r>
          </w:p>
        </w:tc>
        <w:tc>
          <w:tcPr>
            <w:tcW w:w="489"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54,455</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54,455</w:t>
            </w:r>
          </w:p>
        </w:tc>
        <w:tc>
          <w:tcPr>
            <w:tcW w:w="478"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54,455</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ind w:firstLineChars="50" w:firstLine="120"/>
              <w:jc w:val="both"/>
              <w:rPr>
                <w:rFonts w:ascii="標楷體" w:eastAsia="標楷體" w:hAnsi="標楷體" w:cs="新細明體"/>
                <w:kern w:val="0"/>
              </w:rPr>
            </w:pPr>
            <w:r w:rsidRPr="004D451D">
              <w:rPr>
                <w:rFonts w:ascii="標楷體" w:eastAsia="標楷體" w:hAnsi="標楷體" w:cs="新細明體" w:hint="eastAsia"/>
                <w:kern w:val="0"/>
              </w:rPr>
              <w:t>資本公積</w:t>
            </w:r>
            <w:r w:rsidRPr="004D451D">
              <w:rPr>
                <w:rFonts w:ascii="標楷體" w:eastAsia="標楷體" w:hAnsi="標楷體" w:cs="新細明體"/>
                <w:kern w:val="0"/>
              </w:rPr>
              <w:t>—</w:t>
            </w:r>
            <w:r w:rsidRPr="004D451D">
              <w:rPr>
                <w:rFonts w:ascii="標楷體" w:eastAsia="標楷體" w:hAnsi="標楷體" w:cs="新細明體" w:hint="eastAsia"/>
                <w:kern w:val="0"/>
              </w:rPr>
              <w:t>其他</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r w:rsidRPr="004D451D">
              <w:rPr>
                <w:rFonts w:ascii="Arial" w:eastAsia="標楷體" w:hAnsi="Arial" w:cs="Arial" w:hint="eastAsia"/>
                <w:kern w:val="0"/>
              </w:rPr>
              <w:t>20,401</w:t>
            </w:r>
          </w:p>
        </w:tc>
        <w:tc>
          <w:tcPr>
            <w:tcW w:w="489" w:type="pct"/>
            <w:tcBorders>
              <w:top w:val="nil"/>
              <w:left w:val="nil"/>
              <w:bottom w:val="single" w:sz="4" w:space="0" w:color="auto"/>
              <w:right w:val="single" w:sz="4" w:space="0" w:color="auto"/>
            </w:tcBorders>
          </w:tcPr>
          <w:p w:rsidR="00F97362" w:rsidRPr="004D451D" w:rsidRDefault="00F97362" w:rsidP="00F97362">
            <w:pPr>
              <w:jc w:val="right"/>
              <w:rPr>
                <w:rFonts w:ascii="Arial" w:hAnsi="Arial" w:cs="Arial"/>
              </w:rPr>
            </w:pPr>
            <w:r w:rsidRPr="004D451D">
              <w:rPr>
                <w:rFonts w:ascii="Arial" w:hAnsi="Arial" w:cs="Arial"/>
              </w:rPr>
              <w:t xml:space="preserve"> </w:t>
            </w:r>
            <w:r w:rsidRPr="004D451D">
              <w:rPr>
                <w:rFonts w:ascii="Arial" w:hAnsi="Arial" w:cs="Arial" w:hint="eastAsia"/>
              </w:rPr>
              <w:t>7</w:t>
            </w:r>
            <w:r w:rsidRPr="004D451D">
              <w:rPr>
                <w:rFonts w:ascii="Arial" w:hAnsi="Arial" w:cs="Arial"/>
              </w:rPr>
              <w:t>,</w:t>
            </w:r>
            <w:r w:rsidRPr="004D451D">
              <w:rPr>
                <w:rFonts w:ascii="Arial" w:hAnsi="Arial" w:cs="Arial" w:hint="eastAsia"/>
              </w:rPr>
              <w:t>868</w:t>
            </w:r>
            <w:r w:rsidRPr="004D451D">
              <w:rPr>
                <w:rFonts w:ascii="Arial" w:hAnsi="Arial" w:cs="Arial"/>
              </w:rPr>
              <w:t xml:space="preserve">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20,401</w:t>
            </w:r>
          </w:p>
        </w:tc>
        <w:tc>
          <w:tcPr>
            <w:tcW w:w="478"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w:t>
            </w:r>
            <w:r w:rsidRPr="004D451D">
              <w:rPr>
                <w:rFonts w:ascii="Arial" w:hAnsi="Arial" w:cs="Arial" w:hint="eastAsia"/>
              </w:rPr>
              <w:t>7</w:t>
            </w:r>
            <w:r w:rsidRPr="004D451D">
              <w:rPr>
                <w:rFonts w:ascii="Arial" w:hAnsi="Arial" w:cs="Arial"/>
              </w:rPr>
              <w:t>,</w:t>
            </w:r>
            <w:r w:rsidRPr="004D451D">
              <w:rPr>
                <w:rFonts w:ascii="Arial" w:hAnsi="Arial" w:cs="Arial" w:hint="eastAsia"/>
              </w:rPr>
              <w:t>868</w:t>
            </w:r>
            <w:r w:rsidRPr="004D451D">
              <w:rPr>
                <w:rFonts w:ascii="Arial" w:hAnsi="Arial" w:cs="Arial"/>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法定盈餘公積</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r w:rsidRPr="004D451D">
              <w:rPr>
                <w:rFonts w:ascii="Arial" w:eastAsia="標楷體" w:hAnsi="Arial" w:cs="Arial" w:hint="eastAsia"/>
                <w:kern w:val="0"/>
              </w:rPr>
              <w:t>9,555,297</w:t>
            </w:r>
          </w:p>
        </w:tc>
        <w:tc>
          <w:tcPr>
            <w:tcW w:w="489"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7,872,137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9,555,297</w:t>
            </w:r>
          </w:p>
        </w:tc>
        <w:tc>
          <w:tcPr>
            <w:tcW w:w="478"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7,872,137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特別盈餘公積</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r w:rsidRPr="004D451D">
              <w:rPr>
                <w:rFonts w:ascii="Arial" w:eastAsia="標楷體" w:hAnsi="Arial" w:cs="Arial" w:hint="eastAsia"/>
                <w:kern w:val="0"/>
              </w:rPr>
              <w:t>100,930</w:t>
            </w:r>
          </w:p>
        </w:tc>
        <w:tc>
          <w:tcPr>
            <w:tcW w:w="489"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72,877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100,930</w:t>
            </w:r>
          </w:p>
        </w:tc>
        <w:tc>
          <w:tcPr>
            <w:tcW w:w="478"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72,877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累積盈虧</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r w:rsidRPr="004D451D">
              <w:rPr>
                <w:rFonts w:ascii="Arial" w:eastAsia="標楷體" w:hAnsi="Arial" w:cs="Arial" w:hint="eastAsia"/>
                <w:kern w:val="0"/>
              </w:rPr>
              <w:t>14,166,842</w:t>
            </w:r>
          </w:p>
        </w:tc>
        <w:tc>
          <w:tcPr>
            <w:tcW w:w="489"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12,680,335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14,166,842</w:t>
            </w:r>
          </w:p>
        </w:tc>
        <w:tc>
          <w:tcPr>
            <w:tcW w:w="478"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12,680,335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ind w:firstLineChars="50" w:firstLine="120"/>
              <w:jc w:val="both"/>
              <w:rPr>
                <w:rFonts w:ascii="標楷體" w:eastAsia="標楷體" w:hAnsi="標楷體" w:cs="新細明體"/>
                <w:kern w:val="0"/>
              </w:rPr>
            </w:pPr>
            <w:r w:rsidRPr="004D451D">
              <w:rPr>
                <w:rFonts w:ascii="標楷體" w:eastAsia="標楷體" w:hAnsi="標楷體" w:cs="新細明體" w:hint="eastAsia"/>
                <w:kern w:val="0"/>
              </w:rPr>
              <w:t>非控制權益</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p>
        </w:tc>
        <w:tc>
          <w:tcPr>
            <w:tcW w:w="489"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p>
        </w:tc>
        <w:tc>
          <w:tcPr>
            <w:tcW w:w="478"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p>
        </w:tc>
      </w:tr>
      <w:tr w:rsidR="004D451D" w:rsidRPr="004D451D" w:rsidTr="00EF4134">
        <w:trPr>
          <w:gridAfter w:val="4"/>
          <w:wAfter w:w="1909" w:type="pct"/>
          <w:trHeight w:val="336"/>
        </w:trPr>
        <w:tc>
          <w:tcPr>
            <w:tcW w:w="1180" w:type="pct"/>
            <w:tcBorders>
              <w:top w:val="nil"/>
              <w:left w:val="single" w:sz="4" w:space="0" w:color="auto"/>
              <w:bottom w:val="single" w:sz="4" w:space="0" w:color="auto"/>
              <w:right w:val="single" w:sz="4" w:space="0" w:color="auto"/>
            </w:tcBorders>
          </w:tcPr>
          <w:p w:rsidR="00F97362" w:rsidRPr="004D451D" w:rsidRDefault="00F97362" w:rsidP="00BF53C1">
            <w:pPr>
              <w:widowControl/>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其他權益項目</w:t>
            </w:r>
          </w:p>
        </w:tc>
        <w:tc>
          <w:tcPr>
            <w:tcW w:w="488" w:type="pct"/>
            <w:tcBorders>
              <w:top w:val="nil"/>
              <w:left w:val="nil"/>
              <w:bottom w:val="single" w:sz="4" w:space="0" w:color="auto"/>
              <w:right w:val="single" w:sz="4" w:space="0" w:color="auto"/>
            </w:tcBorders>
            <w:vAlign w:val="center"/>
          </w:tcPr>
          <w:p w:rsidR="00F97362" w:rsidRPr="004D451D" w:rsidRDefault="00F97362" w:rsidP="00203209">
            <w:pPr>
              <w:widowControl/>
              <w:jc w:val="right"/>
              <w:rPr>
                <w:rFonts w:ascii="Arial" w:eastAsia="標楷體" w:hAnsi="Arial" w:cs="Arial"/>
                <w:kern w:val="0"/>
              </w:rPr>
            </w:pPr>
            <w:r w:rsidRPr="004D451D">
              <w:rPr>
                <w:rFonts w:ascii="Arial" w:eastAsia="標楷體" w:hAnsi="Arial" w:cs="Arial" w:hint="eastAsia"/>
                <w:kern w:val="0"/>
              </w:rPr>
              <w:t>901,375</w:t>
            </w:r>
          </w:p>
        </w:tc>
        <w:tc>
          <w:tcPr>
            <w:tcW w:w="489"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2,386,795 </w:t>
            </w:r>
          </w:p>
        </w:tc>
        <w:tc>
          <w:tcPr>
            <w:tcW w:w="456" w:type="pct"/>
            <w:tcBorders>
              <w:top w:val="nil"/>
              <w:left w:val="nil"/>
              <w:bottom w:val="single" w:sz="4" w:space="0" w:color="auto"/>
              <w:right w:val="single" w:sz="4" w:space="0" w:color="auto"/>
            </w:tcBorders>
            <w:vAlign w:val="center"/>
          </w:tcPr>
          <w:p w:rsidR="00F97362" w:rsidRPr="004D451D" w:rsidRDefault="00F97362" w:rsidP="00205381">
            <w:pPr>
              <w:widowControl/>
              <w:jc w:val="right"/>
              <w:rPr>
                <w:rFonts w:ascii="Arial" w:eastAsia="標楷體" w:hAnsi="Arial" w:cs="Arial"/>
                <w:kern w:val="0"/>
              </w:rPr>
            </w:pPr>
            <w:r w:rsidRPr="004D451D">
              <w:rPr>
                <w:rFonts w:ascii="Arial" w:eastAsia="標楷體" w:hAnsi="Arial" w:cs="Arial" w:hint="eastAsia"/>
                <w:kern w:val="0"/>
              </w:rPr>
              <w:t>901,375</w:t>
            </w:r>
          </w:p>
        </w:tc>
        <w:tc>
          <w:tcPr>
            <w:tcW w:w="478" w:type="pct"/>
            <w:tcBorders>
              <w:top w:val="nil"/>
              <w:left w:val="nil"/>
              <w:bottom w:val="single" w:sz="4" w:space="0" w:color="auto"/>
              <w:right w:val="single" w:sz="4" w:space="0" w:color="auto"/>
            </w:tcBorders>
          </w:tcPr>
          <w:p w:rsidR="00F97362" w:rsidRPr="004D451D" w:rsidRDefault="00F97362" w:rsidP="00205381">
            <w:pPr>
              <w:jc w:val="right"/>
              <w:rPr>
                <w:rFonts w:ascii="Arial" w:hAnsi="Arial" w:cs="Arial"/>
              </w:rPr>
            </w:pPr>
            <w:r w:rsidRPr="004D451D">
              <w:rPr>
                <w:rFonts w:ascii="Arial" w:hAnsi="Arial" w:cs="Arial"/>
              </w:rPr>
              <w:t xml:space="preserve"> 2,386,795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strike/>
                <w:kern w:val="0"/>
              </w:rPr>
            </w:pPr>
            <w:r w:rsidRPr="004D451D">
              <w:rPr>
                <w:rFonts w:ascii="標楷體" w:eastAsia="標楷體" w:hAnsi="標楷體" w:cs="新細明體" w:hint="eastAsia"/>
                <w:b/>
                <w:kern w:val="0"/>
              </w:rPr>
              <w:t>減：</w:t>
            </w:r>
            <w:r w:rsidRPr="004D451D">
              <w:rPr>
                <w:rFonts w:ascii="標楷體" w:eastAsia="標楷體" w:hAnsi="標楷體" w:cs="新細明體" w:hint="eastAsia"/>
                <w:b/>
                <w:bCs/>
                <w:kern w:val="0"/>
              </w:rPr>
              <w:t>法定調整項目：</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widowControl/>
              <w:jc w:val="both"/>
              <w:rPr>
                <w:rFonts w:eastAsia="標楷體"/>
                <w:spacing w:val="-10"/>
                <w:sz w:val="20"/>
                <w:szCs w:val="20"/>
              </w:rPr>
            </w:pPr>
            <w:r w:rsidRPr="004D451D">
              <w:rPr>
                <w:rFonts w:eastAsia="標楷體" w:hint="eastAsia"/>
                <w:spacing w:val="-10"/>
              </w:rPr>
              <w:t xml:space="preserve">  </w:t>
            </w:r>
            <w:r w:rsidRPr="004D451D">
              <w:rPr>
                <w:rFonts w:eastAsia="標楷體"/>
                <w:spacing w:val="-10"/>
              </w:rPr>
              <w:t>1</w:t>
            </w:r>
            <w:r w:rsidRPr="004D451D">
              <w:rPr>
                <w:rFonts w:eastAsia="標楷體" w:hint="eastAsia"/>
                <w:spacing w:val="-10"/>
              </w:rPr>
              <w:t>、避險工具之利益及損失</w:t>
            </w:r>
            <w:r w:rsidRPr="004D451D">
              <w:rPr>
                <w:rFonts w:eastAsia="標楷體" w:hint="eastAsia"/>
                <w:spacing w:val="-10"/>
                <w:sz w:val="20"/>
                <w:szCs w:val="20"/>
              </w:rPr>
              <w:t>（利益應扣除，</w:t>
            </w:r>
          </w:p>
          <w:p w:rsidR="0061578E" w:rsidRPr="004D451D" w:rsidRDefault="0061578E" w:rsidP="0061578E">
            <w:pPr>
              <w:widowControl/>
              <w:jc w:val="both"/>
              <w:rPr>
                <w:rFonts w:ascii="標楷體" w:eastAsia="標楷體" w:hAnsi="標楷體" w:cs="新細明體"/>
                <w:b/>
                <w:bCs/>
                <w:kern w:val="0"/>
              </w:rPr>
            </w:pPr>
            <w:r w:rsidRPr="004D451D">
              <w:rPr>
                <w:rFonts w:eastAsia="標楷體" w:hint="eastAsia"/>
                <w:spacing w:val="-10"/>
                <w:sz w:val="20"/>
                <w:szCs w:val="20"/>
              </w:rPr>
              <w:t xml:space="preserve">       </w:t>
            </w:r>
            <w:r w:rsidRPr="004D451D">
              <w:rPr>
                <w:rFonts w:eastAsia="標楷體" w:hint="eastAsia"/>
                <w:spacing w:val="-10"/>
                <w:sz w:val="20"/>
                <w:szCs w:val="20"/>
              </w:rPr>
              <w:t>損失應加回）</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標楷體" w:eastAsia="標楷體" w:hAnsi="標楷體" w:cs="新細明體"/>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3" w:left="529" w:right="28" w:hangingChars="128" w:hanging="282"/>
              <w:jc w:val="both"/>
              <w:rPr>
                <w:rFonts w:ascii="Garamond" w:eastAsia="標楷體" w:hAnsi="標楷體"/>
                <w:b/>
                <w:bCs/>
                <w:strike/>
                <w:kern w:val="0"/>
              </w:rPr>
            </w:pPr>
            <w:r w:rsidRPr="004D451D">
              <w:rPr>
                <w:rFonts w:eastAsia="標楷體"/>
                <w:spacing w:val="-10"/>
              </w:rPr>
              <w:t>2</w:t>
            </w:r>
            <w:r w:rsidRPr="004D451D">
              <w:rPr>
                <w:rFonts w:eastAsia="標楷體" w:hint="eastAsia"/>
                <w:spacing w:val="-10"/>
              </w:rPr>
              <w:t>、</w:t>
            </w:r>
            <w:r w:rsidRPr="004D451D">
              <w:rPr>
                <w:rFonts w:eastAsia="標楷體" w:hint="eastAsia"/>
              </w:rPr>
              <w:t>預付退休金或員工福利負債準備中屬確定福利計畫所提列之確定福利負債之提列不足數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spacing w:line="300" w:lineRule="exact"/>
              <w:ind w:leftChars="12" w:left="29" w:right="28" w:firstLineChars="100" w:firstLine="220"/>
              <w:jc w:val="both"/>
              <w:rPr>
                <w:rFonts w:eastAsia="標楷體"/>
                <w:spacing w:val="-10"/>
              </w:rPr>
            </w:pPr>
            <w:r w:rsidRPr="004D451D">
              <w:rPr>
                <w:rFonts w:eastAsia="標楷體"/>
                <w:spacing w:val="-10"/>
              </w:rPr>
              <w:t>3</w:t>
            </w:r>
            <w:r w:rsidRPr="004D451D">
              <w:rPr>
                <w:rFonts w:eastAsia="標楷體" w:hint="eastAsia"/>
                <w:spacing w:val="-10"/>
              </w:rPr>
              <w:t>、庫藏股</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105,942</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129,640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hint="eastAsia"/>
                <w:kern w:val="0"/>
              </w:rPr>
              <w:t>105,942</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129,640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spacing w:line="300" w:lineRule="exact"/>
              <w:ind w:leftChars="12" w:left="29" w:right="28" w:firstLineChars="100" w:firstLine="220"/>
              <w:jc w:val="both"/>
              <w:rPr>
                <w:rFonts w:eastAsia="標楷體"/>
                <w:spacing w:val="-10"/>
              </w:rPr>
            </w:pPr>
            <w:r w:rsidRPr="004D451D">
              <w:rPr>
                <w:rFonts w:eastAsia="標楷體"/>
                <w:spacing w:val="-10"/>
              </w:rPr>
              <w:t>4</w:t>
            </w:r>
            <w:r w:rsidRPr="004D451D">
              <w:rPr>
                <w:rFonts w:eastAsia="標楷體" w:hint="eastAsia"/>
                <w:spacing w:val="-10"/>
              </w:rPr>
              <w:t>、商譽及其他無形資產</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spacing w:line="300" w:lineRule="exact"/>
              <w:ind w:leftChars="12" w:left="29" w:right="28" w:firstLineChars="100" w:firstLine="220"/>
              <w:jc w:val="both"/>
              <w:rPr>
                <w:rFonts w:eastAsia="標楷體"/>
                <w:spacing w:val="-10"/>
              </w:rPr>
            </w:pPr>
            <w:r w:rsidRPr="004D451D">
              <w:rPr>
                <w:rFonts w:eastAsia="標楷體"/>
                <w:spacing w:val="-10"/>
              </w:rPr>
              <w:t>5</w:t>
            </w:r>
            <w:r w:rsidRPr="004D451D">
              <w:rPr>
                <w:rFonts w:eastAsia="標楷體" w:hint="eastAsia"/>
                <w:spacing w:val="-10"/>
              </w:rPr>
              <w:t>、視銀行未來獲利狀況而定之遞延所得</w:t>
            </w:r>
            <w:r w:rsidRPr="004D451D">
              <w:rPr>
                <w:rFonts w:eastAsia="標楷體" w:hint="eastAsia"/>
                <w:spacing w:val="-10"/>
              </w:rPr>
              <w:t xml:space="preserve"> </w:t>
            </w:r>
          </w:p>
          <w:p w:rsidR="0061578E" w:rsidRPr="004D451D" w:rsidRDefault="0061578E" w:rsidP="0061578E">
            <w:pPr>
              <w:spacing w:line="300" w:lineRule="exact"/>
              <w:ind w:leftChars="12" w:left="29" w:right="28" w:firstLineChars="100" w:firstLine="220"/>
              <w:jc w:val="both"/>
              <w:rPr>
                <w:rFonts w:eastAsia="標楷體"/>
                <w:spacing w:val="-10"/>
              </w:rPr>
            </w:pPr>
            <w:r w:rsidRPr="004D451D">
              <w:rPr>
                <w:rFonts w:eastAsia="標楷體" w:hint="eastAsia"/>
                <w:spacing w:val="-10"/>
              </w:rPr>
              <w:t xml:space="preserve">   </w:t>
            </w:r>
            <w:r w:rsidRPr="004D451D">
              <w:rPr>
                <w:rFonts w:eastAsia="標楷體" w:hint="eastAsia"/>
                <w:spacing w:val="-10"/>
              </w:rPr>
              <w:t>稅資產</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EF4134">
            <w:pPr>
              <w:spacing w:line="300" w:lineRule="exact"/>
              <w:ind w:leftChars="112" w:left="489" w:right="28" w:hangingChars="100" w:hanging="220"/>
              <w:jc w:val="both"/>
              <w:rPr>
                <w:rFonts w:eastAsia="標楷體"/>
                <w:spacing w:val="-10"/>
              </w:rPr>
            </w:pPr>
            <w:r w:rsidRPr="004D451D">
              <w:rPr>
                <w:rFonts w:eastAsia="標楷體"/>
                <w:spacing w:val="-10"/>
              </w:rPr>
              <w:t>6</w:t>
            </w:r>
            <w:r w:rsidRPr="004D451D">
              <w:rPr>
                <w:rFonts w:eastAsia="標楷體" w:hint="eastAsia"/>
                <w:spacing w:val="-10"/>
              </w:rPr>
              <w:t>、銀行之負債因其本身信用風險之變動所認列之未實現損失或利益（利益應扣除，損失應加回）</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4056"/>
            </w:tblGrid>
            <w:tr w:rsidR="004D451D" w:rsidRPr="004D451D">
              <w:trPr>
                <w:trHeight w:val="120"/>
              </w:trPr>
              <w:tc>
                <w:tcPr>
                  <w:tcW w:w="0" w:type="auto"/>
                </w:tcPr>
                <w:p w:rsidR="0061578E" w:rsidRPr="004D451D" w:rsidRDefault="0061578E" w:rsidP="00EF4134">
                  <w:pPr>
                    <w:autoSpaceDE w:val="0"/>
                    <w:autoSpaceDN w:val="0"/>
                    <w:adjustRightInd w:val="0"/>
                    <w:ind w:leftChars="50" w:left="450" w:hangingChars="150" w:hanging="330"/>
                    <w:rPr>
                      <w:rFonts w:ascii="標楷體" w:eastAsia="標楷體" w:hAnsi="標楷體" w:cs="標楷體"/>
                      <w:kern w:val="0"/>
                      <w:sz w:val="23"/>
                      <w:szCs w:val="23"/>
                    </w:rPr>
                  </w:pPr>
                  <w:r w:rsidRPr="004D451D">
                    <w:rPr>
                      <w:rFonts w:eastAsia="標楷體"/>
                      <w:spacing w:val="-10"/>
                    </w:rPr>
                    <w:t>7</w:t>
                  </w:r>
                  <w:r w:rsidRPr="004D451D">
                    <w:rPr>
                      <w:rFonts w:eastAsia="標楷體" w:hint="eastAsia"/>
                      <w:spacing w:val="-10"/>
                    </w:rPr>
                    <w:t>、透過其他綜合損益按公允價值衡量之權益工具及債務工具未實現評價利益</w:t>
                  </w:r>
                </w:p>
              </w:tc>
            </w:tr>
          </w:tbl>
          <w:p w:rsidR="0061578E" w:rsidRPr="004D451D" w:rsidRDefault="0061578E" w:rsidP="0061578E">
            <w:pPr>
              <w:spacing w:line="300" w:lineRule="exact"/>
              <w:ind w:leftChars="111" w:left="545" w:right="28" w:hangingChars="127" w:hanging="279"/>
              <w:jc w:val="both"/>
              <w:rPr>
                <w:rFonts w:eastAsia="標楷體"/>
                <w:spacing w:val="-10"/>
              </w:rPr>
            </w:pP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1,613,456</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2,642,724</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hint="eastAsia"/>
                <w:kern w:val="0"/>
              </w:rPr>
              <w:t>1,613,456</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2,642,724</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205381">
            <w:pPr>
              <w:spacing w:line="300" w:lineRule="exact"/>
              <w:ind w:leftChars="112" w:left="489" w:right="28" w:hangingChars="100" w:hanging="220"/>
              <w:jc w:val="both"/>
              <w:rPr>
                <w:rFonts w:eastAsia="標楷體"/>
                <w:spacing w:val="-10"/>
              </w:rPr>
            </w:pPr>
            <w:r w:rsidRPr="004D451D">
              <w:rPr>
                <w:rFonts w:eastAsia="標楷體"/>
                <w:spacing w:val="-10"/>
              </w:rPr>
              <w:t>8</w:t>
            </w:r>
            <w:r w:rsidRPr="004D451D">
              <w:rPr>
                <w:rFonts w:eastAsia="標楷體" w:hint="eastAsia"/>
                <w:spacing w:val="-10"/>
              </w:rPr>
              <w:t>、營業準備及備抵呆帳提列不足數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9</w:t>
            </w:r>
            <w:r w:rsidRPr="004D451D">
              <w:rPr>
                <w:rFonts w:eastAsia="標楷體" w:hint="eastAsia"/>
                <w:spacing w:val="-10"/>
              </w:rPr>
              <w:t>、不動產首次適用國際會計準則時，以公允價值或重估價值作為認定成本產生之保留盈餘增加數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F97362">
            <w:pPr>
              <w:jc w:val="right"/>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F97362">
            <w:pPr>
              <w:jc w:val="right"/>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10</w:t>
            </w:r>
            <w:r w:rsidRPr="004D451D">
              <w:rPr>
                <w:rFonts w:eastAsia="標楷體" w:hint="eastAsia"/>
                <w:spacing w:val="-10"/>
              </w:rPr>
              <w:t>、證券化交易應扣除數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11</w:t>
            </w:r>
            <w:r w:rsidRPr="004D451D">
              <w:rPr>
                <w:rFonts w:eastAsia="標楷體" w:hint="eastAsia"/>
                <w:spacing w:val="-10"/>
              </w:rPr>
              <w:t>、商業銀行對金融相關事業之投資分類至銀行簿者</w:t>
            </w:r>
          </w:p>
        </w:tc>
        <w:tc>
          <w:tcPr>
            <w:tcW w:w="488" w:type="pct"/>
            <w:tcBorders>
              <w:top w:val="single" w:sz="4" w:space="0" w:color="auto"/>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396,418</w:t>
            </w:r>
          </w:p>
        </w:tc>
        <w:tc>
          <w:tcPr>
            <w:tcW w:w="489" w:type="pct"/>
            <w:tcBorders>
              <w:top w:val="single" w:sz="4" w:space="0" w:color="auto"/>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264,007</w:t>
            </w:r>
          </w:p>
        </w:tc>
        <w:tc>
          <w:tcPr>
            <w:tcW w:w="456" w:type="pct"/>
            <w:tcBorders>
              <w:top w:val="single" w:sz="4" w:space="0" w:color="auto"/>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hint="eastAsia"/>
                <w:kern w:val="0"/>
              </w:rPr>
              <w:t>119,622</w:t>
            </w:r>
          </w:p>
        </w:tc>
        <w:tc>
          <w:tcPr>
            <w:tcW w:w="478" w:type="pct"/>
            <w:tcBorders>
              <w:top w:val="single" w:sz="4" w:space="0" w:color="auto"/>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69,578</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12</w:t>
            </w:r>
            <w:r w:rsidRPr="004D451D">
              <w:rPr>
                <w:rFonts w:eastAsia="標楷體" w:hint="eastAsia"/>
                <w:spacing w:val="-10"/>
              </w:rPr>
              <w:t>、工業銀行直接投資及投資不動產依規扣除數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13</w:t>
            </w:r>
            <w:r w:rsidRPr="004D451D">
              <w:rPr>
                <w:rFonts w:eastAsia="標楷體" w:hint="eastAsia"/>
                <w:spacing w:val="-10"/>
              </w:rPr>
              <w:t>、評價準備提列不足數（市場風險）</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EF4134">
            <w:pPr>
              <w:spacing w:line="300" w:lineRule="exact"/>
              <w:ind w:leftChars="112" w:left="599" w:right="28" w:hangingChars="150" w:hanging="330"/>
              <w:jc w:val="both"/>
              <w:rPr>
                <w:rFonts w:eastAsia="標楷體"/>
                <w:spacing w:val="-10"/>
              </w:rPr>
            </w:pPr>
            <w:r w:rsidRPr="004D451D">
              <w:rPr>
                <w:rFonts w:eastAsia="標楷體"/>
                <w:spacing w:val="-10"/>
              </w:rPr>
              <w:t>14</w:t>
            </w:r>
            <w:r w:rsidRPr="004D451D">
              <w:rPr>
                <w:rFonts w:eastAsia="標楷體" w:hint="eastAsia"/>
                <w:spacing w:val="-10"/>
              </w:rPr>
              <w:t>、投資性不動產後續衡量採公允價值模式所認列之增值利益</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15</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日後不動產售後租回利益</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t>16</w:t>
            </w:r>
            <w:r w:rsidRPr="004D451D">
              <w:rPr>
                <w:rFonts w:ascii="標楷體" w:eastAsia="標楷體" w:hAnsi="標楷體" w:hint="eastAsia"/>
                <w:spacing w:val="-10"/>
              </w:rPr>
              <w:t>、</w:t>
            </w:r>
            <w:r w:rsidRPr="004D451D">
              <w:rPr>
                <w:rFonts w:eastAsia="標楷體" w:hint="eastAsia"/>
                <w:spacing w:val="-10"/>
              </w:rPr>
              <w:t>其他依規定或監理要求應調整數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eastAsia="標楷體"/>
                <w:spacing w:val="-10"/>
              </w:rPr>
            </w:pPr>
            <w:r w:rsidRPr="004D451D">
              <w:rPr>
                <w:rFonts w:eastAsia="標楷體"/>
                <w:spacing w:val="-10"/>
              </w:rPr>
              <w:lastRenderedPageBreak/>
              <w:t>17</w:t>
            </w:r>
            <w:r w:rsidRPr="004D451D">
              <w:rPr>
                <w:rFonts w:eastAsia="標楷體" w:hint="eastAsia"/>
                <w:spacing w:val="-10"/>
              </w:rPr>
              <w:t>、對暫時性差異產生之遞延所得稅資產</w:t>
            </w:r>
            <w:r w:rsidRPr="004D451D">
              <w:rPr>
                <w:rFonts w:eastAsia="標楷體"/>
                <w:spacing w:val="-10"/>
              </w:rPr>
              <w:t>10%</w:t>
            </w:r>
            <w:r w:rsidRPr="004D451D">
              <w:rPr>
                <w:rFonts w:eastAsia="標楷體" w:hint="eastAsia"/>
                <w:spacing w:val="-10"/>
              </w:rPr>
              <w:t>超限數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ascii="標楷體" w:eastAsia="標楷體" w:hAnsi="標楷體" w:cs="新細明體"/>
                <w:b/>
                <w:bCs/>
                <w:kern w:val="0"/>
              </w:rPr>
            </w:pPr>
            <w:r w:rsidRPr="004D451D">
              <w:rPr>
                <w:rFonts w:eastAsia="標楷體"/>
                <w:spacing w:val="-10"/>
              </w:rPr>
              <w:t>18</w:t>
            </w:r>
            <w:r w:rsidRPr="004D451D">
              <w:rPr>
                <w:rFonts w:eastAsia="標楷體" w:hint="eastAsia"/>
                <w:spacing w:val="-10"/>
              </w:rPr>
              <w:t>、暫時性差異產生之遞延所得稅資產超過扣除門檻</w:t>
            </w:r>
            <w:r w:rsidRPr="004D451D">
              <w:rPr>
                <w:rFonts w:eastAsia="標楷體"/>
                <w:spacing w:val="-10"/>
              </w:rPr>
              <w:t>15%</w:t>
            </w:r>
            <w:r w:rsidRPr="004D451D">
              <w:rPr>
                <w:rFonts w:eastAsia="標楷體" w:hint="eastAsia"/>
                <w:spacing w:val="-10"/>
              </w:rPr>
              <w:t>之應扣除數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580" w:right="28" w:hangingChars="150" w:hanging="330"/>
              <w:jc w:val="both"/>
              <w:rPr>
                <w:rFonts w:ascii="標楷體" w:eastAsia="標楷體" w:hAnsi="標楷體" w:cs="新細明體"/>
                <w:b/>
                <w:bCs/>
                <w:kern w:val="0"/>
              </w:rPr>
            </w:pPr>
            <w:r w:rsidRPr="004D451D">
              <w:rPr>
                <w:rFonts w:eastAsia="標楷體"/>
                <w:spacing w:val="-10"/>
              </w:rPr>
              <w:t>19</w:t>
            </w:r>
            <w:r w:rsidRPr="004D451D">
              <w:rPr>
                <w:rFonts w:eastAsia="標楷體" w:hint="eastAsia"/>
                <w:spacing w:val="-10"/>
              </w:rPr>
              <w:t>、其他第一類及第二類資本不足扣除數</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396,418</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264,007</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jc w:val="right"/>
              <w:rPr>
                <w:rFonts w:ascii="Arial" w:eastAsia="標楷體" w:hAnsi="Arial" w:cs="Arial"/>
                <w:kern w:val="0"/>
              </w:rPr>
            </w:pPr>
            <w:r w:rsidRPr="004D451D">
              <w:rPr>
                <w:rFonts w:ascii="Arial" w:eastAsia="標楷體" w:hAnsi="Arial" w:cs="Arial" w:hint="eastAsia"/>
                <w:kern w:val="0"/>
              </w:rPr>
              <w:t>119,622</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69,578</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spacing w:line="300" w:lineRule="exact"/>
              <w:ind w:leftChars="-1" w:left="594" w:right="28" w:hangingChars="248" w:hanging="596"/>
              <w:jc w:val="both"/>
              <w:rPr>
                <w:rFonts w:ascii="標楷體" w:eastAsia="標楷體" w:hAnsi="標楷體" w:cs="新細明體"/>
                <w:b/>
                <w:bCs/>
                <w:kern w:val="0"/>
              </w:rPr>
            </w:pPr>
            <w:r w:rsidRPr="004D451D">
              <w:rPr>
                <w:rFonts w:ascii="標楷體" w:eastAsia="標楷體" w:hAnsi="標楷體" w:cs="新細明體" w:hint="eastAsia"/>
                <w:b/>
                <w:bCs/>
                <w:kern w:val="0"/>
              </w:rPr>
              <w:t>普通股權益第一類資本淨額（</w:t>
            </w:r>
            <w:r w:rsidRPr="004D451D">
              <w:rPr>
                <w:rFonts w:ascii="標楷體" w:eastAsia="標楷體" w:hAnsi="標楷體" w:cs="新細明體"/>
                <w:b/>
                <w:bCs/>
                <w:kern w:val="0"/>
              </w:rPr>
              <w:t>1</w:t>
            </w:r>
            <w:r w:rsidRPr="004D451D">
              <w:rPr>
                <w:rFonts w:ascii="標楷體" w:eastAsia="標楷體" w:hAnsi="標楷體" w:cs="新細明體" w:hint="eastAsia"/>
                <w:b/>
                <w:bCs/>
                <w:kern w:val="0"/>
              </w:rPr>
              <w:t>）</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Arial" w:eastAsia="標楷體" w:hAnsi="Arial" w:cs="Arial" w:hint="eastAsia"/>
                <w:kern w:val="0"/>
              </w:rPr>
              <w:t>33,799,409</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31,286,431</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34,353,001</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31,675,288</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b/>
                <w:bCs/>
                <w:kern w:val="0"/>
              </w:rPr>
            </w:pPr>
            <w:r w:rsidRPr="004D451D">
              <w:rPr>
                <w:rFonts w:ascii="標楷體" w:eastAsia="標楷體" w:hAnsi="標楷體" w:cs="新細明體" w:hint="eastAsia"/>
                <w:b/>
                <w:bCs/>
                <w:kern w:val="0"/>
              </w:rPr>
              <w:t>非普通股權益之其他第一類資本：</w:t>
            </w:r>
          </w:p>
        </w:tc>
        <w:tc>
          <w:tcPr>
            <w:tcW w:w="488" w:type="pct"/>
            <w:tcBorders>
              <w:bottom w:val="single" w:sz="4" w:space="0" w:color="auto"/>
              <w:right w:val="single" w:sz="4" w:space="0" w:color="auto"/>
            </w:tcBorders>
          </w:tcPr>
          <w:p w:rsidR="0061578E" w:rsidRPr="004D451D" w:rsidRDefault="0061578E" w:rsidP="00BF53C1">
            <w:pPr>
              <w:widowControl/>
              <w:jc w:val="right"/>
              <w:rPr>
                <w:rFonts w:ascii="Arial" w:eastAsia="標楷體" w:hAnsi="Arial" w:cs="Arial"/>
                <w:kern w:val="0"/>
              </w:rPr>
            </w:pPr>
          </w:p>
        </w:tc>
        <w:tc>
          <w:tcPr>
            <w:tcW w:w="489" w:type="pct"/>
            <w:tcBorders>
              <w:top w:val="nil"/>
              <w:left w:val="single" w:sz="4" w:space="0" w:color="auto"/>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p>
        </w:tc>
      </w:tr>
      <w:tr w:rsidR="004D451D" w:rsidRPr="004D451D" w:rsidTr="00EF4134">
        <w:trPr>
          <w:trHeight w:val="329"/>
        </w:trPr>
        <w:tc>
          <w:tcPr>
            <w:tcW w:w="1667" w:type="pct"/>
            <w:gridSpan w:val="2"/>
            <w:tcBorders>
              <w:top w:val="nil"/>
              <w:left w:val="single" w:sz="4" w:space="0" w:color="auto"/>
              <w:bottom w:val="single" w:sz="4" w:space="0" w:color="auto"/>
              <w:right w:val="single" w:sz="4" w:space="0" w:color="auto"/>
            </w:tcBorders>
            <w:vAlign w:val="center"/>
          </w:tcPr>
          <w:p w:rsidR="00EF4134" w:rsidRPr="004D451D" w:rsidRDefault="00EF4134" w:rsidP="00BF53C1">
            <w:pPr>
              <w:widowControl/>
              <w:jc w:val="both"/>
              <w:rPr>
                <w:rFonts w:ascii="標楷體" w:eastAsia="標楷體" w:hAnsi="標楷體" w:cs="新細明體"/>
                <w:kern w:val="0"/>
              </w:rPr>
            </w:pPr>
            <w:r w:rsidRPr="004D451D">
              <w:rPr>
                <w:rFonts w:ascii="標楷體" w:eastAsia="標楷體" w:hint="eastAsia"/>
                <w:spacing w:val="-10"/>
              </w:rPr>
              <w:t xml:space="preserve">　永續非累積特別股</w:t>
            </w:r>
            <w:r w:rsidRPr="004D451D">
              <w:rPr>
                <w:rFonts w:ascii="標楷體" w:eastAsia="標楷體" w:hint="eastAsia"/>
                <w:spacing w:val="-10"/>
                <w:sz w:val="20"/>
                <w:szCs w:val="20"/>
              </w:rPr>
              <w:t>（含其股本溢價）</w:t>
            </w:r>
          </w:p>
        </w:tc>
        <w:tc>
          <w:tcPr>
            <w:tcW w:w="1424" w:type="pct"/>
            <w:gridSpan w:val="3"/>
            <w:tcBorders>
              <w:top w:val="nil"/>
              <w:left w:val="single" w:sz="4" w:space="0" w:color="auto"/>
              <w:bottom w:val="single" w:sz="4" w:space="0" w:color="auto"/>
              <w:right w:val="single" w:sz="4" w:space="0" w:color="auto"/>
            </w:tcBorders>
            <w:vAlign w:val="center"/>
          </w:tcPr>
          <w:p w:rsidR="00EF4134" w:rsidRPr="004D451D" w:rsidRDefault="00EF4134" w:rsidP="00EF4134">
            <w:pPr>
              <w:widowControl/>
              <w:jc w:val="both"/>
              <w:rPr>
                <w:rFonts w:ascii="標楷體" w:eastAsia="標楷體" w:hAnsi="標楷體" w:cs="新細明體"/>
                <w:kern w:val="0"/>
              </w:rPr>
            </w:pPr>
          </w:p>
        </w:tc>
        <w:tc>
          <w:tcPr>
            <w:tcW w:w="477" w:type="pct"/>
            <w:tcBorders>
              <w:top w:val="nil"/>
              <w:left w:val="nil"/>
              <w:bottom w:val="single" w:sz="4" w:space="0" w:color="auto"/>
              <w:right w:val="single" w:sz="4" w:space="0" w:color="auto"/>
            </w:tcBorders>
            <w:vAlign w:val="center"/>
          </w:tcPr>
          <w:p w:rsidR="00EF4134" w:rsidRPr="004D451D" w:rsidRDefault="00EF4134">
            <w:pPr>
              <w:widowControl/>
            </w:pPr>
            <w:r w:rsidRPr="004D451D">
              <w:rPr>
                <w:rFonts w:ascii="Arial" w:eastAsia="標楷體" w:hAnsi="Arial" w:cs="Arial"/>
                <w:kern w:val="0"/>
              </w:rPr>
              <w:t>0</w:t>
            </w:r>
          </w:p>
        </w:tc>
        <w:tc>
          <w:tcPr>
            <w:tcW w:w="477" w:type="pct"/>
            <w:tcBorders>
              <w:top w:val="nil"/>
              <w:left w:val="nil"/>
              <w:bottom w:val="single" w:sz="4" w:space="0" w:color="auto"/>
              <w:right w:val="single" w:sz="4" w:space="0" w:color="auto"/>
            </w:tcBorders>
            <w:vAlign w:val="center"/>
          </w:tcPr>
          <w:p w:rsidR="00EF4134" w:rsidRPr="004D451D" w:rsidRDefault="00EF4134">
            <w:pPr>
              <w:widowControl/>
            </w:pPr>
            <w:r w:rsidRPr="004D451D">
              <w:rPr>
                <w:rFonts w:ascii="Arial" w:eastAsia="標楷體" w:hAnsi="Arial" w:cs="Arial"/>
                <w:kern w:val="0"/>
              </w:rPr>
              <w:t>0</w:t>
            </w:r>
          </w:p>
        </w:tc>
        <w:tc>
          <w:tcPr>
            <w:tcW w:w="477" w:type="pct"/>
            <w:tcBorders>
              <w:top w:val="nil"/>
              <w:left w:val="nil"/>
              <w:bottom w:val="single" w:sz="4" w:space="0" w:color="auto"/>
              <w:right w:val="single" w:sz="4" w:space="0" w:color="auto"/>
            </w:tcBorders>
            <w:vAlign w:val="center"/>
          </w:tcPr>
          <w:p w:rsidR="00EF4134" w:rsidRPr="004D451D" w:rsidRDefault="00EF4134">
            <w:pPr>
              <w:widowControl/>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EF4134" w:rsidRPr="004D451D" w:rsidRDefault="00EF4134">
            <w:pPr>
              <w:widowControl/>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28" w:right="28"/>
              <w:jc w:val="both"/>
              <w:rPr>
                <w:rFonts w:ascii="標楷體" w:eastAsia="標楷體"/>
                <w:b/>
                <w:spacing w:val="-1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日前發行不符合其他第一類資本條件者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28" w:right="28"/>
              <w:jc w:val="both"/>
              <w:rPr>
                <w:rFonts w:eastAsia="標楷體"/>
                <w:spacing w:val="-10"/>
              </w:rPr>
            </w:pPr>
            <w:r w:rsidRPr="004D451D">
              <w:rPr>
                <w:rFonts w:ascii="標楷體" w:eastAsia="標楷體"/>
                <w:spacing w:val="-10"/>
              </w:rPr>
              <w:t xml:space="preserve">  </w:t>
            </w:r>
            <w:r w:rsidRPr="004D451D">
              <w:rPr>
                <w:rFonts w:ascii="標楷體" w:eastAsia="標楷體" w:hint="eastAsia"/>
                <w:spacing w:val="-10"/>
              </w:rPr>
              <w:t>無到期日非累積次順位債券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28" w:right="28"/>
              <w:jc w:val="both"/>
              <w:rPr>
                <w:rFonts w:eastAsia="標楷體"/>
                <w:spacing w:val="-1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日前發行不符合其他第一類資本條件者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28" w:right="28"/>
              <w:jc w:val="both"/>
              <w:rPr>
                <w:rFonts w:eastAsia="標楷體"/>
                <w:spacing w:val="-10"/>
              </w:rPr>
            </w:pPr>
            <w:r w:rsidRPr="004D451D">
              <w:rPr>
                <w:rFonts w:ascii="標楷體" w:eastAsia="標楷體"/>
                <w:spacing w:val="-10"/>
              </w:rPr>
              <w:t xml:space="preserve">  </w:t>
            </w:r>
            <w:r w:rsidRPr="004D451D">
              <w:rPr>
                <w:rFonts w:ascii="標楷體" w:eastAsia="標楷體" w:hint="eastAsia"/>
                <w:spacing w:val="-10"/>
              </w:rPr>
              <w:t>其他合併子公司發行非由母公司持有之資本合計數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189" w:right="28" w:hangingChars="86" w:hanging="189"/>
              <w:jc w:val="both"/>
              <w:rPr>
                <w:rFonts w:eastAsia="標楷體"/>
                <w:spacing w:val="-10"/>
              </w:rPr>
            </w:pPr>
            <w:r w:rsidRPr="004D451D">
              <w:rPr>
                <w:rFonts w:ascii="標楷體" w:eastAsia="標楷體" w:hint="eastAsia"/>
                <w:spacing w:val="-10"/>
              </w:rPr>
              <w:t>減：</w:t>
            </w:r>
            <w:r w:rsidRPr="004D451D">
              <w:rPr>
                <w:rFonts w:eastAsia="標楷體"/>
                <w:spacing w:val="-10"/>
              </w:rPr>
              <w:t>1</w:t>
            </w:r>
            <w:r w:rsidRPr="004D451D">
              <w:rPr>
                <w:rFonts w:eastAsia="標楷體" w:hint="eastAsia"/>
                <w:spacing w:val="-10"/>
              </w:rPr>
              <w:t>、第二類資本不足扣除數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right="28"/>
              <w:jc w:val="both"/>
              <w:rPr>
                <w:rFonts w:eastAsia="標楷體"/>
                <w:spacing w:val="-10"/>
              </w:rPr>
            </w:pPr>
            <w:r w:rsidRPr="004D451D">
              <w:rPr>
                <w:rFonts w:eastAsia="標楷體"/>
                <w:spacing w:val="-10"/>
              </w:rPr>
              <w:t xml:space="preserve">  2</w:t>
            </w:r>
            <w:r w:rsidRPr="004D451D">
              <w:rPr>
                <w:rFonts w:eastAsia="標楷體" w:hint="eastAsia"/>
                <w:spacing w:val="-10"/>
              </w:rPr>
              <w:t>、商業銀行對金融相關事業之投資分類至銀行簿者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04" w:left="719" w:right="28" w:hangingChars="213" w:hanging="469"/>
              <w:jc w:val="both"/>
              <w:rPr>
                <w:rFonts w:eastAsia="標楷體"/>
                <w:spacing w:val="-10"/>
              </w:rPr>
            </w:pPr>
            <w:r w:rsidRPr="004D451D">
              <w:rPr>
                <w:rFonts w:eastAsia="標楷體"/>
                <w:spacing w:val="-10"/>
              </w:rPr>
              <w:t>3</w:t>
            </w:r>
            <w:r w:rsidRPr="004D451D">
              <w:rPr>
                <w:rFonts w:eastAsia="標楷體" w:hint="eastAsia"/>
                <w:spacing w:val="-10"/>
              </w:rPr>
              <w:t>、工業銀行直接投資及投資不動產依規扣除數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spacing w:line="300" w:lineRule="exact"/>
              <w:ind w:leftChars="195" w:left="756" w:right="28" w:hangingChars="131" w:hanging="288"/>
              <w:jc w:val="both"/>
              <w:rPr>
                <w:rFonts w:eastAsia="標楷體"/>
                <w:spacing w:val="-10"/>
              </w:rPr>
            </w:pPr>
            <w:r w:rsidRPr="004D451D">
              <w:rPr>
                <w:rFonts w:eastAsia="標楷體"/>
                <w:spacing w:val="-10"/>
              </w:rPr>
              <w:t>4</w:t>
            </w:r>
            <w:r w:rsidRPr="004D451D">
              <w:rPr>
                <w:rFonts w:eastAsia="標楷體" w:hint="eastAsia"/>
                <w:spacing w:val="-10"/>
              </w:rPr>
              <w:t>、其他資本扣除項目</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spacing w:line="300" w:lineRule="exact"/>
              <w:ind w:leftChars="195" w:left="757" w:right="28" w:hangingChars="131" w:hanging="289"/>
              <w:jc w:val="both"/>
              <w:rPr>
                <w:rFonts w:ascii="標楷體" w:eastAsia="標楷體"/>
                <w:b/>
                <w:spacing w:val="-10"/>
              </w:rPr>
            </w:pPr>
            <w:r w:rsidRPr="004D451D">
              <w:rPr>
                <w:rFonts w:eastAsia="標楷體" w:hint="eastAsia"/>
                <w:b/>
                <w:spacing w:val="-10"/>
              </w:rPr>
              <w:t>其他第一類資本淨額</w:t>
            </w:r>
            <w:r w:rsidRPr="004D451D">
              <w:rPr>
                <w:rFonts w:eastAsia="標楷體"/>
                <w:b/>
                <w:spacing w:val="-10"/>
              </w:rPr>
              <w:t xml:space="preserve"> </w:t>
            </w:r>
            <w:r w:rsidRPr="004D451D">
              <w:rPr>
                <w:rFonts w:eastAsia="標楷體" w:hint="eastAsia"/>
                <w:b/>
                <w:spacing w:val="-10"/>
              </w:rPr>
              <w:t>（</w:t>
            </w:r>
            <w:r w:rsidRPr="004D451D">
              <w:rPr>
                <w:rFonts w:eastAsia="標楷體"/>
                <w:b/>
                <w:spacing w:val="-10"/>
              </w:rPr>
              <w:t>2</w:t>
            </w:r>
            <w:r w:rsidRPr="004D451D">
              <w:rPr>
                <w:rFonts w:eastAsia="標楷體" w:hint="eastAsia"/>
                <w:b/>
                <w:spacing w:val="-10"/>
              </w:rPr>
              <w:t>）</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61578E" w:rsidRPr="004D451D" w:rsidRDefault="0061578E" w:rsidP="00BF53C1">
            <w:pPr>
              <w:spacing w:line="300" w:lineRule="exact"/>
              <w:ind w:right="28"/>
              <w:jc w:val="both"/>
              <w:rPr>
                <w:rFonts w:eastAsia="標楷體"/>
                <w:b/>
                <w:spacing w:val="-10"/>
              </w:rPr>
            </w:pPr>
            <w:r w:rsidRPr="004D451D">
              <w:rPr>
                <w:rFonts w:ascii="標楷體" w:eastAsia="標楷體" w:hAnsi="標楷體" w:cs="新細明體" w:hint="eastAsia"/>
                <w:b/>
                <w:bCs/>
                <w:kern w:val="0"/>
              </w:rPr>
              <w:t>第二類資本：</w:t>
            </w:r>
          </w:p>
        </w:tc>
        <w:tc>
          <w:tcPr>
            <w:tcW w:w="488" w:type="pct"/>
            <w:tcBorders>
              <w:bottom w:val="single" w:sz="4" w:space="0" w:color="auto"/>
              <w:right w:val="single" w:sz="4" w:space="0" w:color="auto"/>
            </w:tcBorders>
          </w:tcPr>
          <w:p w:rsidR="0061578E" w:rsidRPr="004D451D" w:rsidRDefault="0061578E" w:rsidP="00717EC3">
            <w:pPr>
              <w:widowControl/>
              <w:jc w:val="right"/>
              <w:rPr>
                <w:rFonts w:ascii="Arial" w:eastAsia="標楷體" w:hAnsi="Arial" w:cs="Arial"/>
                <w:kern w:val="0"/>
              </w:rPr>
            </w:pPr>
          </w:p>
        </w:tc>
        <w:tc>
          <w:tcPr>
            <w:tcW w:w="489" w:type="pct"/>
            <w:tcBorders>
              <w:top w:val="nil"/>
              <w:left w:val="single" w:sz="4" w:space="0" w:color="auto"/>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p>
        </w:tc>
      </w:tr>
      <w:tr w:rsidR="004D451D" w:rsidRPr="004D451D" w:rsidTr="00EF4134">
        <w:trPr>
          <w:trHeight w:val="329"/>
        </w:trPr>
        <w:tc>
          <w:tcPr>
            <w:tcW w:w="3091" w:type="pct"/>
            <w:gridSpan w:val="5"/>
            <w:tcBorders>
              <w:top w:val="nil"/>
              <w:left w:val="single" w:sz="4" w:space="0" w:color="auto"/>
              <w:bottom w:val="single" w:sz="4" w:space="0" w:color="auto"/>
              <w:right w:val="single" w:sz="4" w:space="0" w:color="auto"/>
            </w:tcBorders>
          </w:tcPr>
          <w:p w:rsidR="0061578E" w:rsidRPr="004D451D" w:rsidRDefault="0061578E" w:rsidP="00BF53C1">
            <w:pPr>
              <w:widowControl/>
              <w:rPr>
                <w:rFonts w:ascii="標楷體" w:eastAsia="標楷體" w:hAnsi="標楷體" w:cs="新細明體"/>
                <w:b/>
                <w:bCs/>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永續累積特別股</w:t>
            </w:r>
            <w:r w:rsidRPr="004D451D">
              <w:rPr>
                <w:rFonts w:ascii="標楷體" w:eastAsia="標楷體" w:hint="eastAsia"/>
                <w:spacing w:val="-10"/>
                <w:sz w:val="20"/>
                <w:szCs w:val="20"/>
              </w:rPr>
              <w:t>（含其股本溢價）</w:t>
            </w:r>
          </w:p>
        </w:tc>
        <w:tc>
          <w:tcPr>
            <w:tcW w:w="477" w:type="pct"/>
            <w:tcBorders>
              <w:top w:val="nil"/>
              <w:left w:val="nil"/>
              <w:bottom w:val="single" w:sz="4" w:space="0" w:color="auto"/>
              <w:right w:val="single" w:sz="4" w:space="0" w:color="auto"/>
            </w:tcBorders>
            <w:vAlign w:val="center"/>
          </w:tcPr>
          <w:p w:rsidR="0061578E" w:rsidRPr="004D451D" w:rsidRDefault="0061578E">
            <w:pPr>
              <w:widowControl/>
            </w:pPr>
            <w:r w:rsidRPr="004D451D">
              <w:rPr>
                <w:rFonts w:ascii="Arial" w:eastAsia="標楷體" w:hAnsi="Arial" w:cs="Arial"/>
                <w:kern w:val="0"/>
              </w:rPr>
              <w:t xml:space="preserve">　</w:t>
            </w:r>
          </w:p>
        </w:tc>
        <w:tc>
          <w:tcPr>
            <w:tcW w:w="477" w:type="pct"/>
            <w:tcBorders>
              <w:top w:val="nil"/>
              <w:left w:val="nil"/>
              <w:bottom w:val="single" w:sz="4" w:space="0" w:color="auto"/>
              <w:right w:val="single" w:sz="4" w:space="0" w:color="auto"/>
            </w:tcBorders>
            <w:vAlign w:val="center"/>
          </w:tcPr>
          <w:p w:rsidR="0061578E" w:rsidRPr="004D451D" w:rsidRDefault="0061578E">
            <w:pPr>
              <w:widowControl/>
            </w:pPr>
            <w:r w:rsidRPr="004D451D">
              <w:rPr>
                <w:rFonts w:ascii="Arial" w:eastAsia="標楷體" w:hAnsi="Arial" w:cs="Arial"/>
                <w:kern w:val="0"/>
              </w:rPr>
              <w:t>0</w:t>
            </w:r>
            <w:r w:rsidRPr="004D451D">
              <w:rPr>
                <w:rFonts w:ascii="Arial" w:eastAsia="標楷體" w:hAnsi="Arial" w:cs="Arial"/>
                <w:kern w:val="0"/>
              </w:rPr>
              <w:t xml:space="preserve">　</w:t>
            </w:r>
          </w:p>
        </w:tc>
        <w:tc>
          <w:tcPr>
            <w:tcW w:w="477" w:type="pct"/>
            <w:tcBorders>
              <w:top w:val="nil"/>
              <w:left w:val="nil"/>
              <w:bottom w:val="single" w:sz="4" w:space="0" w:color="auto"/>
              <w:right w:val="single" w:sz="4" w:space="0" w:color="auto"/>
            </w:tcBorders>
            <w:vAlign w:val="center"/>
          </w:tcPr>
          <w:p w:rsidR="0061578E" w:rsidRPr="004D451D" w:rsidRDefault="0061578E">
            <w:pPr>
              <w:widowControl/>
            </w:pPr>
            <w:r w:rsidRPr="004D451D">
              <w:rPr>
                <w:rFonts w:ascii="Arial" w:eastAsia="標楷體" w:hAnsi="Arial" w:cs="Arial"/>
                <w:kern w:val="0"/>
              </w:rPr>
              <w:t>0</w:t>
            </w:r>
            <w:r w:rsidRPr="004D451D">
              <w:rPr>
                <w:rFonts w:ascii="Arial" w:eastAsia="標楷體" w:hAnsi="Arial" w:cs="Arial"/>
                <w:kern w:val="0"/>
              </w:rPr>
              <w:t xml:space="preserve">　</w:t>
            </w:r>
          </w:p>
        </w:tc>
        <w:tc>
          <w:tcPr>
            <w:tcW w:w="478" w:type="pct"/>
            <w:tcBorders>
              <w:top w:val="nil"/>
              <w:left w:val="nil"/>
              <w:bottom w:val="single" w:sz="4" w:space="0" w:color="auto"/>
              <w:right w:val="single" w:sz="4" w:space="0" w:color="auto"/>
            </w:tcBorders>
            <w:vAlign w:val="center"/>
          </w:tcPr>
          <w:p w:rsidR="0061578E" w:rsidRPr="004D451D" w:rsidRDefault="0061578E">
            <w:pPr>
              <w:widowControl/>
            </w:pPr>
            <w:r w:rsidRPr="004D451D">
              <w:rPr>
                <w:rFonts w:ascii="Arial" w:eastAsia="標楷體" w:hAnsi="Arial" w:cs="Arial"/>
                <w:kern w:val="0"/>
              </w:rPr>
              <w:t>0</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kern w:val="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BF53C1">
            <w:pPr>
              <w:spacing w:line="300" w:lineRule="exact"/>
              <w:ind w:left="28" w:right="28"/>
              <w:jc w:val="both"/>
              <w:rPr>
                <w:rFonts w:eastAsia="標楷體"/>
                <w:spacing w:val="-1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無到期日累積次順位債券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kern w:val="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BF53C1">
            <w:pPr>
              <w:spacing w:line="300" w:lineRule="exact"/>
              <w:ind w:left="28" w:right="28"/>
              <w:jc w:val="both"/>
              <w:rPr>
                <w:rFonts w:eastAsia="標楷體"/>
                <w:spacing w:val="-10"/>
              </w:rPr>
            </w:pPr>
            <w:r w:rsidRPr="004D451D">
              <w:rPr>
                <w:rFonts w:ascii="標楷體" w:eastAsia="標楷體" w:hAnsi="標楷體" w:cs="新細明體" w:hint="eastAsia"/>
                <w:kern w:val="0"/>
              </w:rPr>
              <w:t>可轉換次順位債券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widowControl/>
              <w:ind w:firstLineChars="50" w:firstLine="110"/>
              <w:jc w:val="both"/>
              <w:rPr>
                <w:rFonts w:ascii="標楷體" w:eastAsia="標楷體" w:hAnsi="標楷體" w:cs="新細明體"/>
                <w:kern w:val="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BF53C1">
            <w:pPr>
              <w:spacing w:line="300" w:lineRule="exact"/>
              <w:ind w:left="28" w:right="28"/>
              <w:jc w:val="both"/>
              <w:rPr>
                <w:rFonts w:eastAsia="標楷體"/>
                <w:spacing w:val="-10"/>
              </w:rPr>
            </w:pPr>
            <w:r w:rsidRPr="004D451D">
              <w:rPr>
                <w:rFonts w:ascii="標楷體" w:eastAsia="標楷體" w:hAnsi="標楷體" w:cs="新細明體" w:hint="eastAsia"/>
                <w:kern w:val="0"/>
              </w:rPr>
              <w:t>長期次順位債券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widowControl/>
              <w:ind w:firstLineChars="50" w:firstLine="110"/>
              <w:jc w:val="both"/>
              <w:rPr>
                <w:rFonts w:ascii="標楷體" w:eastAsia="標楷體" w:hAnsi="標楷體" w:cs="新細明體"/>
                <w:kern w:val="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BF53C1">
            <w:pPr>
              <w:spacing w:line="300" w:lineRule="exact"/>
              <w:ind w:left="28" w:right="28"/>
              <w:jc w:val="both"/>
              <w:rPr>
                <w:rFonts w:eastAsia="標楷體"/>
                <w:spacing w:val="-10"/>
              </w:rPr>
            </w:pPr>
            <w:r w:rsidRPr="004D451D">
              <w:rPr>
                <w:rFonts w:ascii="標楷體" w:eastAsia="標楷體" w:hAnsi="標楷體" w:cs="新細明體" w:hint="eastAsia"/>
                <w:kern w:val="0"/>
              </w:rPr>
              <w:t>非永續特別股（含其股本溢價）</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61578E">
            <w:pPr>
              <w:widowControl/>
              <w:ind w:firstLineChars="50" w:firstLine="110"/>
              <w:jc w:val="both"/>
              <w:rPr>
                <w:rFonts w:ascii="標楷體" w:eastAsia="標楷體" w:hAnsi="標楷體" w:cs="新細明體"/>
                <w:kern w:val="0"/>
              </w:rPr>
            </w:pPr>
            <w:r w:rsidRPr="004D451D">
              <w:rPr>
                <w:rFonts w:eastAsia="標楷體"/>
                <w:spacing w:val="-10"/>
              </w:rPr>
              <w:t>1</w:t>
            </w:r>
            <w:r w:rsidRPr="004D451D">
              <w:rPr>
                <w:rFonts w:eastAsia="標楷體" w:hint="eastAsia"/>
                <w:spacing w:val="-10"/>
              </w:rPr>
              <w:t>、</w:t>
            </w:r>
            <w:r w:rsidRPr="004D451D">
              <w:rPr>
                <w:rFonts w:eastAsia="標楷體"/>
                <w:spacing w:val="-10"/>
              </w:rPr>
              <w:t>101</w:t>
            </w:r>
            <w:r w:rsidRPr="004D451D">
              <w:rPr>
                <w:rFonts w:eastAsia="標楷體" w:hint="eastAsia"/>
                <w:spacing w:val="-10"/>
              </w:rPr>
              <w:t>年</w:t>
            </w:r>
            <w:r w:rsidRPr="004D451D">
              <w:rPr>
                <w:rFonts w:eastAsia="標楷體"/>
                <w:spacing w:val="-10"/>
              </w:rPr>
              <w:t>12</w:t>
            </w:r>
            <w:r w:rsidRPr="004D451D">
              <w:rPr>
                <w:rFonts w:eastAsia="標楷體" w:hint="eastAsia"/>
                <w:spacing w:val="-10"/>
              </w:rPr>
              <w:t>月</w:t>
            </w:r>
            <w:r w:rsidRPr="004D451D">
              <w:rPr>
                <w:rFonts w:eastAsia="標楷體"/>
                <w:spacing w:val="-10"/>
              </w:rPr>
              <w:t>31</w:t>
            </w:r>
            <w:r w:rsidRPr="004D451D">
              <w:rPr>
                <w:rFonts w:eastAsia="標楷體" w:hint="eastAsia"/>
                <w:spacing w:val="-10"/>
              </w:rPr>
              <w:t>日前發行不符合第二類資本條件者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tabs>
                <w:tab w:val="left" w:pos="756"/>
              </w:tabs>
              <w:spacing w:line="300" w:lineRule="exact"/>
              <w:ind w:leftChars="226" w:left="916" w:right="28" w:hangingChars="170" w:hanging="374"/>
              <w:jc w:val="both"/>
              <w:rPr>
                <w:rFonts w:eastAsia="標楷體"/>
                <w:spacing w:val="-10"/>
              </w:rPr>
            </w:pPr>
            <w:r w:rsidRPr="004D451D">
              <w:rPr>
                <w:rFonts w:eastAsia="標楷體"/>
                <w:spacing w:val="-10"/>
              </w:rPr>
              <w:t xml:space="preserve">     2</w:t>
            </w:r>
            <w:r w:rsidRPr="004D451D">
              <w:rPr>
                <w:rFonts w:eastAsia="標楷體" w:hint="eastAsia"/>
                <w:spacing w:val="-10"/>
              </w:rPr>
              <w:t>、</w:t>
            </w:r>
            <w:r w:rsidRPr="004D451D">
              <w:rPr>
                <w:rFonts w:eastAsia="標楷體"/>
                <w:spacing w:val="-10"/>
              </w:rPr>
              <w:t>102</w:t>
            </w:r>
            <w:r w:rsidRPr="004D451D">
              <w:rPr>
                <w:rFonts w:eastAsia="標楷體" w:hint="eastAsia"/>
                <w:spacing w:val="-10"/>
              </w:rPr>
              <w:t>年</w:t>
            </w:r>
            <w:r w:rsidRPr="004D451D">
              <w:rPr>
                <w:rFonts w:eastAsia="標楷體"/>
                <w:spacing w:val="-10"/>
              </w:rPr>
              <w:t>1</w:t>
            </w:r>
            <w:r w:rsidRPr="004D451D">
              <w:rPr>
                <w:rFonts w:eastAsia="標楷體" w:hint="eastAsia"/>
                <w:spacing w:val="-10"/>
              </w:rPr>
              <w:t>月</w:t>
            </w:r>
            <w:r w:rsidRPr="004D451D">
              <w:rPr>
                <w:rFonts w:eastAsia="標楷體"/>
                <w:spacing w:val="-10"/>
              </w:rPr>
              <w:t>1</w:t>
            </w:r>
            <w:r w:rsidRPr="004D451D">
              <w:rPr>
                <w:rFonts w:eastAsia="標楷體" w:hint="eastAsia"/>
                <w:spacing w:val="-10"/>
              </w:rPr>
              <w:t>日之後發行者</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EF4134">
            <w:pPr>
              <w:spacing w:line="300" w:lineRule="exact"/>
              <w:ind w:left="120" w:right="28" w:hangingChars="50" w:hanging="120"/>
              <w:jc w:val="both"/>
              <w:rPr>
                <w:rFonts w:eastAsia="標楷體"/>
                <w:spacing w:val="-10"/>
              </w:rPr>
            </w:pPr>
            <w:r w:rsidRPr="004D451D">
              <w:rPr>
                <w:rFonts w:ascii="標楷體" w:eastAsia="標楷體" w:hAnsi="標楷體" w:cs="新細明體"/>
                <w:kern w:val="0"/>
              </w:rPr>
              <w:t xml:space="preserve"> </w:t>
            </w:r>
            <w:r w:rsidRPr="004D451D">
              <w:rPr>
                <w:rFonts w:ascii="Garamond" w:eastAsia="標楷體" w:hAnsi="標楷體" w:hint="eastAsia"/>
                <w:kern w:val="0"/>
              </w:rPr>
              <w:t>不動產首次適用國際會計準則時，以</w:t>
            </w:r>
            <w:r w:rsidRPr="004D451D">
              <w:rPr>
                <w:rFonts w:ascii="Garamond" w:eastAsia="標楷體" w:hAnsi="標楷體" w:hint="eastAsia"/>
                <w:kern w:val="0"/>
              </w:rPr>
              <w:lastRenderedPageBreak/>
              <w:t>公允價值或重估價值作為認定成本產生之保留盈餘增加數</w:t>
            </w:r>
          </w:p>
        </w:tc>
        <w:tc>
          <w:tcPr>
            <w:tcW w:w="48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hint="eastAsia"/>
                <w:kern w:val="0"/>
              </w:rPr>
              <w:lastRenderedPageBreak/>
              <w:t>0</w:t>
            </w:r>
            <w:r w:rsidRPr="004D451D">
              <w:rPr>
                <w:rFonts w:ascii="Arial" w:eastAsia="標楷體" w:hAnsi="Arial" w:cs="Arial" w:hint="eastAsia"/>
                <w:kern w:val="0"/>
              </w:rPr>
              <w:t xml:space="preserve">　　</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標楷體" w:eastAsia="標楷體" w:hAnsi="標楷體" w:cs="新細明體" w:hint="eastAsia"/>
                <w:kern w:val="0"/>
              </w:rPr>
              <w:t xml:space="preserve">　</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0</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EF4134" w:rsidP="00EF4134">
            <w:pPr>
              <w:widowControl/>
              <w:ind w:leftChars="50" w:left="120"/>
              <w:jc w:val="both"/>
              <w:rPr>
                <w:rFonts w:ascii="標楷體" w:eastAsia="標楷體" w:hAnsi="標楷體" w:cs="新細明體"/>
                <w:kern w:val="0"/>
              </w:rPr>
            </w:pPr>
            <w:r w:rsidRPr="004D451D">
              <w:rPr>
                <w:rFonts w:ascii="標楷體" w:eastAsia="標楷體" w:hAnsi="標楷體" w:cs="新細明體" w:hint="eastAsia"/>
                <w:kern w:val="0"/>
              </w:rPr>
              <w:lastRenderedPageBreak/>
              <w:t>透過</w:t>
            </w:r>
            <w:r w:rsidRPr="004D451D">
              <w:rPr>
                <w:rFonts w:eastAsia="標楷體" w:hint="eastAsia"/>
                <w:kern w:val="0"/>
              </w:rPr>
              <w:t>其他</w:t>
            </w:r>
            <w:r w:rsidRPr="004D451D">
              <w:rPr>
                <w:rFonts w:ascii="標楷體" w:eastAsia="標楷體" w:hAnsi="標楷體" w:cs="新細明體" w:hint="eastAsia"/>
                <w:kern w:val="0"/>
              </w:rPr>
              <w:t>綜合損益按公允價值衡量之權益工具及債務工具未實現評價利益之</w:t>
            </w:r>
            <w:r w:rsidRPr="004D451D">
              <w:rPr>
                <w:rFonts w:ascii="標楷體" w:eastAsia="標楷體" w:hAnsi="標楷體" w:cs="新細明體"/>
                <w:kern w:val="0"/>
              </w:rPr>
              <w:t>45%</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標楷體" w:eastAsia="標楷體" w:hAnsi="標楷體" w:cs="新細明體" w:hint="eastAsia"/>
                <w:kern w:val="0"/>
              </w:rPr>
              <w:t>726,055</w:t>
            </w:r>
          </w:p>
        </w:tc>
        <w:tc>
          <w:tcPr>
            <w:tcW w:w="489"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1,189,226</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標楷體" w:eastAsia="標楷體" w:hAnsi="標楷體" w:cs="新細明體"/>
                <w:kern w:val="0"/>
              </w:rPr>
            </w:pPr>
            <w:r w:rsidRPr="004D451D">
              <w:rPr>
                <w:rFonts w:ascii="Arial" w:eastAsia="標楷體" w:hAnsi="Arial" w:cs="Arial" w:hint="eastAsia"/>
                <w:kern w:val="0"/>
              </w:rPr>
              <w:t>726,055</w:t>
            </w:r>
          </w:p>
        </w:tc>
        <w:tc>
          <w:tcPr>
            <w:tcW w:w="478" w:type="pct"/>
            <w:tcBorders>
              <w:top w:val="nil"/>
              <w:left w:val="nil"/>
              <w:bottom w:val="single" w:sz="4" w:space="0" w:color="auto"/>
              <w:right w:val="single" w:sz="4" w:space="0" w:color="auto"/>
            </w:tcBorders>
            <w:vAlign w:val="center"/>
          </w:tcPr>
          <w:p w:rsidR="0061578E" w:rsidRPr="004D451D" w:rsidRDefault="0061578E" w:rsidP="00717EC3">
            <w:pPr>
              <w:widowControl/>
              <w:jc w:val="right"/>
              <w:rPr>
                <w:rFonts w:ascii="Arial" w:eastAsia="標楷體" w:hAnsi="Arial" w:cs="Arial"/>
                <w:kern w:val="0"/>
              </w:rPr>
            </w:pPr>
            <w:r w:rsidRPr="004D451D">
              <w:rPr>
                <w:rFonts w:ascii="Arial" w:eastAsia="標楷體" w:hAnsi="Arial" w:cs="Arial"/>
                <w:kern w:val="0"/>
              </w:rPr>
              <w:t>1,189,226</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205381">
            <w:pPr>
              <w:widowControl/>
              <w:ind w:left="120" w:hangingChars="50" w:hanging="120"/>
              <w:jc w:val="both"/>
              <w:rPr>
                <w:rFonts w:ascii="標楷體" w:eastAsia="標楷體" w:hAnsi="標楷體" w:cs="新細明體"/>
                <w:kern w:val="0"/>
              </w:rPr>
            </w:pPr>
            <w:r w:rsidRPr="004D451D">
              <w:rPr>
                <w:rFonts w:ascii="標楷體" w:eastAsia="標楷體" w:hAnsi="標楷體" w:cs="新細明體"/>
                <w:kern w:val="0"/>
              </w:rPr>
              <w:t xml:space="preserve"> </w:t>
            </w:r>
            <w:r w:rsidRPr="004D451D">
              <w:rPr>
                <w:rFonts w:eastAsia="標楷體"/>
                <w:kern w:val="0"/>
              </w:rPr>
              <w:t>投資性不動產後續衡量採公允價值模式所認列增值利益之</w:t>
            </w:r>
            <w:r w:rsidRPr="004D451D">
              <w:rPr>
                <w:rFonts w:eastAsia="標楷體"/>
                <w:kern w:val="0"/>
              </w:rPr>
              <w:t>45%</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標楷體" w:eastAsia="標楷體" w:hAnsi="標楷體" w:cs="新細明體"/>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hint="eastAsia"/>
                <w:kern w:val="0"/>
              </w:rPr>
              <w:t>0</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hint="eastAsia"/>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BF53C1">
            <w:pPr>
              <w:widowControl/>
              <w:ind w:left="120" w:hangingChars="50" w:hanging="120"/>
              <w:jc w:val="both"/>
              <w:rPr>
                <w:rFonts w:eastAsia="標楷體"/>
                <w:kern w:val="0"/>
              </w:rPr>
            </w:pPr>
            <w:r w:rsidRPr="004D451D">
              <w:rPr>
                <w:rFonts w:ascii="標楷體" w:eastAsia="標楷體" w:hAnsi="標楷體" w:cs="新細明體"/>
                <w:kern w:val="0"/>
              </w:rPr>
              <w:t xml:space="preserve"> </w:t>
            </w:r>
            <w:r w:rsidRPr="004D451D">
              <w:rPr>
                <w:rFonts w:ascii="標楷體" w:eastAsia="標楷體" w:hAnsi="標楷體" w:cs="新細明體" w:hint="eastAsia"/>
                <w:kern w:val="0"/>
              </w:rPr>
              <w:t>營業準備及備抵呆帳</w:t>
            </w:r>
          </w:p>
        </w:tc>
        <w:tc>
          <w:tcPr>
            <w:tcW w:w="488" w:type="pct"/>
            <w:tcBorders>
              <w:top w:val="nil"/>
              <w:left w:val="nil"/>
              <w:bottom w:val="single" w:sz="4" w:space="0" w:color="auto"/>
              <w:right w:val="single" w:sz="4" w:space="0" w:color="auto"/>
            </w:tcBorders>
            <w:vAlign w:val="center"/>
          </w:tcPr>
          <w:p w:rsidR="0061578E" w:rsidRPr="004D451D" w:rsidRDefault="0061578E" w:rsidP="00F97362">
            <w:pPr>
              <w:widowControl/>
              <w:jc w:val="right"/>
              <w:rPr>
                <w:rFonts w:ascii="Arial" w:eastAsia="標楷體" w:hAnsi="Arial" w:cs="Arial"/>
                <w:kern w:val="0"/>
              </w:rPr>
            </w:pPr>
            <w:r w:rsidRPr="004D451D">
              <w:rPr>
                <w:rFonts w:ascii="標楷體" w:eastAsia="標楷體" w:hAnsi="標楷體" w:cs="新細明體" w:hint="eastAsia"/>
                <w:kern w:val="0"/>
              </w:rPr>
              <w:t>464,293</w:t>
            </w:r>
          </w:p>
        </w:tc>
        <w:tc>
          <w:tcPr>
            <w:tcW w:w="489" w:type="pct"/>
            <w:tcBorders>
              <w:top w:val="nil"/>
              <w:left w:val="nil"/>
              <w:bottom w:val="single" w:sz="4" w:space="0" w:color="auto"/>
              <w:right w:val="single" w:sz="4" w:space="0" w:color="auto"/>
            </w:tcBorders>
            <w:vAlign w:val="center"/>
          </w:tcPr>
          <w:p w:rsidR="0061578E" w:rsidRPr="004D451D" w:rsidRDefault="0061578E" w:rsidP="00B42968">
            <w:pPr>
              <w:widowControl/>
              <w:jc w:val="right"/>
              <w:rPr>
                <w:rFonts w:ascii="Arial" w:eastAsia="標楷體" w:hAnsi="Arial" w:cs="Arial"/>
                <w:kern w:val="0"/>
              </w:rPr>
            </w:pPr>
            <w:r w:rsidRPr="004D451D">
              <w:rPr>
                <w:rFonts w:ascii="Arial" w:eastAsia="標楷體" w:hAnsi="Arial" w:cs="Arial"/>
                <w:kern w:val="0"/>
              </w:rPr>
              <w:t>599,944</w:t>
            </w:r>
            <w:r w:rsidRPr="004D451D">
              <w:rPr>
                <w:rFonts w:ascii="Arial" w:eastAsia="標楷體" w:hAnsi="Arial" w:cs="Arial"/>
                <w:kern w:val="0"/>
              </w:rPr>
              <w:t xml:space="preserve">　</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464,293</w:t>
            </w:r>
          </w:p>
        </w:tc>
        <w:tc>
          <w:tcPr>
            <w:tcW w:w="478" w:type="pct"/>
            <w:tcBorders>
              <w:top w:val="nil"/>
              <w:left w:val="nil"/>
              <w:bottom w:val="single" w:sz="4" w:space="0" w:color="auto"/>
              <w:right w:val="single" w:sz="4" w:space="0" w:color="auto"/>
            </w:tcBorders>
            <w:vAlign w:val="center"/>
          </w:tcPr>
          <w:p w:rsidR="0061578E" w:rsidRPr="004D451D" w:rsidRDefault="0061578E" w:rsidP="00B42968">
            <w:pPr>
              <w:widowControl/>
              <w:jc w:val="right"/>
              <w:rPr>
                <w:rFonts w:ascii="Arial" w:eastAsia="標楷體" w:hAnsi="Arial" w:cs="Arial"/>
                <w:kern w:val="0"/>
              </w:rPr>
            </w:pPr>
            <w:r w:rsidRPr="004D451D">
              <w:rPr>
                <w:rFonts w:ascii="Arial" w:eastAsia="標楷體" w:hAnsi="Arial" w:cs="Arial"/>
                <w:kern w:val="0"/>
              </w:rPr>
              <w:t>599,944</w:t>
            </w:r>
            <w:r w:rsidRPr="004D451D">
              <w:rPr>
                <w:rFonts w:ascii="Arial" w:eastAsia="標楷體" w:hAnsi="Arial" w:cs="Arial"/>
                <w:kern w:val="0"/>
              </w:rPr>
              <w:t xml:space="preserve">　</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tcPr>
          <w:p w:rsidR="0061578E" w:rsidRPr="004D451D" w:rsidRDefault="0061578E" w:rsidP="00BF53C1">
            <w:pPr>
              <w:widowControl/>
              <w:jc w:val="both"/>
              <w:rPr>
                <w:rFonts w:ascii="標楷體" w:eastAsia="標楷體" w:hAnsi="標楷體" w:cs="新細明體"/>
                <w:kern w:val="0"/>
              </w:rPr>
            </w:pPr>
            <w:r w:rsidRPr="004D451D">
              <w:rPr>
                <w:rFonts w:ascii="Garamond" w:eastAsia="標楷體" w:hAnsi="Garamond" w:hint="eastAsia"/>
                <w:kern w:val="0"/>
              </w:rPr>
              <w:t>其他合併子公司發行非由母公司持有之資本</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標楷體" w:eastAsia="標楷體" w:hAnsi="標楷體" w:cs="新細明體"/>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strike/>
                <w:kern w:val="0"/>
              </w:rPr>
            </w:pPr>
            <w:r w:rsidRPr="004D451D">
              <w:rPr>
                <w:rFonts w:ascii="標楷體" w:eastAsia="標楷體" w:hAnsi="標楷體" w:cs="新細明體" w:hint="eastAsia"/>
                <w:kern w:val="0"/>
              </w:rPr>
              <w:t>減：</w:t>
            </w:r>
          </w:p>
          <w:p w:rsidR="0061578E" w:rsidRPr="004D451D" w:rsidRDefault="0061578E" w:rsidP="00BF53C1">
            <w:pPr>
              <w:widowControl/>
              <w:ind w:leftChars="50" w:left="120"/>
              <w:jc w:val="both"/>
              <w:rPr>
                <w:rFonts w:ascii="標楷體" w:eastAsia="標楷體" w:hAnsi="標楷體" w:cs="新細明體"/>
                <w:kern w:val="0"/>
              </w:rPr>
            </w:pPr>
            <w:r w:rsidRPr="004D451D">
              <w:rPr>
                <w:rFonts w:eastAsia="標楷體"/>
                <w:spacing w:val="-10"/>
              </w:rPr>
              <w:t>1</w:t>
            </w:r>
            <w:r w:rsidRPr="004D451D">
              <w:rPr>
                <w:rFonts w:eastAsia="標楷體" w:hint="eastAsia"/>
                <w:spacing w:val="-10"/>
              </w:rPr>
              <w:t>、商業銀行對金融相關事業之投資分類至銀行簿者</w:t>
            </w:r>
          </w:p>
        </w:tc>
        <w:tc>
          <w:tcPr>
            <w:tcW w:w="488" w:type="pct"/>
            <w:tcBorders>
              <w:top w:val="single" w:sz="4" w:space="0" w:color="auto"/>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kern w:val="0"/>
              </w:rPr>
            </w:pPr>
            <w:r w:rsidRPr="004D451D">
              <w:rPr>
                <w:rFonts w:ascii="標楷體" w:eastAsia="標楷體" w:hAnsi="標楷體" w:cs="新細明體" w:hint="eastAsia"/>
                <w:kern w:val="0"/>
              </w:rPr>
              <w:t>792,835</w:t>
            </w:r>
          </w:p>
        </w:tc>
        <w:tc>
          <w:tcPr>
            <w:tcW w:w="489" w:type="pct"/>
            <w:tcBorders>
              <w:top w:val="single" w:sz="4" w:space="0" w:color="auto"/>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528,013</w:t>
            </w:r>
            <w:r w:rsidRPr="004D451D">
              <w:rPr>
                <w:rFonts w:ascii="Arial" w:eastAsia="標楷體" w:hAnsi="Arial" w:cs="Arial"/>
                <w:kern w:val="0"/>
              </w:rPr>
              <w:t xml:space="preserve">　</w:t>
            </w:r>
          </w:p>
        </w:tc>
        <w:tc>
          <w:tcPr>
            <w:tcW w:w="456" w:type="pct"/>
            <w:tcBorders>
              <w:top w:val="single" w:sz="4" w:space="0" w:color="auto"/>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239,244</w:t>
            </w:r>
          </w:p>
        </w:tc>
        <w:tc>
          <w:tcPr>
            <w:tcW w:w="478" w:type="pct"/>
            <w:tcBorders>
              <w:top w:val="single" w:sz="4" w:space="0" w:color="auto"/>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139,157</w:t>
            </w:r>
          </w:p>
        </w:tc>
      </w:tr>
      <w:tr w:rsidR="004D451D" w:rsidRPr="004D451D" w:rsidTr="00EF4134">
        <w:trPr>
          <w:gridAfter w:val="4"/>
          <w:wAfter w:w="1909" w:type="pct"/>
          <w:trHeight w:val="329"/>
        </w:trPr>
        <w:tc>
          <w:tcPr>
            <w:tcW w:w="1180" w:type="pct"/>
            <w:tcBorders>
              <w:top w:val="single" w:sz="4" w:space="0" w:color="auto"/>
              <w:left w:val="single" w:sz="4" w:space="0" w:color="auto"/>
              <w:bottom w:val="single" w:sz="4" w:space="0" w:color="auto"/>
              <w:right w:val="single" w:sz="4" w:space="0" w:color="auto"/>
            </w:tcBorders>
            <w:vAlign w:val="center"/>
          </w:tcPr>
          <w:p w:rsidR="0061578E" w:rsidRPr="004D451D" w:rsidRDefault="0061578E" w:rsidP="00BF53C1">
            <w:pPr>
              <w:widowControl/>
              <w:ind w:leftChars="92" w:left="551" w:hangingChars="150" w:hanging="330"/>
              <w:jc w:val="both"/>
              <w:rPr>
                <w:rFonts w:ascii="標楷體" w:eastAsia="標楷體" w:hAnsi="標楷體" w:cs="新細明體"/>
                <w:strike/>
                <w:kern w:val="0"/>
              </w:rPr>
            </w:pPr>
            <w:r w:rsidRPr="004D451D">
              <w:rPr>
                <w:rFonts w:eastAsia="標楷體"/>
                <w:spacing w:val="-10"/>
              </w:rPr>
              <w:t>2</w:t>
            </w:r>
            <w:r w:rsidRPr="004D451D">
              <w:rPr>
                <w:rFonts w:eastAsia="標楷體" w:hint="eastAsia"/>
                <w:spacing w:val="-10"/>
              </w:rPr>
              <w:t>、工業銀行直接投資及投資不動產依規扣除數</w:t>
            </w:r>
          </w:p>
        </w:tc>
        <w:tc>
          <w:tcPr>
            <w:tcW w:w="488" w:type="pct"/>
            <w:tcBorders>
              <w:top w:val="single" w:sz="4" w:space="0" w:color="auto"/>
              <w:left w:val="nil"/>
              <w:bottom w:val="single" w:sz="4" w:space="0" w:color="auto"/>
              <w:right w:val="single" w:sz="4" w:space="0" w:color="auto"/>
            </w:tcBorders>
            <w:vAlign w:val="center"/>
          </w:tcPr>
          <w:p w:rsidR="0061578E" w:rsidRPr="004D451D" w:rsidRDefault="0061578E" w:rsidP="00BF53C1">
            <w:pPr>
              <w:widowControl/>
              <w:jc w:val="right"/>
              <w:rPr>
                <w:rFonts w:ascii="標楷體" w:eastAsia="標楷體" w:hAnsi="標楷體" w:cs="新細明體"/>
                <w:kern w:val="0"/>
              </w:rPr>
            </w:pPr>
            <w:r w:rsidRPr="004D451D">
              <w:rPr>
                <w:rFonts w:ascii="Arial" w:eastAsia="標楷體" w:hAnsi="Arial" w:cs="Arial" w:hint="eastAsia"/>
                <w:kern w:val="0"/>
              </w:rPr>
              <w:t>0</w:t>
            </w:r>
          </w:p>
        </w:tc>
        <w:tc>
          <w:tcPr>
            <w:tcW w:w="489" w:type="pct"/>
            <w:tcBorders>
              <w:top w:val="single" w:sz="4" w:space="0" w:color="auto"/>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single" w:sz="4" w:space="0" w:color="auto"/>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single" w:sz="4" w:space="0" w:color="auto"/>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ind w:leftChars="92" w:left="551" w:hangingChars="150" w:hanging="330"/>
              <w:jc w:val="both"/>
              <w:rPr>
                <w:rFonts w:ascii="標楷體" w:eastAsia="標楷體" w:hAnsi="標楷體" w:cs="新細明體"/>
                <w:kern w:val="0"/>
              </w:rPr>
            </w:pPr>
            <w:r w:rsidRPr="004D451D">
              <w:rPr>
                <w:rFonts w:eastAsia="標楷體"/>
                <w:spacing w:val="-10"/>
              </w:rPr>
              <w:t xml:space="preserve">  3</w:t>
            </w:r>
            <w:r w:rsidRPr="004D451D">
              <w:rPr>
                <w:rFonts w:eastAsia="標楷體" w:hint="eastAsia"/>
                <w:spacing w:val="-10"/>
              </w:rPr>
              <w:t>、其他資本扣除項目</w:t>
            </w:r>
          </w:p>
        </w:tc>
        <w:tc>
          <w:tcPr>
            <w:tcW w:w="488" w:type="pct"/>
            <w:tcBorders>
              <w:top w:val="nil"/>
              <w:left w:val="nil"/>
              <w:bottom w:val="single" w:sz="4" w:space="0" w:color="auto"/>
              <w:right w:val="single" w:sz="4" w:space="0" w:color="auto"/>
            </w:tcBorders>
            <w:vAlign w:val="center"/>
          </w:tcPr>
          <w:p w:rsidR="0061578E" w:rsidRPr="004D451D" w:rsidRDefault="0061578E" w:rsidP="00203209">
            <w:pPr>
              <w:widowControl/>
              <w:jc w:val="right"/>
              <w:rPr>
                <w:rFonts w:ascii="Arial" w:eastAsia="標楷體" w:hAnsi="Arial" w:cs="Arial"/>
                <w:kern w:val="0"/>
              </w:rPr>
            </w:pPr>
            <w:r w:rsidRPr="004D451D">
              <w:rPr>
                <w:rFonts w:ascii="Arial" w:eastAsia="標楷體" w:hAnsi="Arial" w:cs="Arial" w:hint="eastAsia"/>
                <w:kern w:val="0"/>
              </w:rPr>
              <w:t>0</w:t>
            </w:r>
          </w:p>
        </w:tc>
        <w:tc>
          <w:tcPr>
            <w:tcW w:w="489"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0</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0</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b/>
                <w:bCs/>
                <w:kern w:val="0"/>
              </w:rPr>
            </w:pPr>
            <w:r w:rsidRPr="004D451D">
              <w:rPr>
                <w:rFonts w:ascii="標楷體" w:eastAsia="標楷體" w:hAnsi="標楷體" w:cs="新細明體" w:hint="eastAsia"/>
                <w:b/>
                <w:bCs/>
                <w:kern w:val="0"/>
              </w:rPr>
              <w:t>第二類資本淨額（</w:t>
            </w:r>
            <w:r w:rsidRPr="004D451D">
              <w:rPr>
                <w:rFonts w:ascii="標楷體" w:eastAsia="標楷體" w:hAnsi="標楷體" w:cs="新細明體"/>
                <w:b/>
                <w:bCs/>
                <w:kern w:val="0"/>
              </w:rPr>
              <w:t>3</w:t>
            </w:r>
            <w:r w:rsidRPr="004D451D">
              <w:rPr>
                <w:rFonts w:ascii="標楷體" w:eastAsia="標楷體" w:hAnsi="標楷體" w:cs="新細明體" w:hint="eastAsia"/>
                <w:b/>
                <w:bCs/>
                <w:kern w:val="0"/>
              </w:rPr>
              <w:t>）</w:t>
            </w:r>
          </w:p>
        </w:tc>
        <w:tc>
          <w:tcPr>
            <w:tcW w:w="488" w:type="pct"/>
            <w:tcBorders>
              <w:top w:val="nil"/>
              <w:left w:val="nil"/>
              <w:bottom w:val="single" w:sz="4" w:space="0" w:color="auto"/>
              <w:right w:val="single" w:sz="4" w:space="0" w:color="auto"/>
            </w:tcBorders>
            <w:vAlign w:val="center"/>
          </w:tcPr>
          <w:p w:rsidR="0061578E" w:rsidRPr="004D451D" w:rsidRDefault="0061578E" w:rsidP="00203209">
            <w:pPr>
              <w:widowControl/>
              <w:jc w:val="right"/>
              <w:rPr>
                <w:rFonts w:ascii="Arial" w:eastAsia="標楷體" w:hAnsi="Arial" w:cs="Arial"/>
                <w:kern w:val="0"/>
              </w:rPr>
            </w:pPr>
            <w:r w:rsidRPr="004D451D">
              <w:rPr>
                <w:rFonts w:ascii="標楷體" w:eastAsia="標楷體" w:hAnsi="標楷體" w:cs="新細明體" w:hint="eastAsia"/>
                <w:kern w:val="0"/>
              </w:rPr>
              <w:t>397,513</w:t>
            </w:r>
          </w:p>
        </w:tc>
        <w:tc>
          <w:tcPr>
            <w:tcW w:w="489" w:type="pct"/>
            <w:tcBorders>
              <w:top w:val="nil"/>
              <w:left w:val="nil"/>
              <w:bottom w:val="single" w:sz="4" w:space="0" w:color="auto"/>
              <w:right w:val="single" w:sz="4" w:space="0" w:color="auto"/>
            </w:tcBorders>
          </w:tcPr>
          <w:p w:rsidR="0061578E" w:rsidRPr="004D451D" w:rsidRDefault="0061578E" w:rsidP="00205381">
            <w:pPr>
              <w:widowControl/>
              <w:jc w:val="right"/>
              <w:rPr>
                <w:rFonts w:ascii="Arial" w:eastAsia="標楷體" w:hAnsi="Arial" w:cs="Arial"/>
                <w:kern w:val="0"/>
              </w:rPr>
            </w:pPr>
            <w:r w:rsidRPr="004D451D">
              <w:rPr>
                <w:rFonts w:ascii="Arial" w:hAnsi="Arial" w:cs="Arial"/>
              </w:rPr>
              <w:t xml:space="preserve"> 1,261,156 </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951,105</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kern w:val="0"/>
              </w:rPr>
              <w:t>1,650,013</w:t>
            </w:r>
          </w:p>
        </w:tc>
      </w:tr>
      <w:tr w:rsidR="004D451D" w:rsidRPr="004D451D" w:rsidTr="00EF4134">
        <w:trPr>
          <w:gridAfter w:val="4"/>
          <w:wAfter w:w="1909" w:type="pct"/>
          <w:trHeight w:val="329"/>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b/>
                <w:bCs/>
                <w:kern w:val="0"/>
              </w:rPr>
            </w:pPr>
            <w:r w:rsidRPr="004D451D">
              <w:rPr>
                <w:rFonts w:ascii="標楷體" w:eastAsia="標楷體" w:hAnsi="標楷體" w:cs="新細明體" w:hint="eastAsia"/>
                <w:b/>
                <w:bCs/>
                <w:kern w:val="0"/>
              </w:rPr>
              <w:t>自有資本合計</w:t>
            </w:r>
            <w:r w:rsidRPr="004D451D">
              <w:rPr>
                <w:rFonts w:eastAsia="標楷體" w:hAnsi="標楷體" w:hint="eastAsia"/>
                <w:b/>
                <w:bCs/>
                <w:kern w:val="0"/>
              </w:rPr>
              <w:t>＝（</w:t>
            </w:r>
            <w:r w:rsidRPr="004D451D">
              <w:rPr>
                <w:rFonts w:eastAsia="標楷體"/>
                <w:b/>
                <w:bCs/>
                <w:kern w:val="0"/>
              </w:rPr>
              <w:t>1</w:t>
            </w:r>
            <w:r w:rsidRPr="004D451D">
              <w:rPr>
                <w:rFonts w:eastAsia="標楷體" w:hAnsi="標楷體" w:hint="eastAsia"/>
                <w:b/>
                <w:bCs/>
                <w:kern w:val="0"/>
              </w:rPr>
              <w:t>）＋（</w:t>
            </w:r>
            <w:r w:rsidRPr="004D451D">
              <w:rPr>
                <w:rFonts w:eastAsia="標楷體"/>
                <w:b/>
                <w:bCs/>
                <w:kern w:val="0"/>
              </w:rPr>
              <w:t>2</w:t>
            </w:r>
            <w:r w:rsidRPr="004D451D">
              <w:rPr>
                <w:rFonts w:eastAsia="標楷體" w:hAnsi="標楷體" w:hint="eastAsia"/>
                <w:b/>
                <w:bCs/>
                <w:kern w:val="0"/>
              </w:rPr>
              <w:t>）＋（</w:t>
            </w:r>
            <w:r w:rsidRPr="004D451D">
              <w:rPr>
                <w:rFonts w:eastAsia="標楷體"/>
                <w:b/>
                <w:bCs/>
                <w:kern w:val="0"/>
              </w:rPr>
              <w:t>3</w:t>
            </w:r>
            <w:r w:rsidRPr="004D451D">
              <w:rPr>
                <w:rFonts w:eastAsia="標楷體" w:hAnsi="標楷體" w:hint="eastAsia"/>
                <w:b/>
                <w:bCs/>
                <w:kern w:val="0"/>
              </w:rPr>
              <w:t>）</w:t>
            </w: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標楷體" w:eastAsia="標楷體" w:hAnsi="標楷體" w:cs="新細明體"/>
                <w:kern w:val="0"/>
              </w:rPr>
            </w:pPr>
            <w:r w:rsidRPr="004D451D">
              <w:rPr>
                <w:rFonts w:ascii="Arial" w:eastAsia="標楷體" w:hAnsi="Arial" w:cs="Arial" w:hint="eastAsia"/>
                <w:bCs/>
                <w:kern w:val="0"/>
              </w:rPr>
              <w:t>34,196,922</w:t>
            </w:r>
          </w:p>
        </w:tc>
        <w:tc>
          <w:tcPr>
            <w:tcW w:w="489" w:type="pct"/>
            <w:tcBorders>
              <w:top w:val="nil"/>
              <w:left w:val="nil"/>
              <w:bottom w:val="single" w:sz="4" w:space="0" w:color="auto"/>
              <w:right w:val="single" w:sz="4" w:space="0" w:color="auto"/>
            </w:tcBorders>
          </w:tcPr>
          <w:p w:rsidR="0061578E" w:rsidRPr="004D451D" w:rsidRDefault="0061578E" w:rsidP="00205381">
            <w:pPr>
              <w:jc w:val="right"/>
              <w:rPr>
                <w:rFonts w:ascii="Arial" w:hAnsi="Arial" w:cs="Arial"/>
              </w:rPr>
            </w:pPr>
            <w:r w:rsidRPr="004D451D">
              <w:rPr>
                <w:rFonts w:ascii="Arial" w:hAnsi="Arial" w:cs="Arial"/>
              </w:rPr>
              <w:t xml:space="preserve"> 32,547,587 </w:t>
            </w: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r w:rsidRPr="004D451D">
              <w:rPr>
                <w:rFonts w:ascii="Arial" w:eastAsia="標楷體" w:hAnsi="Arial" w:cs="Arial" w:hint="eastAsia"/>
                <w:kern w:val="0"/>
              </w:rPr>
              <w:t>35,304,106</w:t>
            </w: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kern w:val="0"/>
              </w:rPr>
            </w:pPr>
            <w:r w:rsidRPr="004D451D">
              <w:rPr>
                <w:rFonts w:ascii="Arial" w:eastAsia="標楷體" w:hAnsi="Arial" w:cs="Arial"/>
                <w:bCs/>
                <w:kern w:val="0"/>
              </w:rPr>
              <w:t>33,325,301</w:t>
            </w:r>
          </w:p>
        </w:tc>
      </w:tr>
      <w:tr w:rsidR="004D451D" w:rsidRPr="004D451D" w:rsidTr="00EF4134">
        <w:trPr>
          <w:gridAfter w:val="4"/>
          <w:wAfter w:w="1909" w:type="pct"/>
          <w:trHeight w:val="368"/>
        </w:trPr>
        <w:tc>
          <w:tcPr>
            <w:tcW w:w="1180" w:type="pct"/>
            <w:tcBorders>
              <w:top w:val="nil"/>
              <w:left w:val="single" w:sz="4" w:space="0" w:color="auto"/>
              <w:bottom w:val="single" w:sz="4" w:space="0" w:color="auto"/>
              <w:right w:val="single" w:sz="4" w:space="0" w:color="auto"/>
            </w:tcBorders>
            <w:vAlign w:val="center"/>
          </w:tcPr>
          <w:p w:rsidR="0061578E" w:rsidRPr="004D451D" w:rsidRDefault="0061578E" w:rsidP="00BF53C1">
            <w:pPr>
              <w:widowControl/>
              <w:jc w:val="both"/>
              <w:rPr>
                <w:rFonts w:ascii="標楷體" w:eastAsia="標楷體" w:hAnsi="標楷體" w:cs="新細明體"/>
                <w:b/>
                <w:bCs/>
                <w:kern w:val="0"/>
              </w:rPr>
            </w:pPr>
          </w:p>
        </w:tc>
        <w:tc>
          <w:tcPr>
            <w:tcW w:w="488" w:type="pct"/>
            <w:tcBorders>
              <w:top w:val="nil"/>
              <w:left w:val="nil"/>
              <w:bottom w:val="single" w:sz="4" w:space="0" w:color="auto"/>
              <w:right w:val="single" w:sz="4" w:space="0" w:color="auto"/>
            </w:tcBorders>
            <w:vAlign w:val="center"/>
          </w:tcPr>
          <w:p w:rsidR="0061578E" w:rsidRPr="004D451D" w:rsidRDefault="0061578E" w:rsidP="00BF53C1">
            <w:pPr>
              <w:widowControl/>
              <w:jc w:val="right"/>
              <w:rPr>
                <w:rFonts w:ascii="Arial" w:eastAsia="標楷體" w:hAnsi="Arial" w:cs="Arial"/>
                <w:bCs/>
                <w:kern w:val="0"/>
              </w:rPr>
            </w:pPr>
          </w:p>
        </w:tc>
        <w:tc>
          <w:tcPr>
            <w:tcW w:w="489" w:type="pct"/>
            <w:tcBorders>
              <w:top w:val="nil"/>
              <w:left w:val="nil"/>
              <w:bottom w:val="single" w:sz="4" w:space="0" w:color="auto"/>
              <w:right w:val="single" w:sz="4" w:space="0" w:color="auto"/>
            </w:tcBorders>
          </w:tcPr>
          <w:p w:rsidR="0061578E" w:rsidRPr="004D451D" w:rsidRDefault="0061578E" w:rsidP="00205381">
            <w:pPr>
              <w:jc w:val="right"/>
              <w:rPr>
                <w:rFonts w:ascii="Arial" w:hAnsi="Arial" w:cs="Arial"/>
              </w:rPr>
            </w:pPr>
          </w:p>
        </w:tc>
        <w:tc>
          <w:tcPr>
            <w:tcW w:w="456" w:type="pct"/>
            <w:tcBorders>
              <w:top w:val="nil"/>
              <w:left w:val="nil"/>
              <w:bottom w:val="single" w:sz="4" w:space="0" w:color="auto"/>
              <w:right w:val="single" w:sz="4" w:space="0" w:color="auto"/>
            </w:tcBorders>
            <w:vAlign w:val="center"/>
          </w:tcPr>
          <w:p w:rsidR="0061578E" w:rsidRPr="004D451D" w:rsidRDefault="0061578E" w:rsidP="002E2876">
            <w:pPr>
              <w:widowControl/>
              <w:jc w:val="right"/>
              <w:rPr>
                <w:rFonts w:ascii="Arial" w:eastAsia="標楷體" w:hAnsi="Arial" w:cs="Arial"/>
                <w:kern w:val="0"/>
              </w:rPr>
            </w:pPr>
          </w:p>
        </w:tc>
        <w:tc>
          <w:tcPr>
            <w:tcW w:w="478" w:type="pct"/>
            <w:tcBorders>
              <w:top w:val="nil"/>
              <w:left w:val="nil"/>
              <w:bottom w:val="single" w:sz="4" w:space="0" w:color="auto"/>
              <w:right w:val="single" w:sz="4" w:space="0" w:color="auto"/>
            </w:tcBorders>
            <w:vAlign w:val="center"/>
          </w:tcPr>
          <w:p w:rsidR="0061578E" w:rsidRPr="004D451D" w:rsidRDefault="0061578E" w:rsidP="00205381">
            <w:pPr>
              <w:widowControl/>
              <w:jc w:val="right"/>
              <w:rPr>
                <w:rFonts w:ascii="Arial" w:eastAsia="標楷體" w:hAnsi="Arial" w:cs="Arial"/>
                <w:bCs/>
                <w:kern w:val="0"/>
              </w:rPr>
            </w:pPr>
          </w:p>
        </w:tc>
      </w:tr>
    </w:tbl>
    <w:p w:rsidR="002E6965" w:rsidRPr="004D451D" w:rsidRDefault="002E6965" w:rsidP="00337D63">
      <w:pPr>
        <w:pStyle w:val="ad"/>
        <w:spacing w:line="240" w:lineRule="auto"/>
        <w:ind w:left="0" w:firstLine="0"/>
        <w:rPr>
          <w:rFonts w:cs="Arial"/>
          <w:b/>
          <w:sz w:val="24"/>
        </w:rPr>
      </w:pPr>
    </w:p>
    <w:p w:rsidR="00337D63" w:rsidRPr="004D451D" w:rsidRDefault="00BF1989" w:rsidP="00337D63">
      <w:pPr>
        <w:pStyle w:val="ad"/>
        <w:spacing w:line="240" w:lineRule="auto"/>
        <w:ind w:left="0" w:firstLine="0"/>
        <w:rPr>
          <w:rFonts w:cs="Arial"/>
          <w:sz w:val="24"/>
        </w:rPr>
      </w:pPr>
      <w:r w:rsidRPr="004D451D">
        <w:rPr>
          <w:rFonts w:cs="Arial" w:hint="eastAsia"/>
          <w:b/>
          <w:sz w:val="24"/>
        </w:rPr>
        <w:t>填表說明</w:t>
      </w:r>
      <w:r w:rsidRPr="004D451D">
        <w:rPr>
          <w:rFonts w:cs="Arial" w:hint="eastAsia"/>
          <w:sz w:val="24"/>
        </w:rPr>
        <w:t>：</w:t>
      </w:r>
    </w:p>
    <w:p w:rsidR="00337D63" w:rsidRPr="004D451D" w:rsidRDefault="00337D63" w:rsidP="00EF4134">
      <w:pPr>
        <w:pStyle w:val="ad"/>
        <w:numPr>
          <w:ilvl w:val="1"/>
          <w:numId w:val="6"/>
        </w:numPr>
        <w:spacing w:line="240" w:lineRule="auto"/>
        <w:rPr>
          <w:rFonts w:ascii="Times New Roman" w:hAnsi="Times New Roman"/>
          <w:sz w:val="24"/>
        </w:rPr>
      </w:pPr>
      <w:r w:rsidRPr="004D451D">
        <w:rPr>
          <w:rFonts w:ascii="Times New Roman" w:hAnsi="Times New Roman"/>
          <w:sz w:val="24"/>
        </w:rPr>
        <w:t>本表更新頻率：半年。</w:t>
      </w:r>
    </w:p>
    <w:p w:rsidR="00EF4134" w:rsidRPr="004D451D" w:rsidRDefault="00EF4134" w:rsidP="00EF4134">
      <w:pPr>
        <w:pStyle w:val="ad"/>
        <w:numPr>
          <w:ilvl w:val="1"/>
          <w:numId w:val="6"/>
        </w:numPr>
        <w:spacing w:line="240" w:lineRule="auto"/>
        <w:rPr>
          <w:rFonts w:ascii="Times New Roman" w:hAnsi="Times New Roman"/>
          <w:sz w:val="24"/>
        </w:rPr>
      </w:pPr>
      <w:r w:rsidRPr="004D451D">
        <w:rPr>
          <w:rFonts w:ascii="Times New Roman" w:hAnsi="Times New Roman" w:hint="eastAsia"/>
          <w:sz w:val="24"/>
        </w:rPr>
        <w:t>請填列申報當期及前一年度同期資料。</w:t>
      </w:r>
    </w:p>
    <w:p w:rsidR="00EF4134" w:rsidRPr="004D451D" w:rsidRDefault="00EF4134" w:rsidP="00EF4134">
      <w:pPr>
        <w:pStyle w:val="ad"/>
        <w:widowControl/>
        <w:numPr>
          <w:ilvl w:val="1"/>
          <w:numId w:val="6"/>
        </w:numPr>
        <w:spacing w:line="240" w:lineRule="auto"/>
      </w:pPr>
      <w:r w:rsidRPr="004D451D">
        <w:rPr>
          <w:rFonts w:ascii="Times New Roman" w:hAnsi="Times New Roman" w:hint="eastAsia"/>
          <w:sz w:val="24"/>
        </w:rPr>
        <w:t>「透過其他綜合損益按公允價值衡量之權益工具及債務工具未實現評價利益」係包括下列兩項</w:t>
      </w:r>
      <w:r w:rsidRPr="004D451D">
        <w:rPr>
          <w:rFonts w:ascii="Times New Roman" w:hAnsi="Times New Roman" w:hint="eastAsia"/>
          <w:sz w:val="24"/>
        </w:rPr>
        <w:t>(1)</w:t>
      </w:r>
      <w:r w:rsidRPr="004D451D">
        <w:rPr>
          <w:rFonts w:ascii="Times New Roman" w:hAnsi="Times New Roman" w:hint="eastAsia"/>
          <w:sz w:val="24"/>
        </w:rPr>
        <w:t>透過其他綜合損益按公允價值衡量之權益工具投資之評價利益，及</w:t>
      </w:r>
      <w:r w:rsidRPr="004D451D">
        <w:rPr>
          <w:rFonts w:ascii="Times New Roman" w:hAnsi="Times New Roman" w:hint="eastAsia"/>
          <w:sz w:val="24"/>
        </w:rPr>
        <w:t>(2)</w:t>
      </w:r>
      <w:r w:rsidRPr="004D451D">
        <w:rPr>
          <w:rFonts w:ascii="Times New Roman" w:hAnsi="Times New Roman" w:hint="eastAsia"/>
          <w:sz w:val="24"/>
        </w:rPr>
        <w:t>透過其他綜合損益按公允價值衡量之債務工具投資之未實現評價利益，不包含依國際財務報導準則第</w:t>
      </w:r>
      <w:r w:rsidRPr="004D451D">
        <w:rPr>
          <w:rFonts w:ascii="Times New Roman" w:hAnsi="Times New Roman" w:hint="eastAsia"/>
          <w:sz w:val="24"/>
        </w:rPr>
        <w:t>9</w:t>
      </w:r>
      <w:r w:rsidRPr="004D451D">
        <w:rPr>
          <w:rFonts w:ascii="Times New Roman" w:hAnsi="Times New Roman" w:hint="eastAsia"/>
          <w:sz w:val="24"/>
        </w:rPr>
        <w:t>號第</w:t>
      </w:r>
      <w:r w:rsidRPr="004D451D">
        <w:rPr>
          <w:rFonts w:ascii="Times New Roman" w:hAnsi="Times New Roman" w:hint="eastAsia"/>
          <w:sz w:val="24"/>
        </w:rPr>
        <w:t>5.5</w:t>
      </w:r>
      <w:r w:rsidRPr="004D451D">
        <w:rPr>
          <w:rFonts w:ascii="Times New Roman" w:hAnsi="Times New Roman" w:hint="eastAsia"/>
          <w:sz w:val="24"/>
        </w:rPr>
        <w:t>節提列之備抵損失。</w:t>
      </w: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p>
    <w:p w:rsidR="00530AA1" w:rsidRPr="004D451D" w:rsidRDefault="00530AA1" w:rsidP="00530AA1">
      <w:pPr>
        <w:widowControl/>
        <w:rPr>
          <w:rFonts w:ascii="標楷體" w:eastAsia="標楷體" w:hAnsi="標楷體"/>
          <w:b/>
          <w:sz w:val="32"/>
          <w:szCs w:val="32"/>
        </w:rPr>
      </w:pPr>
      <w:r w:rsidRPr="004D451D">
        <w:rPr>
          <w:rFonts w:ascii="標楷體" w:eastAsia="標楷體" w:hAnsi="標楷體" w:hint="eastAsia"/>
          <w:b/>
          <w:sz w:val="32"/>
          <w:szCs w:val="32"/>
        </w:rPr>
        <w:lastRenderedPageBreak/>
        <w:t>【</w:t>
      </w:r>
      <w:r w:rsidRPr="004D451D">
        <w:rPr>
          <w:rFonts w:ascii="Garamond" w:eastAsia="標楷體" w:hAnsi="標楷體" w:hint="eastAsia"/>
          <w:b/>
          <w:sz w:val="28"/>
          <w:szCs w:val="28"/>
        </w:rPr>
        <w:t>附表四之一</w:t>
      </w:r>
      <w:r w:rsidRPr="004D451D">
        <w:rPr>
          <w:rFonts w:ascii="標楷體" w:eastAsia="標楷體" w:hAnsi="標楷體" w:hint="eastAsia"/>
          <w:b/>
          <w:sz w:val="32"/>
          <w:szCs w:val="32"/>
        </w:rPr>
        <w:t>】</w:t>
      </w:r>
    </w:p>
    <w:p w:rsidR="00530AA1" w:rsidRPr="004D451D" w:rsidRDefault="00530AA1" w:rsidP="00530AA1">
      <w:pPr>
        <w:jc w:val="center"/>
        <w:rPr>
          <w:rFonts w:ascii="標楷體" w:eastAsia="標楷體" w:hAnsi="標楷體"/>
          <w:b/>
          <w:bCs/>
          <w:sz w:val="32"/>
          <w:szCs w:val="32"/>
        </w:rPr>
      </w:pPr>
      <w:r w:rsidRPr="004D451D">
        <w:rPr>
          <w:rFonts w:ascii="標楷體" w:eastAsia="標楷體" w:hAnsi="標楷體" w:hint="eastAsia"/>
          <w:b/>
          <w:bCs/>
          <w:sz w:val="32"/>
          <w:szCs w:val="32"/>
        </w:rPr>
        <w:t>資</w:t>
      </w:r>
      <w:r w:rsidRPr="004D451D">
        <w:rPr>
          <w:rFonts w:ascii="標楷體" w:eastAsia="標楷體" w:hAnsi="標楷體"/>
          <w:b/>
          <w:bCs/>
          <w:sz w:val="32"/>
          <w:szCs w:val="32"/>
        </w:rPr>
        <w:t xml:space="preserve"> </w:t>
      </w:r>
      <w:r w:rsidRPr="004D451D">
        <w:rPr>
          <w:rFonts w:ascii="標楷體" w:eastAsia="標楷體" w:hAnsi="標楷體" w:hint="eastAsia"/>
          <w:b/>
          <w:bCs/>
          <w:sz w:val="32"/>
          <w:szCs w:val="32"/>
        </w:rPr>
        <w:t>產</w:t>
      </w:r>
      <w:r w:rsidRPr="004D451D">
        <w:rPr>
          <w:rFonts w:ascii="標楷體" w:eastAsia="標楷體" w:hAnsi="標楷體"/>
          <w:b/>
          <w:bCs/>
          <w:sz w:val="32"/>
          <w:szCs w:val="32"/>
        </w:rPr>
        <w:t xml:space="preserve"> </w:t>
      </w:r>
      <w:r w:rsidRPr="004D451D">
        <w:rPr>
          <w:rFonts w:ascii="標楷體" w:eastAsia="標楷體" w:hAnsi="標楷體" w:hint="eastAsia"/>
          <w:b/>
          <w:bCs/>
          <w:sz w:val="32"/>
          <w:szCs w:val="32"/>
        </w:rPr>
        <w:t>負</w:t>
      </w:r>
      <w:r w:rsidRPr="004D451D">
        <w:rPr>
          <w:rFonts w:ascii="標楷體" w:eastAsia="標楷體" w:hAnsi="標楷體"/>
          <w:b/>
          <w:bCs/>
          <w:sz w:val="32"/>
          <w:szCs w:val="32"/>
        </w:rPr>
        <w:t xml:space="preserve"> </w:t>
      </w:r>
      <w:r w:rsidRPr="004D451D">
        <w:rPr>
          <w:rFonts w:ascii="標楷體" w:eastAsia="標楷體" w:hAnsi="標楷體" w:hint="eastAsia"/>
          <w:b/>
          <w:bCs/>
          <w:sz w:val="32"/>
          <w:szCs w:val="32"/>
        </w:rPr>
        <w:t>債</w:t>
      </w:r>
      <w:r w:rsidRPr="004D451D">
        <w:rPr>
          <w:rFonts w:ascii="標楷體" w:eastAsia="標楷體" w:hAnsi="標楷體"/>
          <w:b/>
          <w:bCs/>
          <w:sz w:val="32"/>
          <w:szCs w:val="32"/>
        </w:rPr>
        <w:t xml:space="preserve"> </w:t>
      </w:r>
      <w:r w:rsidRPr="004D451D">
        <w:rPr>
          <w:rFonts w:ascii="標楷體" w:eastAsia="標楷體" w:hAnsi="標楷體" w:hint="eastAsia"/>
          <w:b/>
          <w:bCs/>
          <w:sz w:val="32"/>
          <w:szCs w:val="32"/>
        </w:rPr>
        <w:t>表-無須揭露</w:t>
      </w:r>
    </w:p>
    <w:p w:rsidR="00530AA1" w:rsidRPr="004D451D" w:rsidRDefault="00530AA1" w:rsidP="00530AA1">
      <w:pPr>
        <w:wordWrap w:val="0"/>
        <w:jc w:val="right"/>
        <w:rPr>
          <w:rFonts w:ascii="標楷體" w:eastAsia="標楷體" w:hAnsi="標楷體"/>
          <w:b/>
          <w:bCs/>
        </w:rPr>
      </w:pPr>
      <w:r w:rsidRPr="004D451D">
        <w:rPr>
          <w:rFonts w:ascii="標楷體" w:eastAsia="標楷體" w:hAnsi="標楷體"/>
          <w:b/>
          <w:bCs/>
          <w:sz w:val="32"/>
          <w:szCs w:val="32"/>
        </w:rPr>
        <w:t xml:space="preserve"> </w:t>
      </w:r>
      <w:r w:rsidRPr="004D451D">
        <w:rPr>
          <w:rFonts w:ascii="標楷體" w:eastAsia="標楷體" w:hAnsi="標楷體"/>
          <w:bCs/>
          <w:sz w:val="32"/>
          <w:szCs w:val="32"/>
        </w:rPr>
        <w:t xml:space="preserve">   </w:t>
      </w:r>
      <w:r w:rsidRPr="004D451D">
        <w:rPr>
          <w:rFonts w:ascii="標楷體" w:eastAsia="標楷體" w:hAnsi="標楷體" w:hint="eastAsia"/>
          <w:bCs/>
          <w:sz w:val="32"/>
          <w:szCs w:val="32"/>
        </w:rPr>
        <w:t>107年06月30日</w:t>
      </w:r>
      <w:r w:rsidRPr="004D451D">
        <w:rPr>
          <w:rFonts w:ascii="標楷體" w:eastAsia="標楷體" w:hAnsi="標楷體"/>
          <w:b/>
          <w:bCs/>
        </w:rPr>
        <w:t xml:space="preserve">            </w:t>
      </w:r>
      <w:r w:rsidRPr="004D451D">
        <w:rPr>
          <w:rFonts w:ascii="標楷體" w:eastAsia="標楷體" w:hAnsi="標楷體" w:hint="eastAsia"/>
          <w:b/>
          <w:bCs/>
        </w:rPr>
        <w:t>（單位：新臺幣千元）</w:t>
      </w:r>
    </w:p>
    <w:tbl>
      <w:tblPr>
        <w:tblW w:w="10146"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A0" w:firstRow="1" w:lastRow="0" w:firstColumn="1" w:lastColumn="0" w:noHBand="0" w:noVBand="0"/>
      </w:tblPr>
      <w:tblGrid>
        <w:gridCol w:w="3486"/>
        <w:gridCol w:w="1665"/>
        <w:gridCol w:w="1654"/>
        <w:gridCol w:w="11"/>
        <w:gridCol w:w="1665"/>
        <w:gridCol w:w="1665"/>
      </w:tblGrid>
      <w:tr w:rsidR="004D451D" w:rsidRPr="004D451D" w:rsidTr="005545A5">
        <w:trPr>
          <w:trHeight w:val="20"/>
          <w:tblHeader/>
        </w:trPr>
        <w:tc>
          <w:tcPr>
            <w:tcW w:w="3486" w:type="dxa"/>
            <w:vAlign w:val="center"/>
          </w:tcPr>
          <w:p w:rsidR="00530AA1" w:rsidRPr="004D451D" w:rsidRDefault="00530AA1" w:rsidP="005545A5">
            <w:pPr>
              <w:widowControl/>
              <w:jc w:val="center"/>
              <w:rPr>
                <w:rFonts w:ascii="標楷體" w:eastAsia="標楷體" w:hAnsi="標楷體" w:cs="新細明體"/>
                <w:bCs/>
                <w:kern w:val="0"/>
                <w:sz w:val="20"/>
                <w:szCs w:val="20"/>
              </w:rPr>
            </w:pPr>
            <w:r w:rsidRPr="004D451D">
              <w:rPr>
                <w:rFonts w:ascii="標楷體" w:eastAsia="標楷體" w:hAnsi="標楷體" w:cs="新細明體" w:hint="eastAsia"/>
                <w:bCs/>
                <w:kern w:val="0"/>
                <w:sz w:val="20"/>
                <w:szCs w:val="20"/>
              </w:rPr>
              <w:t>項目名稱</w:t>
            </w:r>
          </w:p>
        </w:tc>
        <w:tc>
          <w:tcPr>
            <w:tcW w:w="1665" w:type="dxa"/>
          </w:tcPr>
          <w:p w:rsidR="00530AA1" w:rsidRPr="004D451D" w:rsidRDefault="00530AA1" w:rsidP="005545A5">
            <w:pPr>
              <w:widowControl/>
              <w:jc w:val="center"/>
              <w:rPr>
                <w:rFonts w:ascii="標楷體" w:eastAsia="標楷體" w:hAnsi="標楷體" w:cs="新細明體"/>
                <w:b/>
                <w:bCs/>
                <w:kern w:val="0"/>
                <w:sz w:val="20"/>
                <w:szCs w:val="20"/>
              </w:rPr>
            </w:pPr>
            <w:r w:rsidRPr="004D451D">
              <w:rPr>
                <w:rFonts w:ascii="標楷體" w:eastAsia="標楷體" w:hAnsi="標楷體" w:cs="新細明體" w:hint="eastAsia"/>
                <w:b/>
                <w:bCs/>
                <w:kern w:val="0"/>
                <w:sz w:val="20"/>
                <w:szCs w:val="20"/>
              </w:rPr>
              <w:t>個體財務報告</w:t>
            </w:r>
            <w:r w:rsidRPr="004D451D">
              <w:rPr>
                <w:rFonts w:ascii="標楷體" w:eastAsia="標楷體" w:hAnsi="標楷體" w:cs="新細明體"/>
                <w:b/>
                <w:bCs/>
                <w:kern w:val="0"/>
                <w:sz w:val="20"/>
                <w:szCs w:val="20"/>
              </w:rPr>
              <w:br/>
            </w:r>
            <w:r w:rsidRPr="004D451D">
              <w:rPr>
                <w:rFonts w:ascii="標楷體" w:eastAsia="標楷體" w:hAnsi="標楷體" w:cs="新細明體" w:hint="eastAsia"/>
                <w:b/>
                <w:bCs/>
                <w:kern w:val="0"/>
                <w:sz w:val="20"/>
                <w:szCs w:val="20"/>
              </w:rPr>
              <w:t>資產負債表</w:t>
            </w:r>
          </w:p>
        </w:tc>
        <w:tc>
          <w:tcPr>
            <w:tcW w:w="1665" w:type="dxa"/>
            <w:gridSpan w:val="2"/>
          </w:tcPr>
          <w:p w:rsidR="00530AA1" w:rsidRPr="004D451D" w:rsidRDefault="00530AA1" w:rsidP="005545A5">
            <w:pPr>
              <w:widowControl/>
              <w:jc w:val="center"/>
              <w:rPr>
                <w:rFonts w:ascii="標楷體" w:eastAsia="標楷體" w:hAnsi="標楷體" w:cs="新細明體"/>
                <w:b/>
                <w:bCs/>
                <w:kern w:val="0"/>
                <w:sz w:val="20"/>
                <w:szCs w:val="20"/>
              </w:rPr>
            </w:pPr>
            <w:r w:rsidRPr="004D451D">
              <w:rPr>
                <w:rFonts w:ascii="標楷體" w:eastAsia="標楷體" w:hAnsi="標楷體" w:cs="新細明體" w:hint="eastAsia"/>
                <w:b/>
                <w:bCs/>
                <w:kern w:val="0"/>
                <w:sz w:val="20"/>
                <w:szCs w:val="20"/>
              </w:rPr>
              <w:t>本行資本適足率</w:t>
            </w:r>
            <w:r w:rsidRPr="004D451D">
              <w:rPr>
                <w:rFonts w:ascii="標楷體" w:eastAsia="標楷體" w:hAnsi="標楷體" w:cs="新細明體"/>
                <w:b/>
                <w:bCs/>
                <w:kern w:val="0"/>
                <w:sz w:val="20"/>
                <w:szCs w:val="20"/>
              </w:rPr>
              <w:br/>
            </w:r>
            <w:r w:rsidRPr="004D451D">
              <w:rPr>
                <w:rFonts w:ascii="標楷體" w:eastAsia="標楷體" w:hAnsi="標楷體" w:cs="新細明體" w:hint="eastAsia"/>
                <w:b/>
                <w:bCs/>
                <w:kern w:val="0"/>
                <w:sz w:val="20"/>
                <w:szCs w:val="20"/>
              </w:rPr>
              <w:t>資產負債表</w:t>
            </w:r>
          </w:p>
        </w:tc>
        <w:tc>
          <w:tcPr>
            <w:tcW w:w="1665" w:type="dxa"/>
          </w:tcPr>
          <w:p w:rsidR="00530AA1" w:rsidRPr="004D451D" w:rsidRDefault="00530AA1" w:rsidP="005545A5">
            <w:pPr>
              <w:widowControl/>
              <w:jc w:val="center"/>
              <w:rPr>
                <w:rFonts w:ascii="標楷體" w:eastAsia="標楷體" w:hAnsi="標楷體" w:cs="新細明體"/>
                <w:b/>
                <w:bCs/>
                <w:kern w:val="0"/>
                <w:sz w:val="20"/>
                <w:szCs w:val="20"/>
              </w:rPr>
            </w:pPr>
            <w:r w:rsidRPr="004D451D">
              <w:rPr>
                <w:rFonts w:ascii="標楷體" w:eastAsia="標楷體" w:hAnsi="標楷體" w:cs="新細明體" w:hint="eastAsia"/>
                <w:b/>
                <w:bCs/>
                <w:kern w:val="0"/>
                <w:sz w:val="20"/>
                <w:szCs w:val="20"/>
              </w:rPr>
              <w:t>合併財務報告</w:t>
            </w:r>
          </w:p>
          <w:p w:rsidR="00530AA1" w:rsidRPr="004D451D" w:rsidRDefault="00530AA1" w:rsidP="005545A5">
            <w:pPr>
              <w:widowControl/>
              <w:jc w:val="center"/>
              <w:rPr>
                <w:rFonts w:ascii="標楷體" w:eastAsia="標楷體" w:hAnsi="標楷體" w:cs="新細明體"/>
                <w:b/>
                <w:bCs/>
                <w:kern w:val="0"/>
                <w:sz w:val="20"/>
                <w:szCs w:val="20"/>
              </w:rPr>
            </w:pPr>
            <w:r w:rsidRPr="004D451D">
              <w:rPr>
                <w:rFonts w:ascii="標楷體" w:eastAsia="標楷體" w:hAnsi="標楷體" w:cs="新細明體" w:hint="eastAsia"/>
                <w:b/>
                <w:bCs/>
                <w:kern w:val="0"/>
                <w:sz w:val="20"/>
                <w:szCs w:val="20"/>
              </w:rPr>
              <w:t>資產負債表</w:t>
            </w:r>
          </w:p>
        </w:tc>
        <w:tc>
          <w:tcPr>
            <w:tcW w:w="1665" w:type="dxa"/>
          </w:tcPr>
          <w:p w:rsidR="00530AA1" w:rsidRPr="004D451D" w:rsidRDefault="00530AA1" w:rsidP="005545A5">
            <w:pPr>
              <w:widowControl/>
              <w:jc w:val="center"/>
              <w:rPr>
                <w:rFonts w:ascii="標楷體" w:eastAsia="標楷體" w:hAnsi="標楷體" w:cs="新細明體"/>
                <w:b/>
                <w:bCs/>
                <w:kern w:val="0"/>
                <w:sz w:val="20"/>
                <w:szCs w:val="20"/>
              </w:rPr>
            </w:pPr>
            <w:r w:rsidRPr="004D451D">
              <w:rPr>
                <w:rFonts w:ascii="標楷體" w:eastAsia="標楷體" w:hAnsi="標楷體" w:cs="新細明體" w:hint="eastAsia"/>
                <w:b/>
                <w:bCs/>
                <w:kern w:val="0"/>
                <w:sz w:val="20"/>
                <w:szCs w:val="20"/>
              </w:rPr>
              <w:t>合併資本適足率</w:t>
            </w:r>
            <w:r w:rsidRPr="004D451D">
              <w:rPr>
                <w:rFonts w:ascii="標楷體" w:eastAsia="標楷體" w:hAnsi="標楷體" w:cs="新細明體"/>
                <w:b/>
                <w:bCs/>
                <w:kern w:val="0"/>
                <w:sz w:val="20"/>
                <w:szCs w:val="20"/>
              </w:rPr>
              <w:br/>
            </w:r>
            <w:r w:rsidRPr="004D451D">
              <w:rPr>
                <w:rFonts w:ascii="標楷體" w:eastAsia="標楷體" w:hAnsi="標楷體" w:cs="新細明體" w:hint="eastAsia"/>
                <w:b/>
                <w:bCs/>
                <w:kern w:val="0"/>
                <w:sz w:val="20"/>
                <w:szCs w:val="20"/>
              </w:rPr>
              <w:t>資產負債表</w:t>
            </w:r>
          </w:p>
        </w:tc>
      </w:tr>
      <w:tr w:rsidR="004D451D" w:rsidRPr="004D451D" w:rsidTr="005545A5">
        <w:trPr>
          <w:trHeight w:val="20"/>
        </w:trPr>
        <w:tc>
          <w:tcPr>
            <w:tcW w:w="3486" w:type="dxa"/>
            <w:tcBorders>
              <w:right w:val="nil"/>
            </w:tcBorders>
            <w:shd w:val="pct15" w:color="auto" w:fill="auto"/>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資產</w:t>
            </w:r>
          </w:p>
        </w:tc>
        <w:tc>
          <w:tcPr>
            <w:tcW w:w="1665" w:type="dxa"/>
            <w:tcBorders>
              <w:left w:val="nil"/>
              <w:right w:val="nil"/>
            </w:tcBorders>
            <w:shd w:val="pct15" w:color="auto" w:fill="auto"/>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530AA1" w:rsidRPr="004D451D" w:rsidRDefault="00530AA1" w:rsidP="005545A5">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530AA1" w:rsidRPr="004D451D" w:rsidRDefault="00530AA1" w:rsidP="005545A5">
            <w:pPr>
              <w:widowControl/>
              <w:rPr>
                <w:rFonts w:ascii="標楷體" w:eastAsia="標楷體" w:hAnsi="標楷體" w:cs="新細明體"/>
                <w:kern w:val="0"/>
                <w:sz w:val="20"/>
                <w:szCs w:val="20"/>
              </w:rPr>
            </w:pPr>
          </w:p>
        </w:tc>
        <w:tc>
          <w:tcPr>
            <w:tcW w:w="1665" w:type="dxa"/>
            <w:tcBorders>
              <w:left w:val="nil"/>
            </w:tcBorders>
            <w:shd w:val="pct15" w:color="auto" w:fill="auto"/>
          </w:tcPr>
          <w:p w:rsidR="00530AA1" w:rsidRPr="004D451D" w:rsidRDefault="00530AA1" w:rsidP="005545A5">
            <w:pPr>
              <w:widowControl/>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現金及約當現金</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存放央行及拆借銀行同業</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透過損益按公允價值衡量之金融資產</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sz w:val="20"/>
                <w:szCs w:val="20"/>
              </w:rPr>
            </w:pPr>
            <w:r w:rsidRPr="004D451D">
              <w:rPr>
                <w:rFonts w:ascii="標楷體" w:eastAsia="標楷體" w:hAnsi="標楷體" w:hint="eastAsia"/>
                <w:sz w:val="20"/>
                <w:szCs w:val="20"/>
              </w:rPr>
              <w:t>透過其他綜合損益按公允價值衡量之金融資產</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sz w:val="20"/>
                <w:szCs w:val="20"/>
              </w:rPr>
            </w:pPr>
            <w:r w:rsidRPr="004D451D">
              <w:rPr>
                <w:rFonts w:ascii="標楷體" w:eastAsia="標楷體" w:hAnsi="標楷體" w:hint="eastAsia"/>
                <w:sz w:val="20"/>
                <w:szCs w:val="20"/>
              </w:rPr>
              <w:t>按攤銷後成本衡量之債務工具投資</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避險之金融資產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附賣回票券及債券投資</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應收款項</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本期所得稅資產</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待出售資產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sz w:val="20"/>
                <w:szCs w:val="20"/>
              </w:rPr>
            </w:pPr>
            <w:r w:rsidRPr="004D451D">
              <w:rPr>
                <w:rFonts w:ascii="標楷體" w:eastAsia="標楷體" w:hAnsi="標楷體" w:hint="eastAsia"/>
                <w:sz w:val="20"/>
                <w:szCs w:val="20"/>
              </w:rPr>
              <w:t>待分配予業主之資產-淨額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貼現及放款</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採用權益法之投資</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受限制資產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其他金融資產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sz w:val="20"/>
                <w:szCs w:val="20"/>
              </w:rPr>
            </w:pPr>
            <w:r w:rsidRPr="004D451D">
              <w:rPr>
                <w:rFonts w:ascii="標楷體" w:eastAsia="標楷體" w:hAnsi="標楷體" w:hint="eastAsia"/>
                <w:sz w:val="20"/>
                <w:szCs w:val="20"/>
              </w:rPr>
              <w:t>不動產及設備-淨額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sz w:val="20"/>
                <w:szCs w:val="20"/>
              </w:rPr>
            </w:pPr>
            <w:r w:rsidRPr="004D451D">
              <w:rPr>
                <w:rFonts w:ascii="標楷體" w:eastAsia="標楷體" w:hAnsi="標楷體" w:hint="eastAsia"/>
                <w:sz w:val="20"/>
                <w:szCs w:val="20"/>
              </w:rPr>
              <w:t>投資性不動產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無形資產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遞延所得稅資產</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其他資產</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資產總計</w:t>
            </w:r>
          </w:p>
        </w:tc>
        <w:tc>
          <w:tcPr>
            <w:tcW w:w="1665" w:type="dxa"/>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tcPr>
          <w:p w:rsidR="00530AA1" w:rsidRPr="004D451D" w:rsidRDefault="00530AA1" w:rsidP="005545A5">
            <w:pPr>
              <w:widowControl/>
              <w:rPr>
                <w:rFonts w:ascii="標楷體" w:eastAsia="標楷體" w:hAnsi="標楷體" w:cs="新細明體"/>
                <w:b/>
                <w:bCs/>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Borders>
              <w:right w:val="nil"/>
            </w:tcBorders>
            <w:shd w:val="pct15" w:color="auto" w:fill="auto"/>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負債</w:t>
            </w:r>
          </w:p>
        </w:tc>
        <w:tc>
          <w:tcPr>
            <w:tcW w:w="1665" w:type="dxa"/>
            <w:tcBorders>
              <w:left w:val="nil"/>
              <w:right w:val="nil"/>
            </w:tcBorders>
            <w:shd w:val="pct15" w:color="auto" w:fill="auto"/>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530AA1" w:rsidRPr="004D451D" w:rsidRDefault="00530AA1" w:rsidP="005545A5">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530AA1" w:rsidRPr="004D451D" w:rsidRDefault="00530AA1" w:rsidP="005545A5">
            <w:pPr>
              <w:widowControl/>
              <w:rPr>
                <w:rFonts w:ascii="標楷體" w:eastAsia="標楷體" w:hAnsi="標楷體" w:cs="新細明體"/>
                <w:kern w:val="0"/>
                <w:sz w:val="20"/>
                <w:szCs w:val="20"/>
              </w:rPr>
            </w:pPr>
          </w:p>
        </w:tc>
        <w:tc>
          <w:tcPr>
            <w:tcW w:w="1665" w:type="dxa"/>
            <w:tcBorders>
              <w:left w:val="nil"/>
            </w:tcBorders>
            <w:shd w:val="pct15" w:color="auto" w:fill="auto"/>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央行及銀行同業存款</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央行及同業融資</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透過損益按公允價值衡量之金融負債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避險之金融負債</w:t>
            </w:r>
            <w:r w:rsidRPr="004D451D">
              <w:rPr>
                <w:rFonts w:ascii="標楷體" w:eastAsia="標楷體" w:hAnsi="標楷體"/>
                <w:sz w:val="20"/>
                <w:szCs w:val="20"/>
              </w:rPr>
              <w:t>-</w:t>
            </w:r>
            <w:r w:rsidRPr="004D451D">
              <w:rPr>
                <w:rFonts w:ascii="標楷體" w:eastAsia="標楷體" w:hAnsi="標楷體" w:hint="eastAsia"/>
                <w:sz w:val="20"/>
                <w:szCs w:val="20"/>
              </w:rPr>
              <w:t>淨額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附買回票券及債券負債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應付款項</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本期所得稅負債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與待出售資產直接相關之負債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r>
      <w:tr w:rsidR="004D451D" w:rsidRPr="004D451D" w:rsidTr="005545A5">
        <w:trPr>
          <w:trHeight w:val="304"/>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存款及匯款</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應付金融債券</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特別股負債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sz w:val="20"/>
                <w:szCs w:val="20"/>
              </w:rPr>
            </w:pPr>
            <w:r w:rsidRPr="004D451D">
              <w:rPr>
                <w:rFonts w:ascii="標楷體" w:eastAsia="標楷體" w:hAnsi="標楷體" w:hint="eastAsia"/>
                <w:sz w:val="20"/>
                <w:szCs w:val="20"/>
              </w:rPr>
              <w:t>其他金融負債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負債準備</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遞延所得稅負債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其他負債</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負債總計</w:t>
            </w:r>
          </w:p>
        </w:tc>
        <w:tc>
          <w:tcPr>
            <w:tcW w:w="1665" w:type="dxa"/>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tcPr>
          <w:p w:rsidR="00530AA1" w:rsidRPr="004D451D" w:rsidRDefault="00530AA1" w:rsidP="005545A5">
            <w:pPr>
              <w:widowControl/>
              <w:rPr>
                <w:rFonts w:ascii="標楷體" w:eastAsia="標楷體" w:hAnsi="標楷體" w:cs="新細明體"/>
                <w:b/>
                <w:bCs/>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Borders>
              <w:right w:val="nil"/>
            </w:tcBorders>
            <w:shd w:val="pct15" w:color="auto" w:fill="auto"/>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權益</w:t>
            </w:r>
          </w:p>
        </w:tc>
        <w:tc>
          <w:tcPr>
            <w:tcW w:w="1665" w:type="dxa"/>
            <w:tcBorders>
              <w:left w:val="nil"/>
              <w:right w:val="nil"/>
            </w:tcBorders>
            <w:shd w:val="pct15" w:color="auto" w:fill="auto"/>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tcBorders>
              <w:left w:val="nil"/>
              <w:right w:val="nil"/>
            </w:tcBorders>
            <w:shd w:val="pct15" w:color="auto" w:fill="auto"/>
          </w:tcPr>
          <w:p w:rsidR="00530AA1" w:rsidRPr="004D451D" w:rsidRDefault="00530AA1" w:rsidP="005545A5">
            <w:pPr>
              <w:widowControl/>
              <w:rPr>
                <w:rFonts w:ascii="標楷體" w:eastAsia="標楷體" w:hAnsi="標楷體" w:cs="新細明體"/>
                <w:b/>
                <w:bCs/>
                <w:kern w:val="0"/>
                <w:sz w:val="20"/>
                <w:szCs w:val="20"/>
              </w:rPr>
            </w:pPr>
          </w:p>
        </w:tc>
        <w:tc>
          <w:tcPr>
            <w:tcW w:w="1665" w:type="dxa"/>
            <w:tcBorders>
              <w:left w:val="nil"/>
              <w:right w:val="nil"/>
            </w:tcBorders>
            <w:shd w:val="pct15" w:color="auto" w:fill="auto"/>
          </w:tcPr>
          <w:p w:rsidR="00530AA1" w:rsidRPr="004D451D" w:rsidRDefault="00530AA1" w:rsidP="005545A5">
            <w:pPr>
              <w:widowControl/>
              <w:rPr>
                <w:rFonts w:ascii="標楷體" w:eastAsia="標楷體" w:hAnsi="標楷體" w:cs="新細明體"/>
                <w:kern w:val="0"/>
                <w:sz w:val="20"/>
                <w:szCs w:val="20"/>
              </w:rPr>
            </w:pPr>
          </w:p>
        </w:tc>
        <w:tc>
          <w:tcPr>
            <w:tcW w:w="1665" w:type="dxa"/>
            <w:tcBorders>
              <w:left w:val="nil"/>
            </w:tcBorders>
            <w:shd w:val="pct15" w:color="auto" w:fill="auto"/>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歸屬於母公司業主之權益</w:t>
            </w: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gridSpan w:val="2"/>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股本</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普通股</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特別股</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資本公積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保留盈餘</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lastRenderedPageBreak/>
              <w:t xml:space="preserve">    </w:t>
            </w:r>
            <w:r w:rsidRPr="004D451D">
              <w:rPr>
                <w:rFonts w:ascii="標楷體" w:eastAsia="標楷體" w:hAnsi="標楷體" w:hint="eastAsia"/>
                <w:sz w:val="20"/>
                <w:szCs w:val="20"/>
              </w:rPr>
              <w:t>法定盈餘公積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特別盈餘公積</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未分配盈餘</w:t>
            </w:r>
            <w:r w:rsidRPr="004D451D">
              <w:rPr>
                <w:rFonts w:ascii="標楷體" w:eastAsia="標楷體" w:hAnsi="標楷體"/>
                <w:sz w:val="20"/>
                <w:szCs w:val="20"/>
              </w:rPr>
              <w:t>(</w:t>
            </w:r>
            <w:r w:rsidRPr="004D451D">
              <w:rPr>
                <w:rFonts w:ascii="標楷體" w:eastAsia="標楷體" w:hAnsi="標楷體" w:hint="eastAsia"/>
                <w:sz w:val="20"/>
                <w:szCs w:val="20"/>
              </w:rPr>
              <w:t>或待彌補虧損</w:t>
            </w:r>
            <w:r w:rsidRPr="004D451D">
              <w:rPr>
                <w:rFonts w:ascii="標楷體" w:eastAsia="標楷體" w:hAnsi="標楷體"/>
                <w:sz w:val="20"/>
                <w:szCs w:val="20"/>
              </w:rPr>
              <w:t>)</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ind w:leftChars="165" w:left="396"/>
              <w:rPr>
                <w:rFonts w:ascii="標楷體" w:eastAsia="標楷體" w:hAnsi="標楷體" w:cs="新細明體"/>
                <w:sz w:val="20"/>
                <w:szCs w:val="20"/>
              </w:rPr>
            </w:pPr>
            <w:r w:rsidRPr="004D451D">
              <w:rPr>
                <w:rFonts w:ascii="標楷體" w:eastAsia="標楷體" w:hAnsi="標楷體" w:hint="eastAsia"/>
                <w:sz w:val="20"/>
                <w:szCs w:val="20"/>
              </w:rPr>
              <w:t>預期損失提存不足所產生之保留盈餘減少數</w:t>
            </w: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ind w:leftChars="165" w:left="396"/>
              <w:rPr>
                <w:rFonts w:ascii="標楷體" w:eastAsia="標楷體" w:hAnsi="標楷體" w:cs="新細明體"/>
                <w:sz w:val="20"/>
                <w:szCs w:val="20"/>
              </w:rPr>
            </w:pPr>
            <w:r w:rsidRPr="004D451D">
              <w:rPr>
                <w:rFonts w:ascii="標楷體" w:eastAsia="標楷體" w:hAnsi="標楷體" w:hint="eastAsia"/>
                <w:sz w:val="20"/>
                <w:szCs w:val="20"/>
              </w:rPr>
              <w:t>評價準備提列不足所產生之保留盈餘減少數</w:t>
            </w: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ind w:leftChars="165" w:left="396"/>
              <w:rPr>
                <w:rFonts w:ascii="標楷體" w:eastAsia="標楷體" w:hAnsi="標楷體" w:cs="新細明體"/>
                <w:sz w:val="20"/>
                <w:szCs w:val="20"/>
              </w:rPr>
            </w:pPr>
            <w:r w:rsidRPr="004D451D">
              <w:rPr>
                <w:rFonts w:ascii="標楷體" w:eastAsia="標楷體" w:hAnsi="標楷體" w:hint="eastAsia"/>
                <w:sz w:val="20"/>
                <w:szCs w:val="20"/>
              </w:rPr>
              <w:t>確定福利負債提列不足所產生之保留盈餘減少數</w:t>
            </w: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其他權益</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庫藏股票</w:t>
            </w: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gridSpan w:val="2"/>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sz w:val="20"/>
                <w:szCs w:val="20"/>
              </w:rPr>
            </w:pPr>
            <w:r w:rsidRPr="004D451D">
              <w:rPr>
                <w:rFonts w:ascii="標楷體" w:eastAsia="標楷體" w:hAnsi="標楷體" w:hint="eastAsia"/>
                <w:sz w:val="20"/>
                <w:szCs w:val="20"/>
              </w:rPr>
              <w:t>非控制權益</w:t>
            </w:r>
          </w:p>
        </w:tc>
        <w:tc>
          <w:tcPr>
            <w:tcW w:w="1665" w:type="dxa"/>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gridSpan w:val="2"/>
            <w:shd w:val="clear" w:color="auto" w:fill="A6A6A6"/>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權益總計</w:t>
            </w:r>
          </w:p>
        </w:tc>
        <w:tc>
          <w:tcPr>
            <w:tcW w:w="1665" w:type="dxa"/>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tcPr>
          <w:p w:rsidR="00530AA1" w:rsidRPr="004D451D" w:rsidRDefault="00530AA1" w:rsidP="005545A5">
            <w:pPr>
              <w:widowControl/>
              <w:rPr>
                <w:rFonts w:ascii="標楷體" w:eastAsia="標楷體" w:hAnsi="標楷體" w:cs="新細明體"/>
                <w:b/>
                <w:bCs/>
                <w:kern w:val="0"/>
                <w:sz w:val="20"/>
                <w:szCs w:val="20"/>
              </w:rPr>
            </w:pPr>
          </w:p>
        </w:tc>
        <w:tc>
          <w:tcPr>
            <w:tcW w:w="1665" w:type="dxa"/>
          </w:tcPr>
          <w:p w:rsidR="00530AA1" w:rsidRPr="004D451D" w:rsidRDefault="00530AA1" w:rsidP="005545A5">
            <w:pPr>
              <w:widowControl/>
              <w:rPr>
                <w:rFonts w:ascii="標楷體" w:eastAsia="標楷體" w:hAnsi="標楷體" w:cs="新細明體"/>
                <w:kern w:val="0"/>
                <w:sz w:val="20"/>
                <w:szCs w:val="20"/>
              </w:rPr>
            </w:pPr>
          </w:p>
        </w:tc>
        <w:tc>
          <w:tcPr>
            <w:tcW w:w="1665" w:type="dxa"/>
          </w:tcPr>
          <w:p w:rsidR="00530AA1" w:rsidRPr="004D451D" w:rsidRDefault="00530AA1" w:rsidP="005545A5">
            <w:pPr>
              <w:widowControl/>
              <w:jc w:val="both"/>
              <w:rPr>
                <w:rFonts w:ascii="標楷體" w:eastAsia="標楷體" w:hAnsi="標楷體" w:cs="新細明體"/>
                <w:kern w:val="0"/>
                <w:sz w:val="20"/>
                <w:szCs w:val="20"/>
              </w:rPr>
            </w:pPr>
          </w:p>
        </w:tc>
      </w:tr>
      <w:tr w:rsidR="004D451D" w:rsidRPr="004D451D" w:rsidTr="005545A5">
        <w:trPr>
          <w:trHeight w:val="20"/>
        </w:trPr>
        <w:tc>
          <w:tcPr>
            <w:tcW w:w="3486" w:type="dxa"/>
            <w:vAlign w:val="center"/>
          </w:tcPr>
          <w:p w:rsidR="00530AA1" w:rsidRPr="004D451D" w:rsidRDefault="00530AA1"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負債及權益總計</w:t>
            </w:r>
          </w:p>
        </w:tc>
        <w:tc>
          <w:tcPr>
            <w:tcW w:w="1665" w:type="dxa"/>
            <w:vAlign w:val="center"/>
          </w:tcPr>
          <w:p w:rsidR="00530AA1" w:rsidRPr="004D451D" w:rsidRDefault="00530AA1" w:rsidP="005545A5">
            <w:pPr>
              <w:widowControl/>
              <w:rPr>
                <w:rFonts w:ascii="標楷體" w:eastAsia="標楷體" w:hAnsi="標楷體" w:cs="新細明體"/>
                <w:b/>
                <w:bCs/>
                <w:kern w:val="0"/>
                <w:sz w:val="20"/>
                <w:szCs w:val="20"/>
              </w:rPr>
            </w:pPr>
          </w:p>
        </w:tc>
        <w:tc>
          <w:tcPr>
            <w:tcW w:w="1665" w:type="dxa"/>
            <w:gridSpan w:val="2"/>
            <w:vAlign w:val="center"/>
          </w:tcPr>
          <w:p w:rsidR="00530AA1" w:rsidRPr="004D451D" w:rsidRDefault="00530AA1" w:rsidP="005545A5">
            <w:pPr>
              <w:widowControl/>
              <w:rPr>
                <w:rFonts w:ascii="標楷體" w:eastAsia="標楷體" w:hAnsi="標楷體" w:cs="新細明體"/>
                <w:b/>
                <w:bCs/>
                <w:kern w:val="0"/>
                <w:sz w:val="20"/>
                <w:szCs w:val="20"/>
              </w:rPr>
            </w:pPr>
          </w:p>
        </w:tc>
        <w:tc>
          <w:tcPr>
            <w:tcW w:w="1665" w:type="dxa"/>
            <w:vAlign w:val="center"/>
          </w:tcPr>
          <w:p w:rsidR="00530AA1" w:rsidRPr="004D451D" w:rsidRDefault="00530AA1" w:rsidP="005545A5">
            <w:pPr>
              <w:widowControl/>
              <w:rPr>
                <w:rFonts w:ascii="標楷體" w:eastAsia="標楷體" w:hAnsi="標楷體" w:cs="新細明體"/>
                <w:kern w:val="0"/>
                <w:sz w:val="20"/>
                <w:szCs w:val="20"/>
              </w:rPr>
            </w:pPr>
          </w:p>
        </w:tc>
        <w:tc>
          <w:tcPr>
            <w:tcW w:w="1665" w:type="dxa"/>
            <w:vAlign w:val="center"/>
          </w:tcPr>
          <w:p w:rsidR="00530AA1" w:rsidRPr="004D451D" w:rsidRDefault="00530AA1" w:rsidP="005545A5">
            <w:pPr>
              <w:widowControl/>
              <w:rPr>
                <w:rFonts w:ascii="標楷體" w:eastAsia="標楷體" w:hAnsi="標楷體" w:cs="新細明體"/>
                <w:kern w:val="0"/>
                <w:sz w:val="20"/>
                <w:szCs w:val="20"/>
              </w:rPr>
            </w:pPr>
          </w:p>
        </w:tc>
      </w:tr>
      <w:tr w:rsidR="004D451D" w:rsidRPr="004D451D" w:rsidTr="005545A5">
        <w:trPr>
          <w:trHeight w:val="20"/>
        </w:trPr>
        <w:tc>
          <w:tcPr>
            <w:tcW w:w="6805" w:type="dxa"/>
            <w:gridSpan w:val="3"/>
            <w:vAlign w:val="center"/>
          </w:tcPr>
          <w:p w:rsidR="00530AA1" w:rsidRPr="004D451D" w:rsidRDefault="00530AA1" w:rsidP="005545A5">
            <w:pPr>
              <w:widowControl/>
              <w:jc w:val="both"/>
              <w:rPr>
                <w:rFonts w:ascii="標楷體" w:eastAsia="標楷體" w:hAnsi="標楷體" w:cs="新細明體"/>
                <w:bCs/>
                <w:kern w:val="0"/>
                <w:sz w:val="20"/>
                <w:szCs w:val="20"/>
              </w:rPr>
            </w:pPr>
            <w:r w:rsidRPr="004D451D">
              <w:rPr>
                <w:rFonts w:ascii="標楷體" w:eastAsia="標楷體" w:hAnsi="標楷體" w:cs="新細明體" w:hint="eastAsia"/>
                <w:bCs/>
                <w:kern w:val="0"/>
                <w:sz w:val="20"/>
                <w:szCs w:val="20"/>
              </w:rPr>
              <w:t>銀行納入編製合併財務報表之子公司，若於計算合併普通股權益比率、第一類資本比率及資本適足率時，係自自有資本扣除者，請說明該子公司主要營業活動暨其資產及權益總額</w:t>
            </w:r>
          </w:p>
        </w:tc>
        <w:tc>
          <w:tcPr>
            <w:tcW w:w="3341" w:type="dxa"/>
            <w:gridSpan w:val="3"/>
            <w:vAlign w:val="center"/>
          </w:tcPr>
          <w:p w:rsidR="00530AA1" w:rsidRPr="004D451D" w:rsidRDefault="00530AA1" w:rsidP="005545A5">
            <w:pPr>
              <w:widowControl/>
              <w:jc w:val="both"/>
              <w:rPr>
                <w:rFonts w:ascii="標楷體" w:eastAsia="標楷體" w:hAnsi="標楷體" w:cs="新細明體"/>
                <w:bCs/>
                <w:kern w:val="0"/>
                <w:sz w:val="20"/>
                <w:szCs w:val="20"/>
              </w:rPr>
            </w:pPr>
            <w:r w:rsidRPr="004D451D">
              <w:rPr>
                <w:rFonts w:ascii="標楷體" w:eastAsia="標楷體" w:hAnsi="標楷體" w:hint="eastAsia"/>
                <w:sz w:val="22"/>
                <w:szCs w:val="22"/>
              </w:rPr>
              <w:t>註</w:t>
            </w:r>
            <w:r w:rsidRPr="004D451D">
              <w:rPr>
                <w:rFonts w:ascii="標楷體" w:eastAsia="標楷體" w:hAnsi="標楷體"/>
                <w:sz w:val="22"/>
                <w:szCs w:val="22"/>
              </w:rPr>
              <w:t>:</w:t>
            </w:r>
            <w:r w:rsidRPr="004D451D">
              <w:rPr>
                <w:rFonts w:ascii="標楷體" w:eastAsia="標楷體" w:hAnsi="標楷體" w:hint="eastAsia"/>
                <w:sz w:val="22"/>
                <w:szCs w:val="22"/>
              </w:rPr>
              <w:t>因本行資本適足率資產負債表與個體財務報告資產負債表相同，無需揭露本表。</w:t>
            </w:r>
          </w:p>
        </w:tc>
      </w:tr>
    </w:tbl>
    <w:p w:rsidR="00530AA1" w:rsidRPr="004D451D" w:rsidRDefault="00530AA1" w:rsidP="00530AA1">
      <w:pPr>
        <w:rPr>
          <w:rFonts w:ascii="標楷體" w:eastAsia="標楷體" w:hAnsi="標楷體" w:cs="新細明體"/>
          <w:kern w:val="0"/>
          <w:sz w:val="20"/>
          <w:szCs w:val="20"/>
        </w:rPr>
      </w:pPr>
    </w:p>
    <w:p w:rsidR="00530AA1" w:rsidRPr="004D451D" w:rsidRDefault="00530AA1" w:rsidP="00530AA1">
      <w:pPr>
        <w:rPr>
          <w:rFonts w:ascii="標楷體" w:eastAsia="標楷體" w:hAnsi="標楷體" w:cs="新細明體"/>
          <w:b/>
          <w:kern w:val="0"/>
          <w:sz w:val="20"/>
          <w:szCs w:val="20"/>
        </w:rPr>
      </w:pPr>
      <w:r w:rsidRPr="004D451D">
        <w:rPr>
          <w:rFonts w:ascii="標楷體" w:eastAsia="標楷體" w:hAnsi="標楷體" w:cs="新細明體" w:hint="eastAsia"/>
          <w:b/>
          <w:kern w:val="0"/>
          <w:sz w:val="20"/>
          <w:szCs w:val="20"/>
        </w:rPr>
        <w:t>填表說明：</w:t>
      </w:r>
    </w:p>
    <w:p w:rsidR="00530AA1" w:rsidRPr="004D451D" w:rsidRDefault="00530AA1" w:rsidP="00530AA1">
      <w:pPr>
        <w:numPr>
          <w:ilvl w:val="0"/>
          <w:numId w:val="90"/>
        </w:numPr>
        <w:tabs>
          <w:tab w:val="clear" w:pos="360"/>
          <w:tab w:val="num" w:pos="180"/>
        </w:tabs>
        <w:ind w:leftChars="150" w:left="660" w:hangingChars="150" w:hanging="300"/>
        <w:jc w:val="both"/>
        <w:rPr>
          <w:rFonts w:eastAsia="標楷體" w:hAnsi="標楷體"/>
          <w:kern w:val="0"/>
          <w:sz w:val="20"/>
          <w:szCs w:val="20"/>
        </w:rPr>
      </w:pPr>
      <w:r w:rsidRPr="004D451D">
        <w:rPr>
          <w:rFonts w:eastAsia="標楷體" w:hAnsi="標楷體" w:hint="eastAsia"/>
          <w:kern w:val="0"/>
          <w:sz w:val="20"/>
          <w:szCs w:val="20"/>
        </w:rPr>
        <w:t>本表更新頻率：半年。</w:t>
      </w:r>
    </w:p>
    <w:p w:rsidR="00530AA1" w:rsidRPr="004D451D" w:rsidRDefault="00530AA1" w:rsidP="00530AA1">
      <w:pPr>
        <w:numPr>
          <w:ilvl w:val="0"/>
          <w:numId w:val="90"/>
        </w:numPr>
        <w:tabs>
          <w:tab w:val="clear" w:pos="360"/>
          <w:tab w:val="num" w:pos="180"/>
        </w:tabs>
        <w:ind w:leftChars="150" w:left="660" w:hangingChars="150" w:hanging="300"/>
        <w:jc w:val="both"/>
        <w:rPr>
          <w:rFonts w:eastAsia="標楷體" w:hAnsi="標楷體"/>
          <w:kern w:val="0"/>
          <w:sz w:val="20"/>
          <w:szCs w:val="20"/>
        </w:rPr>
      </w:pPr>
      <w:r w:rsidRPr="004D451D">
        <w:rPr>
          <w:rFonts w:eastAsia="標楷體" w:hAnsi="標楷體" w:hint="eastAsia"/>
          <w:kern w:val="0"/>
          <w:sz w:val="20"/>
          <w:szCs w:val="20"/>
        </w:rPr>
        <w:t>本表旨在分別列示資產負債表與用以計算資本適足率之資產負債表之各資產、負債及權益等會計項目之金額，若二者之資產負債權益數字均相同，即同時符合下列條件者，無需揭露本表，僅須揭露【附表四之二】及【附表四之三】：</w:t>
      </w:r>
    </w:p>
    <w:p w:rsidR="00530AA1" w:rsidRPr="004D451D" w:rsidRDefault="00530AA1" w:rsidP="00530AA1">
      <w:pPr>
        <w:numPr>
          <w:ilvl w:val="1"/>
          <w:numId w:val="90"/>
        </w:numPr>
        <w:jc w:val="both"/>
        <w:rPr>
          <w:rFonts w:eastAsia="標楷體"/>
          <w:kern w:val="0"/>
          <w:sz w:val="20"/>
          <w:szCs w:val="20"/>
        </w:rPr>
      </w:pPr>
      <w:r w:rsidRPr="004D451D">
        <w:rPr>
          <w:rFonts w:eastAsia="標楷體" w:hAnsi="標楷體" w:hint="eastAsia"/>
          <w:kern w:val="0"/>
          <w:sz w:val="20"/>
          <w:szCs w:val="20"/>
        </w:rPr>
        <w:t>預期損失、評價準備及確定福利負債未有提列不足之情形者。</w:t>
      </w:r>
    </w:p>
    <w:p w:rsidR="00530AA1" w:rsidRPr="004D451D" w:rsidRDefault="00530AA1" w:rsidP="00530AA1">
      <w:pPr>
        <w:numPr>
          <w:ilvl w:val="1"/>
          <w:numId w:val="90"/>
        </w:numPr>
        <w:jc w:val="both"/>
        <w:rPr>
          <w:rFonts w:eastAsia="標楷體"/>
          <w:kern w:val="0"/>
          <w:sz w:val="20"/>
          <w:szCs w:val="20"/>
        </w:rPr>
      </w:pPr>
      <w:r w:rsidRPr="004D451D">
        <w:rPr>
          <w:rFonts w:eastAsia="標楷體" w:hAnsi="標楷體" w:hint="eastAsia"/>
          <w:kern w:val="0"/>
          <w:sz w:val="20"/>
          <w:szCs w:val="20"/>
        </w:rPr>
        <w:t>於計算合併普通股權益比率、第一類資本比率及資本適足率時，其納入合併之子公司與國際財務報導準則公報第十號合併財務報表相同者。</w:t>
      </w:r>
    </w:p>
    <w:p w:rsidR="00530AA1" w:rsidRPr="004D451D" w:rsidRDefault="00530AA1" w:rsidP="00530AA1">
      <w:pPr>
        <w:numPr>
          <w:ilvl w:val="0"/>
          <w:numId w:val="90"/>
        </w:numPr>
        <w:tabs>
          <w:tab w:val="clear" w:pos="360"/>
          <w:tab w:val="num" w:pos="180"/>
        </w:tabs>
        <w:ind w:leftChars="150" w:left="660" w:hangingChars="150" w:hanging="300"/>
        <w:jc w:val="both"/>
        <w:rPr>
          <w:rFonts w:eastAsia="標楷體"/>
          <w:kern w:val="0"/>
          <w:sz w:val="20"/>
          <w:szCs w:val="20"/>
        </w:rPr>
      </w:pPr>
      <w:r w:rsidRPr="004D451D">
        <w:rPr>
          <w:rFonts w:eastAsia="標楷體" w:hAnsi="標楷體" w:hint="eastAsia"/>
          <w:kern w:val="0"/>
          <w:sz w:val="20"/>
          <w:szCs w:val="20"/>
        </w:rPr>
        <w:t>若銀行有預期損失、評價準備及確定福利負債提列不足之情形，為使計算資本適足率之資產負債表仍能保持平衡，除於保留盈餘項下扣除該金額外，應同步於相關之資產負債會計項下調整上開不足之金額</w:t>
      </w:r>
      <w:r w:rsidRPr="004D451D">
        <w:rPr>
          <w:rFonts w:eastAsia="標楷體" w:hint="eastAsia"/>
          <w:kern w:val="0"/>
          <w:sz w:val="20"/>
          <w:szCs w:val="20"/>
        </w:rPr>
        <w:t>（</w:t>
      </w:r>
      <w:r w:rsidRPr="004D451D">
        <w:rPr>
          <w:rFonts w:eastAsia="標楷體" w:hAnsi="標楷體" w:hint="eastAsia"/>
          <w:kern w:val="0"/>
          <w:sz w:val="20"/>
          <w:szCs w:val="20"/>
        </w:rPr>
        <w:t>如：預期損失提存不足，應調整貼現及放款</w:t>
      </w:r>
      <w:r w:rsidRPr="004D451D">
        <w:rPr>
          <w:rFonts w:eastAsia="標楷體"/>
          <w:kern w:val="0"/>
          <w:sz w:val="20"/>
          <w:szCs w:val="20"/>
        </w:rPr>
        <w:t>-</w:t>
      </w:r>
      <w:r w:rsidRPr="004D451D">
        <w:rPr>
          <w:rFonts w:eastAsia="標楷體" w:hAnsi="標楷體" w:hint="eastAsia"/>
          <w:kern w:val="0"/>
          <w:sz w:val="20"/>
          <w:szCs w:val="20"/>
        </w:rPr>
        <w:t>淨額；評價準備提列不足，應調整相關金融資產；確定福利負債提列不足，則調整負債準備</w:t>
      </w:r>
      <w:r w:rsidRPr="004D451D">
        <w:rPr>
          <w:rFonts w:eastAsia="標楷體" w:hint="eastAsia"/>
          <w:kern w:val="0"/>
          <w:sz w:val="20"/>
          <w:szCs w:val="20"/>
        </w:rPr>
        <w:t>）</w:t>
      </w:r>
      <w:r w:rsidRPr="004D451D">
        <w:rPr>
          <w:rFonts w:eastAsia="標楷體" w:hAnsi="標楷體" w:hint="eastAsia"/>
          <w:kern w:val="0"/>
          <w:sz w:val="20"/>
          <w:szCs w:val="20"/>
        </w:rPr>
        <w:t>。</w:t>
      </w:r>
    </w:p>
    <w:p w:rsidR="00BF1989" w:rsidRPr="004D451D" w:rsidRDefault="00BF1989" w:rsidP="00530AA1">
      <w:pPr>
        <w:ind w:leftChars="150" w:left="780" w:hangingChars="150" w:hanging="420"/>
        <w:rPr>
          <w:rFonts w:ascii="標楷體" w:eastAsia="標楷體" w:hAnsi="標楷體"/>
          <w:sz w:val="28"/>
          <w:szCs w:val="28"/>
        </w:rPr>
        <w:sectPr w:rsidR="00BF1989" w:rsidRPr="004D451D" w:rsidSect="006A2EB6">
          <w:footerReference w:type="even" r:id="rId9"/>
          <w:footerReference w:type="default" r:id="rId10"/>
          <w:pgSz w:w="11906" w:h="16838"/>
          <w:pgMar w:top="902" w:right="1259" w:bottom="719" w:left="1259" w:header="851" w:footer="357" w:gutter="0"/>
          <w:cols w:space="425"/>
          <w:docGrid w:linePitch="360"/>
        </w:sectPr>
      </w:pPr>
    </w:p>
    <w:p w:rsidR="005545A5" w:rsidRPr="004D451D" w:rsidRDefault="005545A5" w:rsidP="005545A5">
      <w:pPr>
        <w:widowControl/>
        <w:ind w:rightChars="-254" w:right="-610"/>
        <w:rPr>
          <w:rFonts w:ascii="標楷體" w:eastAsia="標楷體" w:hAnsi="標楷體"/>
          <w:b/>
          <w:sz w:val="32"/>
          <w:szCs w:val="32"/>
        </w:rPr>
      </w:pPr>
      <w:r w:rsidRPr="004D451D">
        <w:rPr>
          <w:rFonts w:ascii="標楷體" w:eastAsia="標楷體" w:hAnsi="標楷體" w:hint="eastAsia"/>
          <w:b/>
          <w:sz w:val="32"/>
          <w:szCs w:val="32"/>
        </w:rPr>
        <w:lastRenderedPageBreak/>
        <w:t>【</w:t>
      </w:r>
      <w:r w:rsidRPr="004D451D">
        <w:rPr>
          <w:rFonts w:ascii="Garamond" w:eastAsia="標楷體" w:hAnsi="標楷體" w:hint="eastAsia"/>
          <w:b/>
          <w:sz w:val="28"/>
          <w:szCs w:val="28"/>
        </w:rPr>
        <w:t>附表四之二</w:t>
      </w:r>
      <w:r w:rsidRPr="004D451D">
        <w:rPr>
          <w:rFonts w:ascii="標楷體" w:eastAsia="標楷體" w:hAnsi="標楷體" w:hint="eastAsia"/>
          <w:b/>
          <w:sz w:val="32"/>
          <w:szCs w:val="32"/>
        </w:rPr>
        <w:t>】</w:t>
      </w:r>
    </w:p>
    <w:p w:rsidR="005545A5" w:rsidRPr="004D451D" w:rsidRDefault="005545A5" w:rsidP="005545A5">
      <w:pPr>
        <w:jc w:val="center"/>
        <w:rPr>
          <w:rFonts w:ascii="標楷體" w:eastAsia="標楷體" w:hAnsi="標楷體"/>
          <w:b/>
          <w:bCs/>
          <w:sz w:val="28"/>
          <w:szCs w:val="28"/>
        </w:rPr>
      </w:pPr>
      <w:r w:rsidRPr="004D451D">
        <w:rPr>
          <w:rFonts w:ascii="標楷體" w:eastAsia="標楷體" w:hAnsi="標楷體" w:hint="eastAsia"/>
          <w:b/>
          <w:bCs/>
          <w:sz w:val="28"/>
          <w:szCs w:val="28"/>
        </w:rPr>
        <w:t>資產負債權益展開表</w:t>
      </w:r>
    </w:p>
    <w:p w:rsidR="005545A5" w:rsidRPr="004D451D" w:rsidRDefault="005545A5" w:rsidP="005545A5">
      <w:pPr>
        <w:ind w:rightChars="-336" w:right="-806"/>
        <w:rPr>
          <w:rFonts w:ascii="標楷體" w:eastAsia="標楷體" w:hAnsi="標楷體"/>
          <w:b/>
          <w:bCs/>
        </w:rPr>
      </w:pPr>
      <w:r w:rsidRPr="004D451D">
        <w:rPr>
          <w:rFonts w:ascii="標楷體" w:eastAsia="標楷體" w:hAnsi="標楷體"/>
          <w:b/>
          <w:bCs/>
        </w:rPr>
        <w:t xml:space="preserve">                                                         </w:t>
      </w:r>
      <w:r w:rsidRPr="004D451D">
        <w:rPr>
          <w:rFonts w:ascii="標楷體" w:eastAsia="標楷體" w:hAnsi="標楷體" w:hint="eastAsia"/>
          <w:b/>
          <w:bCs/>
        </w:rPr>
        <w:t>107年06月30日</w:t>
      </w:r>
      <w:r w:rsidRPr="004D451D">
        <w:rPr>
          <w:rFonts w:ascii="標楷體" w:eastAsia="標楷體" w:hAnsi="標楷體"/>
          <w:b/>
          <w:bCs/>
        </w:rPr>
        <w:t xml:space="preserve">                                          </w:t>
      </w:r>
      <w:r w:rsidRPr="004D451D">
        <w:rPr>
          <w:rFonts w:ascii="標楷體" w:eastAsia="標楷體" w:hAnsi="標楷體" w:hint="eastAsia"/>
          <w:b/>
          <w:bCs/>
        </w:rPr>
        <w:t>（單位：新臺幣千元）</w:t>
      </w:r>
    </w:p>
    <w:tbl>
      <w:tblPr>
        <w:tblW w:w="1567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6"/>
        <w:gridCol w:w="1701"/>
        <w:gridCol w:w="6012"/>
        <w:gridCol w:w="720"/>
        <w:gridCol w:w="1485"/>
        <w:gridCol w:w="1485"/>
        <w:gridCol w:w="1485"/>
        <w:gridCol w:w="1485"/>
        <w:gridCol w:w="720"/>
      </w:tblGrid>
      <w:tr w:rsidR="004D451D" w:rsidRPr="004D451D" w:rsidTr="005545A5">
        <w:trPr>
          <w:trHeight w:val="20"/>
          <w:tblHeader/>
        </w:trPr>
        <w:tc>
          <w:tcPr>
            <w:tcW w:w="2287" w:type="dxa"/>
            <w:gridSpan w:val="2"/>
            <w:vAlign w:val="center"/>
          </w:tcPr>
          <w:p w:rsidR="005545A5" w:rsidRPr="004D451D" w:rsidRDefault="005545A5" w:rsidP="005545A5">
            <w:pPr>
              <w:widowControl/>
              <w:jc w:val="center"/>
              <w:rPr>
                <w:rFonts w:ascii="標楷體" w:eastAsia="標楷體" w:hAnsi="標楷體" w:cs="新細明體"/>
                <w:b/>
                <w:kern w:val="0"/>
                <w:sz w:val="18"/>
                <w:szCs w:val="18"/>
              </w:rPr>
            </w:pPr>
            <w:r w:rsidRPr="004D451D">
              <w:rPr>
                <w:rFonts w:ascii="標楷體" w:eastAsia="標楷體" w:hAnsi="標楷體" w:cs="新細明體" w:hint="eastAsia"/>
                <w:b/>
                <w:kern w:val="0"/>
                <w:sz w:val="18"/>
                <w:szCs w:val="18"/>
              </w:rPr>
              <w:t>會計項目</w:t>
            </w:r>
          </w:p>
        </w:tc>
        <w:tc>
          <w:tcPr>
            <w:tcW w:w="6012" w:type="dxa"/>
            <w:vAlign w:val="center"/>
          </w:tcPr>
          <w:p w:rsidR="005545A5" w:rsidRPr="004D451D" w:rsidRDefault="005545A5" w:rsidP="005545A5">
            <w:pPr>
              <w:widowControl/>
              <w:jc w:val="center"/>
              <w:rPr>
                <w:rFonts w:ascii="標楷體" w:eastAsia="標楷體" w:hAnsi="標楷體" w:cs="新細明體"/>
                <w:b/>
                <w:kern w:val="0"/>
                <w:sz w:val="18"/>
                <w:szCs w:val="18"/>
              </w:rPr>
            </w:pPr>
            <w:r w:rsidRPr="004D451D">
              <w:rPr>
                <w:rFonts w:ascii="標楷體" w:eastAsia="標楷體" w:hAnsi="標楷體" w:cs="新細明體" w:hint="eastAsia"/>
                <w:b/>
                <w:kern w:val="0"/>
                <w:sz w:val="18"/>
                <w:szCs w:val="18"/>
              </w:rPr>
              <w:t>展開項目</w:t>
            </w:r>
          </w:p>
        </w:tc>
        <w:tc>
          <w:tcPr>
            <w:tcW w:w="720" w:type="dxa"/>
            <w:vAlign w:val="center"/>
          </w:tcPr>
          <w:p w:rsidR="005545A5" w:rsidRPr="004D451D" w:rsidRDefault="005545A5" w:rsidP="005545A5">
            <w:pPr>
              <w:widowControl/>
              <w:jc w:val="center"/>
              <w:rPr>
                <w:rFonts w:ascii="標楷體" w:eastAsia="標楷體" w:hAnsi="標楷體" w:cs="新細明體"/>
                <w:b/>
                <w:bCs/>
                <w:kern w:val="0"/>
                <w:sz w:val="16"/>
                <w:szCs w:val="18"/>
              </w:rPr>
            </w:pPr>
            <w:r w:rsidRPr="004D451D">
              <w:rPr>
                <w:rFonts w:ascii="標楷體" w:eastAsia="標楷體" w:hAnsi="標楷體" w:cs="新細明體" w:hint="eastAsia"/>
                <w:b/>
                <w:bCs/>
                <w:kern w:val="0"/>
                <w:sz w:val="16"/>
                <w:szCs w:val="18"/>
              </w:rPr>
              <w:t>附表四之三項目</w:t>
            </w:r>
          </w:p>
        </w:tc>
        <w:tc>
          <w:tcPr>
            <w:tcW w:w="1485" w:type="dxa"/>
            <w:vAlign w:val="center"/>
          </w:tcPr>
          <w:p w:rsidR="005545A5" w:rsidRPr="004D451D" w:rsidRDefault="005545A5" w:rsidP="005545A5">
            <w:pPr>
              <w:widowControl/>
              <w:jc w:val="center"/>
              <w:rPr>
                <w:rFonts w:ascii="標楷體" w:eastAsia="標楷體" w:hAnsi="標楷體" w:cs="新細明體"/>
                <w:b/>
                <w:bCs/>
                <w:kern w:val="0"/>
                <w:sz w:val="18"/>
                <w:szCs w:val="18"/>
              </w:rPr>
            </w:pPr>
            <w:r w:rsidRPr="004D451D">
              <w:rPr>
                <w:rFonts w:ascii="標楷體" w:eastAsia="標楷體" w:hAnsi="標楷體" w:cs="新細明體" w:hint="eastAsia"/>
                <w:b/>
                <w:bCs/>
                <w:kern w:val="0"/>
                <w:sz w:val="18"/>
                <w:szCs w:val="18"/>
              </w:rPr>
              <w:t>個體財務報告資產負債表</w:t>
            </w:r>
          </w:p>
        </w:tc>
        <w:tc>
          <w:tcPr>
            <w:tcW w:w="1485" w:type="dxa"/>
            <w:vAlign w:val="center"/>
          </w:tcPr>
          <w:p w:rsidR="005545A5" w:rsidRPr="004D451D" w:rsidRDefault="005545A5" w:rsidP="005545A5">
            <w:pPr>
              <w:widowControl/>
              <w:jc w:val="center"/>
              <w:rPr>
                <w:rFonts w:ascii="標楷體" w:eastAsia="標楷體" w:hAnsi="標楷體" w:cs="新細明體"/>
                <w:b/>
                <w:bCs/>
                <w:kern w:val="0"/>
                <w:sz w:val="18"/>
                <w:szCs w:val="18"/>
              </w:rPr>
            </w:pPr>
            <w:r w:rsidRPr="004D451D">
              <w:rPr>
                <w:rFonts w:ascii="標楷體" w:eastAsia="標楷體" w:hAnsi="標楷體" w:cs="新細明體" w:hint="eastAsia"/>
                <w:b/>
                <w:bCs/>
                <w:kern w:val="0"/>
                <w:sz w:val="18"/>
                <w:szCs w:val="18"/>
              </w:rPr>
              <w:t>本行資本適足率</w:t>
            </w:r>
            <w:r w:rsidRPr="004D451D">
              <w:rPr>
                <w:rFonts w:ascii="標楷體" w:eastAsia="標楷體" w:hAnsi="標楷體" w:cs="新細明體"/>
                <w:b/>
                <w:bCs/>
                <w:kern w:val="0"/>
                <w:sz w:val="18"/>
                <w:szCs w:val="18"/>
              </w:rPr>
              <w:br/>
            </w:r>
            <w:r w:rsidRPr="004D451D">
              <w:rPr>
                <w:rFonts w:ascii="標楷體" w:eastAsia="標楷體" w:hAnsi="標楷體" w:cs="新細明體" w:hint="eastAsia"/>
                <w:b/>
                <w:bCs/>
                <w:kern w:val="0"/>
                <w:sz w:val="18"/>
                <w:szCs w:val="18"/>
              </w:rPr>
              <w:t>資產負債表</w:t>
            </w:r>
          </w:p>
        </w:tc>
        <w:tc>
          <w:tcPr>
            <w:tcW w:w="1485" w:type="dxa"/>
            <w:vAlign w:val="center"/>
          </w:tcPr>
          <w:p w:rsidR="005545A5" w:rsidRPr="004D451D" w:rsidRDefault="005545A5" w:rsidP="005545A5">
            <w:pPr>
              <w:widowControl/>
              <w:jc w:val="center"/>
              <w:rPr>
                <w:rFonts w:ascii="標楷體" w:eastAsia="標楷體" w:hAnsi="標楷體" w:cs="新細明體"/>
                <w:b/>
                <w:bCs/>
                <w:kern w:val="0"/>
                <w:sz w:val="18"/>
                <w:szCs w:val="18"/>
              </w:rPr>
            </w:pPr>
            <w:r w:rsidRPr="004D451D">
              <w:rPr>
                <w:rFonts w:ascii="標楷體" w:eastAsia="標楷體" w:hAnsi="標楷體" w:cs="新細明體" w:hint="eastAsia"/>
                <w:b/>
                <w:bCs/>
                <w:kern w:val="0"/>
                <w:sz w:val="18"/>
                <w:szCs w:val="18"/>
              </w:rPr>
              <w:t>合併財務報告</w:t>
            </w:r>
            <w:r w:rsidRPr="004D451D">
              <w:rPr>
                <w:rFonts w:ascii="標楷體" w:eastAsia="標楷體" w:hAnsi="標楷體" w:cs="新細明體"/>
                <w:b/>
                <w:bCs/>
                <w:kern w:val="0"/>
                <w:sz w:val="18"/>
                <w:szCs w:val="18"/>
              </w:rPr>
              <w:t xml:space="preserve">  </w:t>
            </w:r>
            <w:r w:rsidRPr="004D451D">
              <w:rPr>
                <w:rFonts w:ascii="標楷體" w:eastAsia="標楷體" w:hAnsi="標楷體" w:cs="新細明體" w:hint="eastAsia"/>
                <w:b/>
                <w:bCs/>
                <w:kern w:val="0"/>
                <w:sz w:val="18"/>
                <w:szCs w:val="18"/>
              </w:rPr>
              <w:t>資產負債表</w:t>
            </w:r>
          </w:p>
        </w:tc>
        <w:tc>
          <w:tcPr>
            <w:tcW w:w="1485" w:type="dxa"/>
            <w:vAlign w:val="center"/>
          </w:tcPr>
          <w:p w:rsidR="005545A5" w:rsidRPr="004D451D" w:rsidRDefault="005545A5" w:rsidP="005545A5">
            <w:pPr>
              <w:widowControl/>
              <w:jc w:val="center"/>
              <w:rPr>
                <w:rFonts w:ascii="標楷體" w:eastAsia="標楷體" w:hAnsi="標楷體" w:cs="新細明體"/>
                <w:b/>
                <w:bCs/>
                <w:kern w:val="0"/>
                <w:sz w:val="18"/>
                <w:szCs w:val="18"/>
              </w:rPr>
            </w:pPr>
            <w:r w:rsidRPr="004D451D">
              <w:rPr>
                <w:rFonts w:ascii="標楷體" w:eastAsia="標楷體" w:hAnsi="標楷體" w:cs="新細明體" w:hint="eastAsia"/>
                <w:b/>
                <w:bCs/>
                <w:kern w:val="0"/>
                <w:sz w:val="18"/>
                <w:szCs w:val="18"/>
              </w:rPr>
              <w:t>合併資本適足率</w:t>
            </w:r>
            <w:r w:rsidRPr="004D451D">
              <w:rPr>
                <w:rFonts w:ascii="標楷體" w:eastAsia="標楷體" w:hAnsi="標楷體" w:cs="新細明體"/>
                <w:b/>
                <w:bCs/>
                <w:kern w:val="0"/>
                <w:sz w:val="18"/>
                <w:szCs w:val="18"/>
              </w:rPr>
              <w:br/>
            </w:r>
            <w:r w:rsidRPr="004D451D">
              <w:rPr>
                <w:rFonts w:ascii="標楷體" w:eastAsia="標楷體" w:hAnsi="標楷體" w:cs="新細明體" w:hint="eastAsia"/>
                <w:b/>
                <w:bCs/>
                <w:kern w:val="0"/>
                <w:sz w:val="18"/>
                <w:szCs w:val="18"/>
              </w:rPr>
              <w:t>資產負債表</w:t>
            </w:r>
          </w:p>
        </w:tc>
        <w:tc>
          <w:tcPr>
            <w:tcW w:w="720" w:type="dxa"/>
            <w:noWrap/>
            <w:vAlign w:val="center"/>
          </w:tcPr>
          <w:p w:rsidR="005545A5" w:rsidRPr="004D451D" w:rsidRDefault="005545A5" w:rsidP="005545A5">
            <w:pPr>
              <w:widowControl/>
              <w:jc w:val="center"/>
              <w:rPr>
                <w:rFonts w:ascii="標楷體" w:eastAsia="標楷體" w:hAnsi="標楷體" w:cs="新細明體"/>
                <w:b/>
                <w:bCs/>
                <w:kern w:val="0"/>
                <w:sz w:val="18"/>
                <w:szCs w:val="18"/>
              </w:rPr>
            </w:pPr>
            <w:r w:rsidRPr="004D451D">
              <w:rPr>
                <w:rFonts w:ascii="標楷體" w:eastAsia="標楷體" w:hAnsi="標楷體" w:cs="新細明體" w:hint="eastAsia"/>
                <w:b/>
                <w:bCs/>
                <w:kern w:val="0"/>
                <w:sz w:val="18"/>
                <w:szCs w:val="18"/>
              </w:rPr>
              <w:t>檢索碼</w:t>
            </w:r>
          </w:p>
        </w:tc>
      </w:tr>
      <w:tr w:rsidR="004D451D" w:rsidRPr="004D451D" w:rsidTr="005545A5">
        <w:trPr>
          <w:trHeight w:val="20"/>
        </w:trPr>
        <w:tc>
          <w:tcPr>
            <w:tcW w:w="2287" w:type="dxa"/>
            <w:gridSpan w:val="2"/>
          </w:tcPr>
          <w:p w:rsidR="005545A5" w:rsidRPr="004D451D" w:rsidRDefault="005545A5" w:rsidP="005545A5">
            <w:pPr>
              <w:widowControl/>
              <w:rPr>
                <w:rFonts w:ascii="標楷體" w:eastAsia="標楷體" w:hAnsi="標楷體" w:cs="新細明體"/>
                <w:b/>
                <w:bCs/>
                <w:kern w:val="0"/>
                <w:sz w:val="18"/>
                <w:szCs w:val="18"/>
              </w:rPr>
            </w:pPr>
            <w:r w:rsidRPr="004D451D">
              <w:rPr>
                <w:rFonts w:ascii="標楷體" w:eastAsia="標楷體" w:hAnsi="標楷體" w:cs="新細明體" w:hint="eastAsia"/>
                <w:b/>
                <w:bCs/>
                <w:kern w:val="0"/>
                <w:sz w:val="18"/>
                <w:szCs w:val="18"/>
              </w:rPr>
              <w:t>資產</w:t>
            </w:r>
          </w:p>
        </w:tc>
        <w:tc>
          <w:tcPr>
            <w:tcW w:w="6012" w:type="dxa"/>
          </w:tcPr>
          <w:p w:rsidR="005545A5" w:rsidRPr="004D451D" w:rsidRDefault="005545A5" w:rsidP="005545A5">
            <w:pPr>
              <w:widowControl/>
              <w:rPr>
                <w:rFonts w:ascii="標楷體" w:eastAsia="標楷體" w:hAnsi="標楷體" w:cs="新細明體"/>
                <w:kern w:val="0"/>
                <w:sz w:val="18"/>
                <w:szCs w:val="18"/>
              </w:rPr>
            </w:pPr>
          </w:p>
        </w:tc>
        <w:tc>
          <w:tcPr>
            <w:tcW w:w="720" w:type="dxa"/>
          </w:tcPr>
          <w:p w:rsidR="005545A5" w:rsidRPr="004D451D" w:rsidRDefault="005545A5" w:rsidP="005545A5">
            <w:pPr>
              <w:widowControl/>
              <w:jc w:val="center"/>
              <w:rPr>
                <w:rFonts w:ascii="標楷體" w:eastAsia="標楷體" w:hAnsi="標楷體" w:cs="新細明體"/>
                <w:kern w:val="0"/>
                <w:sz w:val="18"/>
                <w:szCs w:val="18"/>
              </w:rPr>
            </w:pPr>
          </w:p>
        </w:tc>
        <w:tc>
          <w:tcPr>
            <w:tcW w:w="1485" w:type="dxa"/>
          </w:tcPr>
          <w:p w:rsidR="005545A5" w:rsidRPr="004D451D" w:rsidRDefault="005545A5" w:rsidP="005545A5">
            <w:pPr>
              <w:widowControl/>
              <w:jc w:val="right"/>
              <w:rPr>
                <w:rFonts w:ascii="標楷體" w:eastAsia="標楷體" w:hAnsi="標楷體" w:cs="新細明體"/>
                <w:kern w:val="0"/>
                <w:sz w:val="18"/>
                <w:szCs w:val="18"/>
              </w:rPr>
            </w:pPr>
            <w:r w:rsidRPr="004D451D">
              <w:rPr>
                <w:rFonts w:ascii="標楷體" w:eastAsia="標楷體" w:hAnsi="標楷體" w:cs="新細明體" w:hint="eastAsia"/>
                <w:kern w:val="0"/>
                <w:sz w:val="18"/>
                <w:szCs w:val="18"/>
              </w:rPr>
              <w:t xml:space="preserve">　</w:t>
            </w:r>
          </w:p>
        </w:tc>
        <w:tc>
          <w:tcPr>
            <w:tcW w:w="1485" w:type="dxa"/>
          </w:tcPr>
          <w:p w:rsidR="005545A5" w:rsidRPr="004D451D" w:rsidRDefault="005545A5" w:rsidP="005545A5">
            <w:pPr>
              <w:widowControl/>
              <w:jc w:val="right"/>
              <w:rPr>
                <w:rFonts w:ascii="標楷體" w:eastAsia="標楷體" w:hAnsi="標楷體" w:cs="新細明體"/>
                <w:kern w:val="0"/>
                <w:sz w:val="18"/>
                <w:szCs w:val="18"/>
              </w:rPr>
            </w:pPr>
            <w:r w:rsidRPr="004D451D">
              <w:rPr>
                <w:rFonts w:ascii="標楷體" w:eastAsia="標楷體" w:hAnsi="標楷體" w:cs="新細明體" w:hint="eastAsia"/>
                <w:kern w:val="0"/>
                <w:sz w:val="18"/>
                <w:szCs w:val="18"/>
              </w:rPr>
              <w:t xml:space="preserve">　</w:t>
            </w:r>
          </w:p>
        </w:tc>
        <w:tc>
          <w:tcPr>
            <w:tcW w:w="1485" w:type="dxa"/>
          </w:tcPr>
          <w:p w:rsidR="005545A5" w:rsidRPr="004D451D" w:rsidRDefault="005545A5" w:rsidP="005545A5">
            <w:pPr>
              <w:widowControl/>
              <w:jc w:val="right"/>
              <w:rPr>
                <w:rFonts w:ascii="標楷體" w:eastAsia="標楷體" w:hAnsi="標楷體" w:cs="新細明體"/>
                <w:kern w:val="0"/>
                <w:sz w:val="18"/>
                <w:szCs w:val="18"/>
              </w:rPr>
            </w:pPr>
            <w:r w:rsidRPr="004D451D">
              <w:rPr>
                <w:rFonts w:ascii="標楷體" w:eastAsia="標楷體" w:hAnsi="標楷體" w:cs="新細明體" w:hint="eastAsia"/>
                <w:kern w:val="0"/>
                <w:sz w:val="18"/>
                <w:szCs w:val="18"/>
              </w:rPr>
              <w:t xml:space="preserve">　</w:t>
            </w:r>
          </w:p>
        </w:tc>
        <w:tc>
          <w:tcPr>
            <w:tcW w:w="1485" w:type="dxa"/>
          </w:tcPr>
          <w:p w:rsidR="005545A5" w:rsidRPr="004D451D" w:rsidRDefault="005545A5" w:rsidP="005545A5">
            <w:pPr>
              <w:widowControl/>
              <w:jc w:val="right"/>
              <w:rPr>
                <w:rFonts w:ascii="標楷體" w:eastAsia="標楷體" w:hAnsi="標楷體" w:cs="新細明體"/>
                <w:kern w:val="0"/>
                <w:sz w:val="18"/>
                <w:szCs w:val="18"/>
              </w:rPr>
            </w:pPr>
            <w:r w:rsidRPr="004D451D">
              <w:rPr>
                <w:rFonts w:ascii="標楷體" w:eastAsia="標楷體" w:hAnsi="標楷體" w:cs="新細明體" w:hint="eastAsia"/>
                <w:kern w:val="0"/>
                <w:sz w:val="18"/>
                <w:szCs w:val="18"/>
              </w:rPr>
              <w:t xml:space="preserve">　</w:t>
            </w:r>
          </w:p>
        </w:tc>
        <w:tc>
          <w:tcPr>
            <w:tcW w:w="720" w:type="dxa"/>
            <w:noWrap/>
            <w:vAlign w:val="center"/>
          </w:tcPr>
          <w:p w:rsidR="005545A5" w:rsidRPr="004D451D" w:rsidRDefault="005545A5" w:rsidP="005545A5">
            <w:pPr>
              <w:widowControl/>
              <w:jc w:val="center"/>
              <w:rPr>
                <w:rFonts w:ascii="標楷體" w:eastAsia="標楷體" w:hAnsi="標楷體" w:cs="新細明體"/>
                <w:kern w:val="0"/>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cs="新細明體"/>
                <w:sz w:val="18"/>
                <w:szCs w:val="18"/>
              </w:rPr>
            </w:pPr>
          </w:p>
        </w:tc>
        <w:tc>
          <w:tcPr>
            <w:tcW w:w="1701" w:type="dxa"/>
          </w:tcPr>
          <w:p w:rsidR="005545A5" w:rsidRPr="004D451D" w:rsidRDefault="005545A5" w:rsidP="005545A5">
            <w:pPr>
              <w:rPr>
                <w:rFonts w:ascii="標楷體" w:eastAsia="標楷體" w:hAnsi="標楷體" w:cs="新細明體"/>
                <w:sz w:val="18"/>
                <w:szCs w:val="18"/>
              </w:rPr>
            </w:pPr>
            <w:r w:rsidRPr="004D451D">
              <w:rPr>
                <w:rFonts w:ascii="標楷體" w:eastAsia="標楷體" w:hAnsi="標楷體" w:hint="eastAsia"/>
                <w:sz w:val="18"/>
                <w:szCs w:val="18"/>
              </w:rPr>
              <w:t>現金及約當現金</w:t>
            </w:r>
          </w:p>
        </w:tc>
        <w:tc>
          <w:tcPr>
            <w:tcW w:w="6012" w:type="dxa"/>
          </w:tcPr>
          <w:p w:rsidR="005545A5" w:rsidRPr="004D451D" w:rsidRDefault="005545A5" w:rsidP="005545A5">
            <w:pPr>
              <w:rPr>
                <w:rFonts w:ascii="標楷體" w:eastAsia="標楷體" w:hAnsi="標楷體" w:cs="新細明體"/>
                <w:sz w:val="18"/>
                <w:szCs w:val="18"/>
              </w:rPr>
            </w:pPr>
          </w:p>
        </w:tc>
        <w:tc>
          <w:tcPr>
            <w:tcW w:w="720" w:type="dxa"/>
          </w:tcPr>
          <w:p w:rsidR="005545A5" w:rsidRPr="004D451D" w:rsidRDefault="005545A5" w:rsidP="005545A5">
            <w:pPr>
              <w:jc w:val="center"/>
              <w:rPr>
                <w:rFonts w:ascii="標楷體" w:eastAsia="標楷體" w:hAnsi="標楷體" w:cs="新細明體"/>
                <w:sz w:val="18"/>
                <w:szCs w:val="18"/>
              </w:rPr>
            </w:pP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4,680,598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4,680,598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4,709,872</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4,709,872</w:t>
            </w:r>
          </w:p>
        </w:tc>
        <w:tc>
          <w:tcPr>
            <w:tcW w:w="720" w:type="dxa"/>
            <w:noWrap/>
            <w:vAlign w:val="center"/>
          </w:tcPr>
          <w:p w:rsidR="005545A5" w:rsidRPr="004D451D" w:rsidRDefault="005545A5" w:rsidP="005545A5">
            <w:pPr>
              <w:jc w:val="center"/>
              <w:rPr>
                <w:rFonts w:ascii="標楷體" w:eastAsia="標楷體" w:hAnsi="標楷體" w:cs="新細明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存放央行及拆借銀行同業</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10,571,028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10,571,028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10,571,028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10,571,028</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透過損益按公允價值衡量之金融資產</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24,707,418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24,707,418</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25,069,452</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25,069,452</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對金融相關事業之資本投資</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72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26d</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41b</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56d</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其他透過損益按公允價值衡量之金融資產</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24,707,418</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25,069,452</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透過其他綜合損益按公允價值衡量之金融資產</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57,325,963</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57,325,963</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57,405,129</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57,405,129</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對金融相關事業之資本投資</w:t>
            </w:r>
            <w:r w:rsidRPr="004D451D">
              <w:rPr>
                <w:rFonts w:ascii="標楷體" w:eastAsia="標楷體" w:hAnsi="標楷體"/>
                <w:sz w:val="18"/>
                <w:szCs w:val="18"/>
              </w:rPr>
              <w:t>(</w:t>
            </w:r>
            <w:r w:rsidRPr="004D451D">
              <w:rPr>
                <w:rFonts w:ascii="標楷體" w:eastAsia="標楷體" w:hAnsi="標楷體" w:hint="eastAsia"/>
                <w:sz w:val="18"/>
                <w:szCs w:val="18"/>
              </w:rPr>
              <w:t>填寫市值，若有評價利益者以原始成本加計</w:t>
            </w:r>
            <w:r w:rsidRPr="004D451D">
              <w:rPr>
                <w:rFonts w:ascii="標楷體" w:eastAsia="標楷體" w:hAnsi="標楷體"/>
                <w:sz w:val="18"/>
                <w:szCs w:val="18"/>
              </w:rPr>
              <w:t>45%</w:t>
            </w:r>
            <w:r w:rsidRPr="004D451D">
              <w:rPr>
                <w:rFonts w:ascii="標楷體" w:eastAsia="標楷體" w:hAnsi="標楷體" w:hint="eastAsia"/>
                <w:sz w:val="18"/>
                <w:szCs w:val="18"/>
              </w:rPr>
              <w:t>未實現利益</w:t>
            </w:r>
            <w:r w:rsidRPr="004D451D">
              <w:rPr>
                <w:rFonts w:ascii="標楷體" w:eastAsia="標楷體" w:hAnsi="標楷體"/>
                <w:sz w:val="18"/>
                <w:szCs w:val="18"/>
              </w:rPr>
              <w:t>)</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409,179</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478,487</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分類至交易簿者</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72</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分類至銀行簿者</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409,179</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478,487</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26c</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102,295</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119,622</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41a</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56c</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204,589</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239,244</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102,295</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119,622</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0</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0</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26d</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41b</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56d</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其他透過其他綜合損益按公允價值衡量之金融資產</w:t>
            </w:r>
          </w:p>
        </w:tc>
        <w:tc>
          <w:tcPr>
            <w:tcW w:w="720" w:type="dxa"/>
          </w:tcPr>
          <w:p w:rsidR="005545A5" w:rsidRPr="004D451D" w:rsidRDefault="005545A5" w:rsidP="005545A5">
            <w:pPr>
              <w:jc w:val="center"/>
              <w:rPr>
                <w:rFonts w:ascii="標楷體" w:eastAsia="標楷體" w:hAnsi="標楷體"/>
                <w:sz w:val="18"/>
                <w:szCs w:val="18"/>
              </w:rPr>
            </w:pP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56,916,784</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56,926,642</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按攤銷後成本衡量之債務工具投資</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17,398,019</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17,398,019</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17,398,019</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17,398,019</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對金融相關事業之資本投資</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0</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0</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26c</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A19</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41a</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56c</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0</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0</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26d</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41b</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56d</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A28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其他按攤銷後成本衡量之債務工具投資</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17,398,019</w:t>
            </w:r>
          </w:p>
        </w:tc>
        <w:tc>
          <w:tcPr>
            <w:tcW w:w="1485" w:type="dxa"/>
            <w:shd w:val="clear" w:color="auto" w:fill="A6A6A6"/>
            <w:vAlign w:val="center"/>
          </w:tcPr>
          <w:p w:rsidR="005545A5" w:rsidRPr="004D451D" w:rsidRDefault="005545A5">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5545A5" w:rsidRPr="004D451D" w:rsidRDefault="005545A5">
            <w:pPr>
              <w:jc w:val="right"/>
              <w:rPr>
                <w:rFonts w:ascii="Arial" w:hAnsi="Arial" w:cs="Arial"/>
                <w:sz w:val="20"/>
                <w:szCs w:val="20"/>
              </w:rPr>
            </w:pPr>
            <w:r w:rsidRPr="004D451D">
              <w:rPr>
                <w:rFonts w:ascii="Arial" w:hAnsi="Arial" w:cs="Arial"/>
                <w:sz w:val="20"/>
                <w:szCs w:val="20"/>
              </w:rPr>
              <w:t>17,398,019</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避險之金融資產</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9832F6">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附賣回票券及債券投資</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72,004</w:t>
            </w: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72,004</w:t>
            </w: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72,004</w:t>
            </w: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72,004</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9832F6">
        <w:trPr>
          <w:trHeight w:val="251"/>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應收款項</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1,086,737</w:t>
            </w: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1,086,737</w:t>
            </w: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3,544,240</w:t>
            </w:r>
          </w:p>
        </w:tc>
        <w:tc>
          <w:tcPr>
            <w:tcW w:w="1485" w:type="dxa"/>
            <w:vAlign w:val="center"/>
          </w:tcPr>
          <w:p w:rsidR="009832F6" w:rsidRPr="004D451D" w:rsidRDefault="009832F6" w:rsidP="009832F6">
            <w:pPr>
              <w:jc w:val="right"/>
              <w:rPr>
                <w:rFonts w:ascii="Arial" w:hAnsi="Arial" w:cs="Arial"/>
                <w:sz w:val="20"/>
                <w:szCs w:val="20"/>
              </w:rPr>
            </w:pPr>
            <w:r w:rsidRPr="004D451D">
              <w:rPr>
                <w:rFonts w:ascii="Arial" w:hAnsi="Arial" w:cs="Arial"/>
                <w:sz w:val="20"/>
                <w:szCs w:val="20"/>
              </w:rPr>
              <w:t>3,544,240</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本期所得稅資產</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待出售資產</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待分配予業主之資產-淨額</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貼現及放款</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155,045,855</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155,045,855</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155,045,855</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155,045,855</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貼現及放款</w:t>
            </w:r>
            <w:r w:rsidRPr="004D451D">
              <w:rPr>
                <w:rFonts w:ascii="標楷體" w:eastAsia="標楷體" w:hAnsi="標楷體"/>
                <w:sz w:val="18"/>
                <w:szCs w:val="18"/>
              </w:rPr>
              <w:t>-</w:t>
            </w:r>
            <w:r w:rsidRPr="004D451D">
              <w:rPr>
                <w:rFonts w:ascii="標楷體" w:eastAsia="標楷體" w:hAnsi="標楷體" w:hint="eastAsia"/>
                <w:sz w:val="18"/>
                <w:szCs w:val="18"/>
              </w:rPr>
              <w:t>總額</w:t>
            </w:r>
            <w:r w:rsidRPr="004D451D">
              <w:rPr>
                <w:rFonts w:ascii="標楷體" w:eastAsia="標楷體" w:hAnsi="標楷體"/>
                <w:sz w:val="18"/>
                <w:szCs w:val="18"/>
              </w:rPr>
              <w:t>(</w:t>
            </w:r>
            <w:r w:rsidRPr="004D451D">
              <w:rPr>
                <w:rFonts w:ascii="標楷體" w:eastAsia="標楷體" w:hAnsi="標楷體" w:hint="eastAsia"/>
                <w:sz w:val="18"/>
                <w:szCs w:val="18"/>
              </w:rPr>
              <w:t>含折溢價調整</w:t>
            </w:r>
            <w:r w:rsidRPr="004D451D">
              <w:rPr>
                <w:rFonts w:ascii="標楷體" w:eastAsia="標楷體" w:hAnsi="標楷體"/>
                <w:sz w:val="18"/>
                <w:szCs w:val="18"/>
              </w:rPr>
              <w:t>)</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157,477,156</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157,477,156</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備抵呆帳</w:t>
            </w:r>
            <w:r w:rsidRPr="004D451D">
              <w:rPr>
                <w:rFonts w:ascii="標楷體" w:eastAsia="標楷體" w:hAnsi="標楷體"/>
                <w:sz w:val="18"/>
                <w:szCs w:val="18"/>
              </w:rPr>
              <w:t>-</w:t>
            </w:r>
            <w:r w:rsidRPr="004D451D">
              <w:rPr>
                <w:rFonts w:ascii="標楷體" w:eastAsia="標楷體" w:hAnsi="標楷體" w:hint="eastAsia"/>
                <w:sz w:val="18"/>
                <w:szCs w:val="18"/>
              </w:rPr>
              <w:t>貼現及放款</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-2,431,302</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-2,431,302</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得列入第二類資本者</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50</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-464,293</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-464,293</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A7</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其他備抵呆帳</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-1,967,009</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-1,967,009</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採用權益法之投資</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1,176,492</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1,176,492</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對金融相關事業之資本投資</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1,176,492</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26c</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294,123</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A29</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41a</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A30</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56c</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588,246</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A31</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294,123</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A32</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A33</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其他採用權益法之投資</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受限制資產</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對金融相關事業之資本投資</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26c</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41a</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56c</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26d</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A39</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41b</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A40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56d</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A41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A42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A43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其他受限制資產</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其他金融資產</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tcBorders>
              <w:bottom w:val="single" w:sz="4" w:space="0" w:color="auto"/>
            </w:tcBorders>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564</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564</w:t>
            </w:r>
          </w:p>
        </w:tc>
        <w:tc>
          <w:tcPr>
            <w:tcW w:w="1485" w:type="dxa"/>
            <w:tcBorders>
              <w:bottom w:val="single" w:sz="4" w:space="0" w:color="auto"/>
            </w:tcBorders>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564</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564</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對金融相關事業之資本投資</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26c</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A44</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41a</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A45</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56c</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A46</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A47</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A48</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投資證券化受益證券或資產基礎證券其資產池中具有金融相關事業所發行之資本工具之約當帳列金額</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0</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自普通股權益扣除金額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26d</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A49</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自其他第一類資本扣除金額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41b</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A50</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自第二類資本扣除金額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56d</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A51</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其他第一類及第二類資本扣除不足數而自普通股權益扣除金額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27</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A52</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第二類資本扣除不足數而自其他第一類資本扣除金額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42</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hint="eastAsia"/>
                <w:sz w:val="18"/>
                <w:szCs w:val="18"/>
              </w:rPr>
              <w:t>A53</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其他金融資產</w:t>
            </w:r>
          </w:p>
        </w:tc>
        <w:tc>
          <w:tcPr>
            <w:tcW w:w="720" w:type="dxa"/>
          </w:tcPr>
          <w:p w:rsidR="009832F6" w:rsidRPr="004D451D" w:rsidRDefault="009832F6" w:rsidP="005545A5">
            <w:pPr>
              <w:jc w:val="center"/>
              <w:rPr>
                <w:rFonts w:ascii="標楷體" w:eastAsia="標楷體" w:hAnsi="標楷體"/>
                <w:sz w:val="18"/>
                <w:szCs w:val="18"/>
              </w:rPr>
            </w:pPr>
          </w:p>
        </w:tc>
        <w:tc>
          <w:tcPr>
            <w:tcW w:w="1485" w:type="dxa"/>
            <w:tcBorders>
              <w:bottom w:val="single" w:sz="4" w:space="0" w:color="auto"/>
            </w:tcBorders>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564</w:t>
            </w:r>
          </w:p>
        </w:tc>
        <w:tc>
          <w:tcPr>
            <w:tcW w:w="1485" w:type="dxa"/>
            <w:tcBorders>
              <w:bottom w:val="single" w:sz="4" w:space="0" w:color="auto"/>
            </w:tcBorders>
            <w:shd w:val="clear" w:color="auto" w:fill="A6A6A6" w:themeFill="background1" w:themeFillShade="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564</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不動產及設備-淨額</w:t>
            </w:r>
          </w:p>
        </w:tc>
        <w:tc>
          <w:tcPr>
            <w:tcW w:w="6012" w:type="dxa"/>
          </w:tcPr>
          <w:p w:rsidR="009832F6" w:rsidRPr="004D451D" w:rsidDel="00504149"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uto"/>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2,388,293</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2,388,293</w:t>
            </w:r>
          </w:p>
        </w:tc>
        <w:tc>
          <w:tcPr>
            <w:tcW w:w="1485" w:type="dxa"/>
            <w:shd w:val="clear" w:color="auto" w:fill="auto"/>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2,389,789</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2,389,789</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投資性不動產-淨額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無形資產</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商譽</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8</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A54</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無形資產</w:t>
            </w:r>
            <w:r w:rsidRPr="004D451D">
              <w:rPr>
                <w:rFonts w:ascii="標楷體" w:eastAsia="標楷體" w:hAnsi="標楷體"/>
                <w:sz w:val="18"/>
                <w:szCs w:val="18"/>
              </w:rPr>
              <w:t>(</w:t>
            </w:r>
            <w:r w:rsidRPr="004D451D">
              <w:rPr>
                <w:rFonts w:ascii="標楷體" w:eastAsia="標楷體" w:hAnsi="標楷體" w:hint="eastAsia"/>
                <w:sz w:val="18"/>
                <w:szCs w:val="18"/>
              </w:rPr>
              <w:t>排除商譽</w:t>
            </w:r>
            <w:r w:rsidRPr="004D451D">
              <w:rPr>
                <w:rFonts w:ascii="標楷體" w:eastAsia="標楷體" w:hAnsi="標楷體"/>
                <w:sz w:val="18"/>
                <w:szCs w:val="18"/>
              </w:rPr>
              <w:t>)</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9</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A55</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遞延所得稅資產</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287,606</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287,606</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288,797</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288,797</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視未來獲利狀況而定者</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一次扣除</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10</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A56</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20%</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10</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A56_1</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暫時性差異</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287,606</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288,797</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超過</w:t>
            </w:r>
            <w:r w:rsidRPr="004D451D">
              <w:rPr>
                <w:rFonts w:ascii="標楷體" w:eastAsia="標楷體" w:hAnsi="標楷體"/>
                <w:sz w:val="18"/>
                <w:szCs w:val="18"/>
              </w:rPr>
              <w:t>10%</w:t>
            </w:r>
            <w:r w:rsidRPr="004D451D">
              <w:rPr>
                <w:rFonts w:ascii="標楷體" w:eastAsia="標楷體" w:hAnsi="標楷體" w:hint="eastAsia"/>
                <w:sz w:val="18"/>
                <w:szCs w:val="18"/>
              </w:rPr>
              <w:t>限額數</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21</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A57</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超過</w:t>
            </w:r>
            <w:r w:rsidRPr="004D451D">
              <w:rPr>
                <w:rFonts w:ascii="標楷體" w:eastAsia="標楷體" w:hAnsi="標楷體"/>
                <w:sz w:val="18"/>
                <w:szCs w:val="18"/>
              </w:rPr>
              <w:t>15%</w:t>
            </w:r>
            <w:r w:rsidRPr="004D451D">
              <w:rPr>
                <w:rFonts w:ascii="標楷體" w:eastAsia="標楷體" w:hAnsi="標楷體" w:hint="eastAsia"/>
                <w:sz w:val="18"/>
                <w:szCs w:val="18"/>
              </w:rPr>
              <w:t>門檻數</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25</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A58</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低於扣除門檻金額</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75</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287,606</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288,797</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A59</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其他資產</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9832F6" w:rsidRPr="004D451D" w:rsidRDefault="009832F6" w:rsidP="005545A5">
            <w:pPr>
              <w:rPr>
                <w:rFonts w:ascii="標楷體" w:eastAsia="標楷體" w:hAnsi="標楷體"/>
                <w:sz w:val="18"/>
                <w:szCs w:val="18"/>
              </w:rPr>
            </w:pPr>
          </w:p>
        </w:tc>
        <w:tc>
          <w:tcPr>
            <w:tcW w:w="720" w:type="dxa"/>
          </w:tcPr>
          <w:p w:rsidR="009832F6" w:rsidRPr="004D451D" w:rsidRDefault="009832F6" w:rsidP="005545A5">
            <w:pPr>
              <w:jc w:val="center"/>
              <w:rPr>
                <w:rFonts w:ascii="標楷體" w:eastAsia="標楷體" w:hAnsi="標楷體"/>
                <w:sz w:val="18"/>
                <w:szCs w:val="18"/>
              </w:rPr>
            </w:pP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497,224</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497,224</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504,951</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504,951</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預付退休金</w:t>
            </w:r>
          </w:p>
        </w:tc>
        <w:tc>
          <w:tcPr>
            <w:tcW w:w="720" w:type="dxa"/>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15</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9832F6" w:rsidRPr="004D451D" w:rsidRDefault="009832F6" w:rsidP="005545A5">
            <w:pPr>
              <w:jc w:val="center"/>
              <w:rPr>
                <w:rFonts w:ascii="標楷體" w:eastAsia="標楷體" w:hAnsi="標楷體"/>
                <w:sz w:val="18"/>
                <w:szCs w:val="18"/>
              </w:rPr>
            </w:pPr>
            <w:r w:rsidRPr="004D451D">
              <w:rPr>
                <w:rFonts w:ascii="標楷體" w:eastAsia="標楷體" w:hAnsi="標楷體"/>
                <w:sz w:val="18"/>
                <w:szCs w:val="18"/>
              </w:rPr>
              <w:t>A60</w:t>
            </w:r>
          </w:p>
        </w:tc>
      </w:tr>
      <w:tr w:rsidR="004D451D" w:rsidRPr="004D451D" w:rsidTr="000D32E9">
        <w:trPr>
          <w:trHeight w:val="20"/>
        </w:trPr>
        <w:tc>
          <w:tcPr>
            <w:tcW w:w="586" w:type="dxa"/>
          </w:tcPr>
          <w:p w:rsidR="009832F6" w:rsidRPr="004D451D" w:rsidRDefault="009832F6" w:rsidP="005545A5">
            <w:pPr>
              <w:rPr>
                <w:rFonts w:ascii="標楷體" w:eastAsia="標楷體" w:hAnsi="標楷體"/>
                <w:sz w:val="18"/>
                <w:szCs w:val="18"/>
              </w:rPr>
            </w:pPr>
          </w:p>
        </w:tc>
        <w:tc>
          <w:tcPr>
            <w:tcW w:w="1701" w:type="dxa"/>
          </w:tcPr>
          <w:p w:rsidR="009832F6" w:rsidRPr="004D451D" w:rsidRDefault="009832F6" w:rsidP="005545A5">
            <w:pPr>
              <w:rPr>
                <w:rFonts w:ascii="標楷體" w:eastAsia="標楷體" w:hAnsi="標楷體"/>
                <w:sz w:val="18"/>
                <w:szCs w:val="18"/>
              </w:rPr>
            </w:pPr>
          </w:p>
        </w:tc>
        <w:tc>
          <w:tcPr>
            <w:tcW w:w="6012" w:type="dxa"/>
          </w:tcPr>
          <w:p w:rsidR="009832F6" w:rsidRPr="004D451D" w:rsidRDefault="009832F6" w:rsidP="005545A5">
            <w:pPr>
              <w:rPr>
                <w:rFonts w:ascii="標楷體" w:eastAsia="標楷體" w:hAnsi="標楷體"/>
                <w:sz w:val="18"/>
                <w:szCs w:val="18"/>
              </w:rPr>
            </w:pPr>
            <w:r w:rsidRPr="004D451D">
              <w:rPr>
                <w:rFonts w:ascii="標楷體" w:eastAsia="標楷體" w:hAnsi="標楷體" w:hint="eastAsia"/>
                <w:sz w:val="18"/>
                <w:szCs w:val="18"/>
              </w:rPr>
              <w:t>其他資產</w:t>
            </w:r>
          </w:p>
        </w:tc>
        <w:tc>
          <w:tcPr>
            <w:tcW w:w="720" w:type="dxa"/>
          </w:tcPr>
          <w:p w:rsidR="009832F6" w:rsidRPr="004D451D" w:rsidRDefault="009832F6" w:rsidP="005545A5">
            <w:pPr>
              <w:jc w:val="center"/>
              <w:rPr>
                <w:rFonts w:ascii="標楷體" w:eastAsia="標楷體" w:hAnsi="標楷體"/>
                <w:sz w:val="18"/>
                <w:szCs w:val="18"/>
              </w:rPr>
            </w:pP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497,224</w:t>
            </w:r>
          </w:p>
        </w:tc>
        <w:tc>
          <w:tcPr>
            <w:tcW w:w="1485" w:type="dxa"/>
            <w:shd w:val="clear" w:color="auto" w:fill="A6A6A6"/>
            <w:vAlign w:val="center"/>
          </w:tcPr>
          <w:p w:rsidR="009832F6" w:rsidRPr="004D451D" w:rsidRDefault="009832F6">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504,951</w:t>
            </w:r>
          </w:p>
        </w:tc>
        <w:tc>
          <w:tcPr>
            <w:tcW w:w="720" w:type="dxa"/>
            <w:noWrap/>
            <w:vAlign w:val="center"/>
          </w:tcPr>
          <w:p w:rsidR="009832F6" w:rsidRPr="004D451D" w:rsidRDefault="009832F6" w:rsidP="005545A5">
            <w:pPr>
              <w:jc w:val="center"/>
              <w:rPr>
                <w:rFonts w:ascii="標楷體" w:eastAsia="標楷體" w:hAnsi="標楷體"/>
                <w:sz w:val="18"/>
                <w:szCs w:val="18"/>
              </w:rPr>
            </w:pPr>
          </w:p>
        </w:tc>
      </w:tr>
      <w:tr w:rsidR="004D451D" w:rsidRPr="004D451D" w:rsidTr="000D32E9">
        <w:trPr>
          <w:trHeight w:val="20"/>
        </w:trPr>
        <w:tc>
          <w:tcPr>
            <w:tcW w:w="2287" w:type="dxa"/>
            <w:gridSpan w:val="2"/>
          </w:tcPr>
          <w:p w:rsidR="009832F6" w:rsidRPr="004D451D" w:rsidRDefault="009832F6" w:rsidP="005545A5">
            <w:pPr>
              <w:rPr>
                <w:rFonts w:ascii="標楷體" w:eastAsia="標楷體" w:hAnsi="標楷體" w:cs="新細明體"/>
                <w:b/>
                <w:bCs/>
                <w:sz w:val="18"/>
                <w:szCs w:val="18"/>
              </w:rPr>
            </w:pPr>
            <w:r w:rsidRPr="004D451D">
              <w:rPr>
                <w:rFonts w:ascii="標楷體" w:eastAsia="標楷體" w:hAnsi="標楷體" w:hint="eastAsia"/>
                <w:b/>
                <w:bCs/>
                <w:sz w:val="18"/>
                <w:szCs w:val="18"/>
              </w:rPr>
              <w:t>資產總計</w:t>
            </w:r>
          </w:p>
        </w:tc>
        <w:tc>
          <w:tcPr>
            <w:tcW w:w="6012" w:type="dxa"/>
          </w:tcPr>
          <w:p w:rsidR="009832F6" w:rsidRPr="004D451D" w:rsidRDefault="009832F6" w:rsidP="005545A5">
            <w:pPr>
              <w:rPr>
                <w:rFonts w:ascii="標楷體" w:eastAsia="標楷體" w:hAnsi="標楷體" w:cs="新細明體"/>
                <w:sz w:val="18"/>
                <w:szCs w:val="18"/>
              </w:rPr>
            </w:pPr>
          </w:p>
        </w:tc>
        <w:tc>
          <w:tcPr>
            <w:tcW w:w="720" w:type="dxa"/>
          </w:tcPr>
          <w:p w:rsidR="009832F6" w:rsidRPr="004D451D" w:rsidRDefault="009832F6" w:rsidP="005545A5">
            <w:pPr>
              <w:jc w:val="center"/>
              <w:rPr>
                <w:rFonts w:ascii="標楷體" w:eastAsia="標楷體" w:hAnsi="標楷體" w:cs="新細明體"/>
                <w:sz w:val="18"/>
                <w:szCs w:val="18"/>
              </w:rPr>
            </w:pP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275,237,799</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275,237,799</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276,999,699</w:t>
            </w:r>
          </w:p>
        </w:tc>
        <w:tc>
          <w:tcPr>
            <w:tcW w:w="1485" w:type="dxa"/>
            <w:vAlign w:val="center"/>
          </w:tcPr>
          <w:p w:rsidR="009832F6" w:rsidRPr="004D451D" w:rsidRDefault="009832F6">
            <w:pPr>
              <w:jc w:val="right"/>
              <w:rPr>
                <w:rFonts w:ascii="Arial" w:hAnsi="Arial" w:cs="Arial"/>
                <w:sz w:val="20"/>
                <w:szCs w:val="20"/>
              </w:rPr>
            </w:pPr>
            <w:r w:rsidRPr="004D451D">
              <w:rPr>
                <w:rFonts w:ascii="Arial" w:hAnsi="Arial" w:cs="Arial"/>
                <w:sz w:val="20"/>
                <w:szCs w:val="20"/>
              </w:rPr>
              <w:t>276,999,699</w:t>
            </w:r>
          </w:p>
        </w:tc>
        <w:tc>
          <w:tcPr>
            <w:tcW w:w="720" w:type="dxa"/>
            <w:noWrap/>
            <w:vAlign w:val="center"/>
          </w:tcPr>
          <w:p w:rsidR="009832F6" w:rsidRPr="004D451D" w:rsidRDefault="009832F6" w:rsidP="005545A5">
            <w:pPr>
              <w:jc w:val="center"/>
              <w:rPr>
                <w:rFonts w:ascii="標楷體" w:eastAsia="標楷體" w:hAnsi="標楷體" w:cs="新細明體"/>
                <w:sz w:val="18"/>
                <w:szCs w:val="18"/>
              </w:rPr>
            </w:pPr>
          </w:p>
        </w:tc>
      </w:tr>
      <w:tr w:rsidR="004D451D" w:rsidRPr="004D451D" w:rsidTr="005545A5">
        <w:trPr>
          <w:trHeight w:val="20"/>
        </w:trPr>
        <w:tc>
          <w:tcPr>
            <w:tcW w:w="2287" w:type="dxa"/>
            <w:gridSpan w:val="2"/>
          </w:tcPr>
          <w:p w:rsidR="005545A5" w:rsidRPr="004D451D" w:rsidRDefault="005545A5" w:rsidP="005545A5">
            <w:pPr>
              <w:rPr>
                <w:rFonts w:ascii="標楷體" w:eastAsia="標楷體" w:hAnsi="標楷體" w:cs="新細明體"/>
                <w:b/>
                <w:bCs/>
                <w:sz w:val="18"/>
                <w:szCs w:val="18"/>
              </w:rPr>
            </w:pPr>
            <w:r w:rsidRPr="004D451D">
              <w:rPr>
                <w:rFonts w:ascii="標楷體" w:eastAsia="標楷體" w:hAnsi="標楷體" w:hint="eastAsia"/>
                <w:b/>
                <w:bCs/>
                <w:sz w:val="18"/>
                <w:szCs w:val="18"/>
              </w:rPr>
              <w:t>負債</w:t>
            </w:r>
          </w:p>
        </w:tc>
        <w:tc>
          <w:tcPr>
            <w:tcW w:w="6012" w:type="dxa"/>
          </w:tcPr>
          <w:p w:rsidR="005545A5" w:rsidRPr="004D451D" w:rsidRDefault="005545A5" w:rsidP="005545A5">
            <w:pPr>
              <w:rPr>
                <w:rFonts w:ascii="標楷體" w:eastAsia="標楷體" w:hAnsi="標楷體" w:cs="新細明體"/>
                <w:sz w:val="18"/>
                <w:szCs w:val="18"/>
              </w:rPr>
            </w:pPr>
          </w:p>
        </w:tc>
        <w:tc>
          <w:tcPr>
            <w:tcW w:w="720" w:type="dxa"/>
          </w:tcPr>
          <w:p w:rsidR="005545A5" w:rsidRPr="004D451D" w:rsidRDefault="005545A5" w:rsidP="005545A5">
            <w:pPr>
              <w:jc w:val="center"/>
              <w:rPr>
                <w:rFonts w:ascii="標楷體" w:eastAsia="標楷體" w:hAnsi="標楷體" w:cs="新細明體"/>
                <w:sz w:val="18"/>
                <w:szCs w:val="18"/>
              </w:rPr>
            </w:pPr>
          </w:p>
        </w:tc>
        <w:tc>
          <w:tcPr>
            <w:tcW w:w="1485" w:type="dxa"/>
          </w:tcPr>
          <w:p w:rsidR="005545A5" w:rsidRPr="004D451D" w:rsidRDefault="005545A5" w:rsidP="005545A5">
            <w:pPr>
              <w:jc w:val="right"/>
              <w:rPr>
                <w:rFonts w:ascii="標楷體" w:eastAsia="標楷體" w:hAnsi="標楷體" w:cs="新細明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cs="新細明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cs="新細明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cs="新細明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cs="新細明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cs="新細明體"/>
                <w:sz w:val="18"/>
                <w:szCs w:val="18"/>
              </w:rPr>
            </w:pPr>
          </w:p>
        </w:tc>
        <w:tc>
          <w:tcPr>
            <w:tcW w:w="1701" w:type="dxa"/>
          </w:tcPr>
          <w:p w:rsidR="000D32E9" w:rsidRPr="004D451D" w:rsidRDefault="000D32E9" w:rsidP="005545A5">
            <w:pPr>
              <w:rPr>
                <w:rFonts w:ascii="標楷體" w:eastAsia="標楷體" w:hAnsi="標楷體" w:cs="新細明體"/>
                <w:sz w:val="18"/>
                <w:szCs w:val="18"/>
              </w:rPr>
            </w:pPr>
            <w:r w:rsidRPr="004D451D">
              <w:rPr>
                <w:rFonts w:ascii="標楷體" w:eastAsia="標楷體" w:hAnsi="標楷體" w:hint="eastAsia"/>
                <w:sz w:val="18"/>
                <w:szCs w:val="18"/>
              </w:rPr>
              <w:t>央行及銀行同業存款</w:t>
            </w:r>
          </w:p>
        </w:tc>
        <w:tc>
          <w:tcPr>
            <w:tcW w:w="6012" w:type="dxa"/>
          </w:tcPr>
          <w:p w:rsidR="000D32E9" w:rsidRPr="004D451D" w:rsidRDefault="000D32E9" w:rsidP="005545A5">
            <w:pPr>
              <w:rPr>
                <w:rFonts w:ascii="標楷體" w:eastAsia="標楷體" w:hAnsi="標楷體" w:cs="新細明體"/>
                <w:sz w:val="18"/>
                <w:szCs w:val="18"/>
              </w:rPr>
            </w:pPr>
          </w:p>
        </w:tc>
        <w:tc>
          <w:tcPr>
            <w:tcW w:w="720" w:type="dxa"/>
          </w:tcPr>
          <w:p w:rsidR="000D32E9" w:rsidRPr="004D451D" w:rsidRDefault="000D32E9" w:rsidP="005545A5">
            <w:pPr>
              <w:jc w:val="center"/>
              <w:rPr>
                <w:rFonts w:ascii="標楷體" w:eastAsia="標楷體" w:hAnsi="標楷體" w:cs="新細明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22,455,293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22,455,293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22,455,293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22,455,293</w:t>
            </w:r>
          </w:p>
        </w:tc>
        <w:tc>
          <w:tcPr>
            <w:tcW w:w="720" w:type="dxa"/>
            <w:noWrap/>
            <w:vAlign w:val="center"/>
          </w:tcPr>
          <w:p w:rsidR="000D32E9" w:rsidRPr="004D451D" w:rsidRDefault="000D32E9" w:rsidP="005545A5">
            <w:pPr>
              <w:jc w:val="center"/>
              <w:rPr>
                <w:rFonts w:ascii="標楷體" w:eastAsia="標楷體" w:hAnsi="標楷體" w:cs="新細明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央行及同業融資</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2,897,500</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2,897,500</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3,727,500</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3,727,500</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透過損益按公允價值衡量之金融負債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12,381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12,381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12,381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12,381</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母公司發行可計入資本之工具</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30</w:t>
            </w:r>
            <w:r w:rsidRPr="004D451D">
              <w:rPr>
                <w:rFonts w:ascii="標楷體" w:eastAsia="標楷體" w:hAnsi="標楷體" w:hint="eastAsia"/>
                <w:sz w:val="18"/>
                <w:szCs w:val="18"/>
              </w:rPr>
              <w:t>、</w:t>
            </w:r>
            <w:r w:rsidRPr="004D451D">
              <w:rPr>
                <w:rFonts w:ascii="標楷體" w:eastAsia="標楷體" w:hAnsi="標楷體"/>
                <w:sz w:val="18"/>
                <w:szCs w:val="18"/>
              </w:rPr>
              <w:t>32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33</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46</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子公司發行之資本工具非由母公司持有</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r w:rsidRPr="004D451D">
              <w:rPr>
                <w:rFonts w:ascii="標楷體" w:eastAsia="標楷體" w:hAnsi="標楷體"/>
                <w:sz w:val="18"/>
                <w:szCs w:val="18"/>
              </w:rPr>
              <w:t xml:space="preserve"> </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r w:rsidRPr="004D451D">
              <w:rPr>
                <w:rFonts w:ascii="標楷體" w:eastAsia="標楷體" w:hAnsi="標楷體" w:hint="eastAsia"/>
                <w:sz w:val="18"/>
                <w:szCs w:val="18"/>
              </w:rPr>
              <w:t>、</w:t>
            </w:r>
            <w:r w:rsidRPr="004D451D">
              <w:rPr>
                <w:rFonts w:ascii="標楷體" w:eastAsia="標楷體" w:hAnsi="標楷體"/>
                <w:sz w:val="18"/>
                <w:szCs w:val="18"/>
              </w:rPr>
              <w:t>35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r w:rsidRPr="004D451D">
              <w:rPr>
                <w:rFonts w:ascii="標楷體" w:eastAsia="標楷體" w:hAnsi="標楷體" w:hint="eastAsia"/>
                <w:sz w:val="18"/>
                <w:szCs w:val="18"/>
              </w:rPr>
              <w:t>、</w:t>
            </w:r>
            <w:r w:rsidRPr="004D451D">
              <w:rPr>
                <w:rFonts w:ascii="標楷體" w:eastAsia="標楷體" w:hAnsi="標楷體"/>
                <w:sz w:val="18"/>
                <w:szCs w:val="18"/>
              </w:rPr>
              <w:t>49</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非控制權益之資本溢額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評價調整</w:t>
            </w:r>
            <w:r w:rsidRPr="004D451D">
              <w:rPr>
                <w:rFonts w:ascii="標楷體" w:eastAsia="標楷體" w:hAnsi="標楷體"/>
                <w:sz w:val="18"/>
                <w:szCs w:val="18"/>
              </w:rPr>
              <w:t>-</w:t>
            </w:r>
            <w:r w:rsidRPr="004D451D">
              <w:rPr>
                <w:rFonts w:ascii="標楷體" w:eastAsia="標楷體" w:hAnsi="標楷體" w:hint="eastAsia"/>
                <w:sz w:val="18"/>
                <w:szCs w:val="18"/>
              </w:rPr>
              <w:t>因銀行自身信用風險改變而產生者</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14</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A69</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其他透過損益按公允價值衡量之金融負債</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12,381</w:t>
            </w:r>
          </w:p>
        </w:tc>
        <w:tc>
          <w:tcPr>
            <w:tcW w:w="1485" w:type="dxa"/>
            <w:shd w:val="clear" w:color="auto" w:fill="A6A6A6"/>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12,381</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避險之金融負債</w:t>
            </w:r>
            <w:r w:rsidRPr="004D451D">
              <w:rPr>
                <w:rFonts w:ascii="標楷體" w:eastAsia="標楷體" w:hAnsi="標楷體"/>
                <w:sz w:val="18"/>
                <w:szCs w:val="18"/>
              </w:rPr>
              <w:t>-</w:t>
            </w:r>
            <w:r w:rsidRPr="004D451D">
              <w:rPr>
                <w:rFonts w:ascii="標楷體" w:eastAsia="標楷體" w:hAnsi="標楷體" w:hint="eastAsia"/>
                <w:sz w:val="18"/>
                <w:szCs w:val="18"/>
              </w:rPr>
              <w:t>淨額</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附買回票券及債券負債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27,359,218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27,359,218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27,359,218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27,359,218</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應付款項</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2,402,068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2,402,068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2,409,862</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2,409,862</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本期所得稅負債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498,168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498,168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527,922</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527,922</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與待出售資產直接相關之負債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存款及匯款</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182,614,501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182,614,501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182,178,046</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182,178,046</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應付金融債券</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母公司發行</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30</w:t>
            </w:r>
            <w:r w:rsidRPr="004D451D">
              <w:rPr>
                <w:rFonts w:ascii="標楷體" w:eastAsia="標楷體" w:hAnsi="標楷體" w:hint="eastAsia"/>
                <w:sz w:val="18"/>
                <w:szCs w:val="18"/>
              </w:rPr>
              <w:t>、</w:t>
            </w:r>
            <w:r w:rsidRPr="004D451D">
              <w:rPr>
                <w:rFonts w:ascii="標楷體" w:eastAsia="標楷體" w:hAnsi="標楷體"/>
                <w:sz w:val="18"/>
                <w:szCs w:val="18"/>
              </w:rPr>
              <w:t>32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33</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46</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應付金融債券</w:t>
            </w:r>
            <w:r w:rsidRPr="004D451D">
              <w:rPr>
                <w:rFonts w:ascii="標楷體" w:eastAsia="標楷體" w:hAnsi="標楷體"/>
                <w:sz w:val="18"/>
                <w:szCs w:val="18"/>
              </w:rPr>
              <w:t>(</w:t>
            </w:r>
            <w:r w:rsidRPr="004D451D">
              <w:rPr>
                <w:rFonts w:ascii="標楷體" w:eastAsia="標楷體" w:hAnsi="標楷體" w:hint="eastAsia"/>
                <w:sz w:val="18"/>
                <w:szCs w:val="18"/>
              </w:rPr>
              <w:t>排除可計入資本者</w:t>
            </w:r>
            <w:r w:rsidRPr="004D451D">
              <w:rPr>
                <w:rFonts w:ascii="標楷體" w:eastAsia="標楷體" w:hAnsi="標楷體"/>
                <w:sz w:val="18"/>
                <w:szCs w:val="18"/>
              </w:rPr>
              <w:t>)</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子公司發行非由母公司持有</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r w:rsidRPr="004D451D">
              <w:rPr>
                <w:rFonts w:ascii="標楷體" w:eastAsia="標楷體" w:hAnsi="標楷體" w:hint="eastAsia"/>
                <w:sz w:val="18"/>
                <w:szCs w:val="18"/>
              </w:rPr>
              <w:t>、</w:t>
            </w:r>
            <w:r w:rsidRPr="004D451D">
              <w:rPr>
                <w:rFonts w:ascii="標楷體" w:eastAsia="標楷體" w:hAnsi="標楷體"/>
                <w:sz w:val="18"/>
                <w:szCs w:val="18"/>
              </w:rPr>
              <w:t>35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r w:rsidRPr="004D451D">
              <w:rPr>
                <w:rFonts w:ascii="標楷體" w:eastAsia="標楷體" w:hAnsi="標楷體" w:hint="eastAsia"/>
                <w:sz w:val="18"/>
                <w:szCs w:val="18"/>
              </w:rPr>
              <w:t>、</w:t>
            </w:r>
            <w:r w:rsidRPr="004D451D">
              <w:rPr>
                <w:rFonts w:ascii="標楷體" w:eastAsia="標楷體" w:hAnsi="標楷體"/>
                <w:sz w:val="18"/>
                <w:szCs w:val="18"/>
              </w:rPr>
              <w:t>49</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非控制權益之資本溢額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應付金融債券</w:t>
            </w:r>
            <w:r w:rsidRPr="004D451D">
              <w:rPr>
                <w:rFonts w:ascii="標楷體" w:eastAsia="標楷體" w:hAnsi="標楷體"/>
                <w:sz w:val="18"/>
                <w:szCs w:val="18"/>
              </w:rPr>
              <w:t>(</w:t>
            </w:r>
            <w:r w:rsidRPr="004D451D">
              <w:rPr>
                <w:rFonts w:ascii="標楷體" w:eastAsia="標楷體" w:hAnsi="標楷體" w:hint="eastAsia"/>
                <w:sz w:val="18"/>
                <w:szCs w:val="18"/>
              </w:rPr>
              <w:t>排除可計入資本者及非控制權益之資本溢額</w:t>
            </w:r>
            <w:r w:rsidRPr="004D451D">
              <w:rPr>
                <w:rFonts w:ascii="標楷體" w:eastAsia="標楷體" w:hAnsi="標楷體"/>
                <w:sz w:val="18"/>
                <w:szCs w:val="18"/>
              </w:rPr>
              <w:t>)</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特別股負債</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母公司發行</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30</w:t>
            </w:r>
            <w:r w:rsidRPr="004D451D">
              <w:rPr>
                <w:rFonts w:ascii="標楷體" w:eastAsia="標楷體" w:hAnsi="標楷體" w:hint="eastAsia"/>
                <w:sz w:val="18"/>
                <w:szCs w:val="18"/>
              </w:rPr>
              <w:t>、</w:t>
            </w:r>
            <w:r w:rsidRPr="004D451D">
              <w:rPr>
                <w:rFonts w:ascii="標楷體" w:eastAsia="標楷體" w:hAnsi="標楷體"/>
                <w:sz w:val="18"/>
                <w:szCs w:val="18"/>
              </w:rPr>
              <w:t>32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33</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A79</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46</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特別股負債</w:t>
            </w:r>
            <w:r w:rsidRPr="004D451D">
              <w:rPr>
                <w:rFonts w:ascii="標楷體" w:eastAsia="標楷體" w:hAnsi="標楷體"/>
                <w:sz w:val="18"/>
                <w:szCs w:val="18"/>
              </w:rPr>
              <w:t>(</w:t>
            </w:r>
            <w:r w:rsidRPr="004D451D">
              <w:rPr>
                <w:rFonts w:ascii="標楷體" w:eastAsia="標楷體" w:hAnsi="標楷體" w:hint="eastAsia"/>
                <w:sz w:val="18"/>
                <w:szCs w:val="18"/>
              </w:rPr>
              <w:t>排除可計入資本者</w:t>
            </w:r>
            <w:r w:rsidRPr="004D451D">
              <w:rPr>
                <w:rFonts w:ascii="標楷體" w:eastAsia="標楷體" w:hAnsi="標楷體"/>
                <w:sz w:val="18"/>
                <w:szCs w:val="18"/>
              </w:rPr>
              <w:t>)</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子公司發行非由母公司持有</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r w:rsidRPr="004D451D">
              <w:rPr>
                <w:rFonts w:ascii="標楷體" w:eastAsia="標楷體" w:hAnsi="標楷體" w:hint="eastAsia"/>
                <w:sz w:val="18"/>
                <w:szCs w:val="18"/>
              </w:rPr>
              <w:t>、</w:t>
            </w:r>
            <w:r w:rsidRPr="004D451D">
              <w:rPr>
                <w:rFonts w:ascii="標楷體" w:eastAsia="標楷體" w:hAnsi="標楷體"/>
                <w:sz w:val="18"/>
                <w:szCs w:val="18"/>
              </w:rPr>
              <w:t>35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r w:rsidRPr="004D451D">
              <w:rPr>
                <w:rFonts w:ascii="標楷體" w:eastAsia="標楷體" w:hAnsi="標楷體" w:hint="eastAsia"/>
                <w:sz w:val="18"/>
                <w:szCs w:val="18"/>
              </w:rPr>
              <w:t>、</w:t>
            </w:r>
            <w:r w:rsidRPr="004D451D">
              <w:rPr>
                <w:rFonts w:ascii="標楷體" w:eastAsia="標楷體" w:hAnsi="標楷體"/>
                <w:sz w:val="18"/>
                <w:szCs w:val="18"/>
              </w:rPr>
              <w:t>49</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A85</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非控制權益之資本溢額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特別股負債</w:t>
            </w:r>
            <w:r w:rsidRPr="004D451D">
              <w:rPr>
                <w:rFonts w:ascii="標楷體" w:eastAsia="標楷體" w:hAnsi="標楷體"/>
                <w:sz w:val="18"/>
                <w:szCs w:val="18"/>
              </w:rPr>
              <w:t>(</w:t>
            </w:r>
            <w:r w:rsidRPr="004D451D">
              <w:rPr>
                <w:rFonts w:ascii="標楷體" w:eastAsia="標楷體" w:hAnsi="標楷體" w:hint="eastAsia"/>
                <w:sz w:val="18"/>
                <w:szCs w:val="18"/>
              </w:rPr>
              <w:t>排除可計入資本者及非控制權益之資本溢額</w:t>
            </w:r>
            <w:r w:rsidRPr="004D451D">
              <w:rPr>
                <w:rFonts w:ascii="標楷體" w:eastAsia="標楷體" w:hAnsi="標楷體"/>
                <w:sz w:val="18"/>
                <w:szCs w:val="18"/>
              </w:rPr>
              <w:t>)</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其他金融負債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1,290,000</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1,290,000</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負債準備</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435,295</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435,295</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435,295</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435,295</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遞延所得稅負債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74,774</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74,774</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74,774</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74,774</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可抵減</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無形資產</w:t>
            </w:r>
            <w:r w:rsidRPr="004D451D">
              <w:rPr>
                <w:rFonts w:ascii="標楷體" w:eastAsia="標楷體" w:hAnsi="標楷體"/>
                <w:sz w:val="18"/>
                <w:szCs w:val="18"/>
              </w:rPr>
              <w:t>-</w:t>
            </w:r>
            <w:r w:rsidRPr="004D451D">
              <w:rPr>
                <w:rFonts w:ascii="標楷體" w:eastAsia="標楷體" w:hAnsi="標楷體" w:hint="eastAsia"/>
                <w:sz w:val="18"/>
                <w:szCs w:val="18"/>
              </w:rPr>
              <w:t>商譽</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8</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無形資產</w:t>
            </w:r>
            <w:r w:rsidRPr="004D451D">
              <w:rPr>
                <w:rFonts w:ascii="標楷體" w:eastAsia="標楷體" w:hAnsi="標楷體"/>
                <w:sz w:val="18"/>
                <w:szCs w:val="18"/>
              </w:rPr>
              <w:t>(</w:t>
            </w:r>
            <w:r w:rsidRPr="004D451D">
              <w:rPr>
                <w:rFonts w:ascii="標楷體" w:eastAsia="標楷體" w:hAnsi="標楷體" w:hint="eastAsia"/>
                <w:sz w:val="18"/>
                <w:szCs w:val="18"/>
              </w:rPr>
              <w:t>排除商譽</w:t>
            </w:r>
            <w:r w:rsidRPr="004D451D">
              <w:rPr>
                <w:rFonts w:ascii="標楷體" w:eastAsia="標楷體" w:hAnsi="標楷體"/>
                <w:sz w:val="18"/>
                <w:szCs w:val="18"/>
              </w:rPr>
              <w:t>)</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9</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預付退休金</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視未來獲利狀況而定者</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一次扣除</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10</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A89</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20%</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10</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A89_1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暫時性差異</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超過</w:t>
            </w:r>
            <w:r w:rsidRPr="004D451D">
              <w:rPr>
                <w:rFonts w:ascii="標楷體" w:eastAsia="標楷體" w:hAnsi="標楷體"/>
                <w:sz w:val="18"/>
                <w:szCs w:val="18"/>
              </w:rPr>
              <w:t>10%</w:t>
            </w:r>
            <w:r w:rsidRPr="004D451D">
              <w:rPr>
                <w:rFonts w:ascii="標楷體" w:eastAsia="標楷體" w:hAnsi="標楷體" w:hint="eastAsia"/>
                <w:sz w:val="18"/>
                <w:szCs w:val="18"/>
              </w:rPr>
              <w:t>限額數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21</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超過</w:t>
            </w:r>
            <w:r w:rsidRPr="004D451D">
              <w:rPr>
                <w:rFonts w:ascii="標楷體" w:eastAsia="標楷體" w:hAnsi="標楷體"/>
                <w:sz w:val="18"/>
                <w:szCs w:val="18"/>
              </w:rPr>
              <w:t>15%</w:t>
            </w:r>
            <w:r w:rsidRPr="004D451D">
              <w:rPr>
                <w:rFonts w:ascii="標楷體" w:eastAsia="標楷體" w:hAnsi="標楷體" w:hint="eastAsia"/>
                <w:sz w:val="18"/>
                <w:szCs w:val="18"/>
              </w:rPr>
              <w:t>門檻數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低於扣除門檻金額</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75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A92</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不可抵減</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74,774</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74,774</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其他負債</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282,901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282,901</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323,708</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323,708</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2287" w:type="dxa"/>
            <w:gridSpan w:val="2"/>
          </w:tcPr>
          <w:p w:rsidR="000D32E9" w:rsidRPr="004D451D" w:rsidRDefault="000D32E9" w:rsidP="005545A5">
            <w:pPr>
              <w:rPr>
                <w:rFonts w:ascii="標楷體" w:eastAsia="標楷體" w:hAnsi="標楷體"/>
                <w:b/>
                <w:bCs/>
                <w:sz w:val="18"/>
                <w:szCs w:val="18"/>
              </w:rPr>
            </w:pPr>
            <w:r w:rsidRPr="004D451D">
              <w:rPr>
                <w:rFonts w:ascii="標楷體" w:eastAsia="標楷體" w:hAnsi="標楷體" w:hint="eastAsia"/>
                <w:b/>
                <w:bCs/>
                <w:sz w:val="18"/>
                <w:szCs w:val="18"/>
              </w:rPr>
              <w:t>負債總計</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239,032,100</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239,032,100</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240,793,999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240,793,999</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2287" w:type="dxa"/>
            <w:gridSpan w:val="2"/>
          </w:tcPr>
          <w:p w:rsidR="005545A5" w:rsidRPr="004D451D" w:rsidRDefault="005545A5" w:rsidP="005545A5">
            <w:pPr>
              <w:rPr>
                <w:rFonts w:ascii="標楷體" w:eastAsia="標楷體" w:hAnsi="標楷體"/>
                <w:b/>
                <w:bCs/>
                <w:sz w:val="18"/>
                <w:szCs w:val="18"/>
              </w:rPr>
            </w:pPr>
            <w:r w:rsidRPr="004D451D">
              <w:rPr>
                <w:rFonts w:ascii="標楷體" w:eastAsia="標楷體" w:hAnsi="標楷體" w:hint="eastAsia"/>
                <w:b/>
                <w:bCs/>
                <w:sz w:val="18"/>
                <w:szCs w:val="18"/>
              </w:rPr>
              <w:t>權益</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歸屬於母公司業主之權益</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股本</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合格普通股權益第一類資本</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hint="eastAsia"/>
                <w:sz w:val="18"/>
                <w:szCs w:val="18"/>
              </w:rPr>
              <w:t>1</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720" w:type="dxa"/>
            <w:noWrap/>
            <w:vAlign w:val="center"/>
          </w:tcPr>
          <w:p w:rsidR="000D32E9" w:rsidRPr="004D451D" w:rsidRDefault="000D32E9" w:rsidP="005545A5">
            <w:pPr>
              <w:jc w:val="center"/>
              <w:rPr>
                <w:rFonts w:ascii="標楷體" w:eastAsia="標楷體" w:hAnsi="標楷體"/>
                <w:strike/>
                <w:sz w:val="18"/>
                <w:szCs w:val="18"/>
              </w:rPr>
            </w:pPr>
            <w:r w:rsidRPr="004D451D">
              <w:rPr>
                <w:rFonts w:ascii="標楷體" w:eastAsia="標楷體" w:hAnsi="標楷體" w:hint="eastAsia"/>
                <w:sz w:val="18"/>
                <w:szCs w:val="18"/>
              </w:rPr>
              <w:t>A93</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其他第一類資本</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30</w:t>
            </w:r>
            <w:r w:rsidRPr="004D451D">
              <w:rPr>
                <w:rFonts w:ascii="標楷體" w:eastAsia="標楷體" w:hAnsi="標楷體" w:hint="eastAsia"/>
                <w:sz w:val="18"/>
                <w:szCs w:val="18"/>
              </w:rPr>
              <w:t>、</w:t>
            </w:r>
            <w:r w:rsidRPr="004D451D">
              <w:rPr>
                <w:rFonts w:ascii="標楷體" w:eastAsia="標楷體" w:hAnsi="標楷體"/>
                <w:sz w:val="18"/>
                <w:szCs w:val="18"/>
              </w:rPr>
              <w:t>31</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A94</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33</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A95</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第二類資本</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46</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A95_1</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47</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A95_2</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不得計入自有資本之股本</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資本公積</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74,856</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74,856</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74,856</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74,856</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股本溢價</w:t>
            </w:r>
            <w:r w:rsidRPr="004D451D">
              <w:rPr>
                <w:rFonts w:ascii="標楷體" w:eastAsia="標楷體" w:hAnsi="標楷體"/>
                <w:sz w:val="18"/>
                <w:szCs w:val="18"/>
              </w:rPr>
              <w:t>-</w:t>
            </w:r>
            <w:r w:rsidRPr="004D451D">
              <w:rPr>
                <w:rFonts w:ascii="標楷體" w:eastAsia="標楷體" w:hAnsi="標楷體" w:hint="eastAsia"/>
                <w:sz w:val="18"/>
                <w:szCs w:val="18"/>
              </w:rPr>
              <w:t>合格普通股權益第一類資本</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A96</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股本溢價</w:t>
            </w:r>
            <w:r w:rsidRPr="004D451D">
              <w:rPr>
                <w:rFonts w:ascii="標楷體" w:eastAsia="標楷體" w:hAnsi="標楷體"/>
                <w:sz w:val="18"/>
                <w:szCs w:val="18"/>
              </w:rPr>
              <w:t>-</w:t>
            </w:r>
            <w:r w:rsidRPr="004D451D">
              <w:rPr>
                <w:rFonts w:ascii="標楷體" w:eastAsia="標楷體" w:hAnsi="標楷體" w:hint="eastAsia"/>
                <w:sz w:val="18"/>
                <w:szCs w:val="18"/>
              </w:rPr>
              <w:t>其他第一類資本</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30</w:t>
            </w:r>
            <w:r w:rsidRPr="004D451D">
              <w:rPr>
                <w:rFonts w:ascii="標楷體" w:eastAsia="標楷體" w:hAnsi="標楷體" w:hint="eastAsia"/>
                <w:sz w:val="18"/>
                <w:szCs w:val="18"/>
              </w:rPr>
              <w:t>、</w:t>
            </w:r>
            <w:r w:rsidRPr="004D451D">
              <w:rPr>
                <w:rFonts w:ascii="標楷體" w:eastAsia="標楷體" w:hAnsi="標楷體"/>
                <w:sz w:val="18"/>
                <w:szCs w:val="18"/>
              </w:rPr>
              <w:t>31</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A97</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之其他第一類資本工具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33</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A98</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股本溢價</w:t>
            </w:r>
            <w:r w:rsidRPr="004D451D">
              <w:rPr>
                <w:rFonts w:ascii="標楷體" w:eastAsia="標楷體" w:hAnsi="標楷體"/>
                <w:sz w:val="18"/>
                <w:szCs w:val="18"/>
              </w:rPr>
              <w:t>-</w:t>
            </w:r>
            <w:r w:rsidRPr="004D451D">
              <w:rPr>
                <w:rFonts w:ascii="標楷體" w:eastAsia="標楷體" w:hAnsi="標楷體" w:hint="eastAsia"/>
                <w:sz w:val="18"/>
                <w:szCs w:val="18"/>
              </w:rPr>
              <w:t>第二類資本</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合格第二類資本工具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46</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A98_1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自</w:t>
            </w:r>
            <w:r w:rsidRPr="004D451D">
              <w:rPr>
                <w:rFonts w:ascii="標楷體" w:eastAsia="標楷體" w:hAnsi="標楷體"/>
                <w:sz w:val="18"/>
                <w:szCs w:val="18"/>
              </w:rPr>
              <w:t>102</w:t>
            </w:r>
            <w:r w:rsidRPr="004D451D">
              <w:rPr>
                <w:rFonts w:ascii="標楷體" w:eastAsia="標楷體" w:hAnsi="標楷體" w:hint="eastAsia"/>
                <w:sz w:val="18"/>
                <w:szCs w:val="18"/>
              </w:rPr>
              <w:t>年起需每年至少遞減</w:t>
            </w:r>
            <w:r w:rsidRPr="004D451D">
              <w:rPr>
                <w:rFonts w:ascii="標楷體" w:eastAsia="標楷體" w:hAnsi="標楷體"/>
                <w:sz w:val="18"/>
                <w:szCs w:val="18"/>
              </w:rPr>
              <w:t>10%</w:t>
            </w:r>
            <w:r w:rsidRPr="004D451D">
              <w:rPr>
                <w:rFonts w:ascii="標楷體" w:eastAsia="標楷體" w:hAnsi="標楷體" w:hint="eastAsia"/>
                <w:sz w:val="18"/>
                <w:szCs w:val="18"/>
              </w:rPr>
              <w:t>之第二類資本工具</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47</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A98_2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不得計入自有資本之股本溢價</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資本公積</w:t>
            </w:r>
            <w:r w:rsidRPr="004D451D">
              <w:rPr>
                <w:rFonts w:ascii="標楷體" w:eastAsia="標楷體" w:hAnsi="標楷體"/>
                <w:sz w:val="18"/>
                <w:szCs w:val="18"/>
              </w:rPr>
              <w:t>(</w:t>
            </w:r>
            <w:r w:rsidRPr="004D451D">
              <w:rPr>
                <w:rFonts w:ascii="標楷體" w:eastAsia="標楷體" w:hAnsi="標楷體" w:hint="eastAsia"/>
                <w:sz w:val="18"/>
                <w:szCs w:val="18"/>
              </w:rPr>
              <w:t>股本溢價除外</w:t>
            </w:r>
            <w:r w:rsidRPr="004D451D">
              <w:rPr>
                <w:rFonts w:ascii="標楷體" w:eastAsia="標楷體" w:hAnsi="標楷體"/>
                <w:sz w:val="18"/>
                <w:szCs w:val="18"/>
              </w:rPr>
              <w:t>)</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2</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74,856</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74,856</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A99</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保留盈餘</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23,823,069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23,823,069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23,823,069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23,823,069</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預期損失提存不足所產生之保留盈餘減少數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12</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評價準備提列不足所產生之保留盈餘減少數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7</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確定福利負債提列不足所產生之保留盈餘減少數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15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證券化交易銷售獲利產生之保留盈餘增加數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w:t>
            </w:r>
            <w:r w:rsidRPr="004D451D">
              <w:rPr>
                <w:rFonts w:ascii="標楷體" w:eastAsia="標楷體" w:hAnsi="標楷體" w:hint="eastAsia"/>
                <w:sz w:val="18"/>
                <w:szCs w:val="18"/>
              </w:rPr>
              <w:t>、</w:t>
            </w:r>
            <w:r w:rsidRPr="004D451D">
              <w:rPr>
                <w:rFonts w:ascii="標楷體" w:eastAsia="標楷體" w:hAnsi="標楷體"/>
                <w:sz w:val="18"/>
                <w:szCs w:val="18"/>
              </w:rPr>
              <w:t>13</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A103</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不動產首次適用國際會計準則時，以公允價值或重估價值作為認定成本產生之保留盈餘增加數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w:t>
            </w:r>
            <w:r w:rsidRPr="004D451D">
              <w:rPr>
                <w:rFonts w:ascii="標楷體" w:eastAsia="標楷體" w:hAnsi="標楷體" w:hint="eastAsia"/>
                <w:sz w:val="18"/>
                <w:szCs w:val="18"/>
              </w:rPr>
              <w:t>、</w:t>
            </w:r>
            <w:r w:rsidRPr="004D451D">
              <w:rPr>
                <w:rFonts w:ascii="標楷體" w:eastAsia="標楷體" w:hAnsi="標楷體"/>
                <w:sz w:val="18"/>
                <w:szCs w:val="18"/>
              </w:rPr>
              <w:t>26a</w:t>
            </w:r>
            <w:r w:rsidRPr="004D451D">
              <w:rPr>
                <w:rFonts w:ascii="標楷體" w:eastAsia="標楷體" w:hAnsi="標楷體" w:hint="eastAsia"/>
                <w:sz w:val="18"/>
                <w:szCs w:val="18"/>
              </w:rPr>
              <w:t>、</w:t>
            </w:r>
            <w:r w:rsidRPr="004D451D">
              <w:rPr>
                <w:rFonts w:ascii="標楷體" w:eastAsia="標楷體" w:hAnsi="標楷體"/>
                <w:sz w:val="18"/>
                <w:szCs w:val="18"/>
              </w:rPr>
              <w:t>56a</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A104</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eastAsia="標楷體"/>
                <w:sz w:val="18"/>
                <w:szCs w:val="18"/>
              </w:rPr>
            </w:pPr>
            <w:r w:rsidRPr="004D451D">
              <w:rPr>
                <w:rFonts w:eastAsia="標楷體" w:hint="eastAsia"/>
                <w:sz w:val="18"/>
                <w:szCs w:val="18"/>
              </w:rPr>
              <w:t>投資性不動產後續衡量採用公允價值模式產生之保留盈餘增加數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w:t>
            </w:r>
            <w:r w:rsidRPr="004D451D">
              <w:rPr>
                <w:rFonts w:ascii="標楷體" w:eastAsia="標楷體" w:hAnsi="標楷體" w:hint="eastAsia"/>
                <w:sz w:val="18"/>
                <w:szCs w:val="18"/>
              </w:rPr>
              <w:t>、</w:t>
            </w:r>
            <w:r w:rsidRPr="004D451D">
              <w:rPr>
                <w:rFonts w:ascii="標楷體" w:eastAsia="標楷體" w:hAnsi="標楷體"/>
                <w:sz w:val="18"/>
                <w:szCs w:val="18"/>
              </w:rPr>
              <w:t>26e</w:t>
            </w:r>
            <w:r w:rsidRPr="004D451D">
              <w:rPr>
                <w:rFonts w:ascii="標楷體" w:eastAsia="標楷體" w:hAnsi="標楷體" w:hint="eastAsia"/>
                <w:sz w:val="18"/>
                <w:szCs w:val="18"/>
              </w:rPr>
              <w:t>、</w:t>
            </w:r>
            <w:r w:rsidRPr="004D451D">
              <w:rPr>
                <w:rFonts w:ascii="標楷體" w:eastAsia="標楷體" w:hAnsi="標楷體"/>
                <w:sz w:val="18"/>
                <w:szCs w:val="18"/>
              </w:rPr>
              <w:t>56e</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A104_1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eastAsia="標楷體"/>
                <w:sz w:val="18"/>
                <w:szCs w:val="18"/>
              </w:rPr>
            </w:pPr>
            <w:r w:rsidRPr="004D451D">
              <w:rPr>
                <w:rFonts w:eastAsia="標楷體"/>
                <w:sz w:val="18"/>
                <w:szCs w:val="18"/>
              </w:rPr>
              <w:t>101</w:t>
            </w:r>
            <w:r w:rsidRPr="004D451D">
              <w:rPr>
                <w:rFonts w:eastAsia="標楷體" w:hint="eastAsia"/>
                <w:sz w:val="18"/>
                <w:szCs w:val="18"/>
              </w:rPr>
              <w:t>年</w:t>
            </w:r>
            <w:r w:rsidRPr="004D451D">
              <w:rPr>
                <w:rFonts w:eastAsia="標楷體"/>
                <w:sz w:val="18"/>
                <w:szCs w:val="18"/>
              </w:rPr>
              <w:t>1</w:t>
            </w:r>
            <w:r w:rsidRPr="004D451D">
              <w:rPr>
                <w:rFonts w:eastAsia="標楷體" w:hint="eastAsia"/>
                <w:sz w:val="18"/>
                <w:szCs w:val="18"/>
              </w:rPr>
              <w:t>月</w:t>
            </w:r>
            <w:r w:rsidRPr="004D451D">
              <w:rPr>
                <w:rFonts w:eastAsia="標楷體"/>
                <w:sz w:val="18"/>
                <w:szCs w:val="18"/>
              </w:rPr>
              <w:t>1</w:t>
            </w:r>
            <w:r w:rsidRPr="004D451D">
              <w:rPr>
                <w:rFonts w:eastAsia="標楷體" w:hint="eastAsia"/>
                <w:sz w:val="18"/>
                <w:szCs w:val="18"/>
              </w:rPr>
              <w:t>日後不動產售後租回利益產生之保留盈餘增加數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w:t>
            </w:r>
            <w:r w:rsidRPr="004D451D">
              <w:rPr>
                <w:rFonts w:ascii="標楷體" w:eastAsia="標楷體" w:hAnsi="標楷體" w:hint="eastAsia"/>
                <w:sz w:val="18"/>
                <w:szCs w:val="18"/>
              </w:rPr>
              <w:t>、</w:t>
            </w:r>
            <w:r w:rsidRPr="004D451D">
              <w:rPr>
                <w:rFonts w:ascii="標楷體" w:eastAsia="標楷體" w:hAnsi="標楷體"/>
                <w:sz w:val="18"/>
                <w:szCs w:val="18"/>
              </w:rPr>
              <w:t>26f</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A104_2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其他依規定或監理要求不得列入普通股權益第一類資本之保留盈餘數</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2</w:t>
            </w:r>
            <w:r w:rsidRPr="004D451D">
              <w:rPr>
                <w:rFonts w:ascii="標楷體" w:eastAsia="標楷體" w:hAnsi="標楷體" w:hint="eastAsia"/>
                <w:sz w:val="18"/>
                <w:szCs w:val="18"/>
              </w:rPr>
              <w:t>、</w:t>
            </w:r>
            <w:r w:rsidRPr="004D451D">
              <w:rPr>
                <w:rFonts w:ascii="標楷體" w:eastAsia="標楷體" w:hAnsi="標楷體"/>
                <w:sz w:val="18"/>
                <w:szCs w:val="18"/>
              </w:rPr>
              <w:t>26g</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A104_3</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其他保留盈餘</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2</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23,823,069</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23,823,069</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A105</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sz w:val="18"/>
                <w:szCs w:val="18"/>
              </w:rPr>
              <w:t xml:space="preserve">  </w:t>
            </w:r>
            <w:r w:rsidRPr="004D451D">
              <w:rPr>
                <w:rFonts w:ascii="標楷體" w:eastAsia="標楷體" w:hAnsi="標楷體" w:hint="eastAsia"/>
                <w:sz w:val="18"/>
                <w:szCs w:val="18"/>
              </w:rPr>
              <w:t>其他權益</w:t>
            </w: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其他權益總額</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3</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901,374</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901,374</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901,374</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901,374</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A106</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透過其他綜合損益按公允價值衡量之權益工具及債務工具未實現評價利益</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26b</w:t>
            </w:r>
            <w:r w:rsidRPr="004D451D">
              <w:rPr>
                <w:rFonts w:ascii="標楷體" w:eastAsia="標楷體" w:hAnsi="標楷體" w:hint="eastAsia"/>
                <w:sz w:val="18"/>
                <w:szCs w:val="18"/>
              </w:rPr>
              <w:t>、</w:t>
            </w:r>
            <w:r w:rsidRPr="004D451D">
              <w:rPr>
                <w:rFonts w:ascii="標楷體" w:eastAsia="標楷體" w:hAnsi="標楷體"/>
                <w:sz w:val="18"/>
                <w:szCs w:val="18"/>
              </w:rPr>
              <w:t>56b</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1,613,456</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1,613,456</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A107</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避險工具之利益</w:t>
            </w:r>
            <w:r w:rsidRPr="004D451D">
              <w:rPr>
                <w:rFonts w:ascii="標楷體" w:eastAsia="標楷體" w:hAnsi="標楷體"/>
                <w:sz w:val="18"/>
                <w:szCs w:val="18"/>
              </w:rPr>
              <w:t>(</w:t>
            </w:r>
            <w:r w:rsidRPr="004D451D">
              <w:rPr>
                <w:rFonts w:ascii="標楷體" w:eastAsia="標楷體" w:hAnsi="標楷體" w:hint="eastAsia"/>
                <w:sz w:val="18"/>
                <w:szCs w:val="18"/>
              </w:rPr>
              <w:t>損失</w:t>
            </w:r>
            <w:r w:rsidRPr="004D451D">
              <w:rPr>
                <w:rFonts w:ascii="標楷體" w:eastAsia="標楷體" w:hAnsi="標楷體"/>
                <w:sz w:val="18"/>
                <w:szCs w:val="18"/>
              </w:rPr>
              <w:t>)</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11</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A108</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不動產重估增值</w:t>
            </w: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hint="eastAsia"/>
                <w:sz w:val="18"/>
                <w:szCs w:val="18"/>
              </w:rPr>
              <w:t>26e、56e</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 xml:space="preserve">　</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hint="eastAsia"/>
                <w:sz w:val="18"/>
                <w:szCs w:val="18"/>
              </w:rPr>
              <w:t>A108_1</w:t>
            </w: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其他權益</w:t>
            </w:r>
            <w:r w:rsidRPr="004D451D">
              <w:rPr>
                <w:rFonts w:ascii="標楷體" w:eastAsia="標楷體" w:hAnsi="標楷體"/>
                <w:sz w:val="18"/>
                <w:szCs w:val="18"/>
              </w:rPr>
              <w:t>(</w:t>
            </w:r>
            <w:r w:rsidRPr="004D451D">
              <w:rPr>
                <w:rFonts w:ascii="標楷體" w:eastAsia="標楷體" w:hAnsi="標楷體" w:hint="eastAsia"/>
                <w:sz w:val="18"/>
                <w:szCs w:val="18"/>
              </w:rPr>
              <w:t>排除透過其他綜合損益按公允價值衡量之權益工具及債務工具未實現評價利益、避險工具之利益(損失)及不動產重估增值</w:t>
            </w:r>
            <w:r w:rsidRPr="004D451D">
              <w:rPr>
                <w:rFonts w:ascii="標楷體" w:eastAsia="標楷體" w:hAnsi="標楷體"/>
                <w:sz w:val="18"/>
                <w:szCs w:val="18"/>
              </w:rPr>
              <w:t>)</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-712,082</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-712,082</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586" w:type="dxa"/>
          </w:tcPr>
          <w:p w:rsidR="000D32E9" w:rsidRPr="004D451D" w:rsidRDefault="000D32E9" w:rsidP="005545A5">
            <w:pPr>
              <w:rPr>
                <w:rFonts w:ascii="標楷體" w:eastAsia="標楷體" w:hAnsi="標楷體"/>
                <w:sz w:val="18"/>
                <w:szCs w:val="18"/>
              </w:rPr>
            </w:pPr>
          </w:p>
        </w:tc>
        <w:tc>
          <w:tcPr>
            <w:tcW w:w="1701"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庫藏股票</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16</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-105,942</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-105,942</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-105,942</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-105,942</w:t>
            </w:r>
          </w:p>
        </w:tc>
        <w:tc>
          <w:tcPr>
            <w:tcW w:w="720" w:type="dxa"/>
            <w:noWrap/>
            <w:vAlign w:val="center"/>
          </w:tcPr>
          <w:p w:rsidR="000D32E9" w:rsidRPr="004D451D" w:rsidRDefault="000D32E9" w:rsidP="005545A5">
            <w:pPr>
              <w:jc w:val="center"/>
              <w:rPr>
                <w:rFonts w:ascii="標楷體" w:eastAsia="標楷體" w:hAnsi="標楷體"/>
                <w:sz w:val="18"/>
                <w:szCs w:val="18"/>
              </w:rPr>
            </w:pPr>
            <w:r w:rsidRPr="004D451D">
              <w:rPr>
                <w:rFonts w:ascii="標楷體" w:eastAsia="標楷體" w:hAnsi="標楷體"/>
                <w:sz w:val="18"/>
                <w:szCs w:val="18"/>
              </w:rPr>
              <w:t>A109</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非控制權益</w:t>
            </w:r>
          </w:p>
        </w:tc>
        <w:tc>
          <w:tcPr>
            <w:tcW w:w="6012" w:type="dxa"/>
          </w:tcPr>
          <w:p w:rsidR="005545A5" w:rsidRPr="004D451D" w:rsidRDefault="005545A5" w:rsidP="005545A5">
            <w:pPr>
              <w:rPr>
                <w:rFonts w:ascii="標楷體" w:eastAsia="標楷體" w:hAnsi="標楷體"/>
                <w:sz w:val="18"/>
                <w:szCs w:val="18"/>
              </w:rPr>
            </w:pP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普通股權益第一類資本</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5</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A110</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其他第一類資本</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34</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A111</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第二類資本</w:t>
            </w:r>
          </w:p>
        </w:tc>
        <w:tc>
          <w:tcPr>
            <w:tcW w:w="720" w:type="dxa"/>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48</w:t>
            </w: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p>
        </w:tc>
        <w:tc>
          <w:tcPr>
            <w:tcW w:w="1485" w:type="dxa"/>
          </w:tcPr>
          <w:p w:rsidR="005545A5" w:rsidRPr="004D451D" w:rsidRDefault="005545A5" w:rsidP="005545A5">
            <w:pPr>
              <w:jc w:val="right"/>
              <w:rPr>
                <w:rFonts w:ascii="標楷體" w:eastAsia="標楷體" w:hAnsi="標楷體"/>
                <w:sz w:val="18"/>
                <w:szCs w:val="18"/>
              </w:rPr>
            </w:pPr>
          </w:p>
        </w:tc>
        <w:tc>
          <w:tcPr>
            <w:tcW w:w="720" w:type="dxa"/>
            <w:noWrap/>
            <w:vAlign w:val="center"/>
          </w:tcPr>
          <w:p w:rsidR="005545A5" w:rsidRPr="004D451D" w:rsidRDefault="005545A5" w:rsidP="005545A5">
            <w:pPr>
              <w:jc w:val="center"/>
              <w:rPr>
                <w:rFonts w:ascii="標楷體" w:eastAsia="標楷體" w:hAnsi="標楷體"/>
                <w:sz w:val="18"/>
                <w:szCs w:val="18"/>
              </w:rPr>
            </w:pPr>
            <w:r w:rsidRPr="004D451D">
              <w:rPr>
                <w:rFonts w:ascii="標楷體" w:eastAsia="標楷體" w:hAnsi="標楷體"/>
                <w:sz w:val="18"/>
                <w:szCs w:val="18"/>
              </w:rPr>
              <w:t>A112</w:t>
            </w:r>
          </w:p>
        </w:tc>
      </w:tr>
      <w:tr w:rsidR="004D451D" w:rsidRPr="004D451D" w:rsidTr="005545A5">
        <w:trPr>
          <w:trHeight w:val="20"/>
        </w:trPr>
        <w:tc>
          <w:tcPr>
            <w:tcW w:w="586" w:type="dxa"/>
          </w:tcPr>
          <w:p w:rsidR="005545A5" w:rsidRPr="004D451D" w:rsidRDefault="005545A5" w:rsidP="005545A5">
            <w:pPr>
              <w:rPr>
                <w:rFonts w:ascii="標楷體" w:eastAsia="標楷體" w:hAnsi="標楷體"/>
                <w:sz w:val="18"/>
                <w:szCs w:val="18"/>
              </w:rPr>
            </w:pPr>
          </w:p>
        </w:tc>
        <w:tc>
          <w:tcPr>
            <w:tcW w:w="1701" w:type="dxa"/>
          </w:tcPr>
          <w:p w:rsidR="005545A5" w:rsidRPr="004D451D" w:rsidRDefault="005545A5" w:rsidP="005545A5">
            <w:pPr>
              <w:rPr>
                <w:rFonts w:ascii="標楷體" w:eastAsia="標楷體" w:hAnsi="標楷體"/>
                <w:sz w:val="18"/>
                <w:szCs w:val="18"/>
              </w:rPr>
            </w:pPr>
          </w:p>
        </w:tc>
        <w:tc>
          <w:tcPr>
            <w:tcW w:w="6012" w:type="dxa"/>
          </w:tcPr>
          <w:p w:rsidR="005545A5" w:rsidRPr="004D451D" w:rsidRDefault="005545A5" w:rsidP="005545A5">
            <w:pPr>
              <w:rPr>
                <w:rFonts w:ascii="標楷體" w:eastAsia="標楷體" w:hAnsi="標楷體"/>
                <w:sz w:val="18"/>
                <w:szCs w:val="18"/>
              </w:rPr>
            </w:pPr>
            <w:r w:rsidRPr="004D451D">
              <w:rPr>
                <w:rFonts w:ascii="標楷體" w:eastAsia="標楷體" w:hAnsi="標楷體" w:hint="eastAsia"/>
                <w:sz w:val="18"/>
                <w:szCs w:val="18"/>
              </w:rPr>
              <w:t>非控制權益之資本溢額</w:t>
            </w:r>
          </w:p>
        </w:tc>
        <w:tc>
          <w:tcPr>
            <w:tcW w:w="720" w:type="dxa"/>
          </w:tcPr>
          <w:p w:rsidR="005545A5" w:rsidRPr="004D451D" w:rsidRDefault="005545A5" w:rsidP="005545A5">
            <w:pPr>
              <w:jc w:val="center"/>
              <w:rPr>
                <w:rFonts w:ascii="標楷體" w:eastAsia="標楷體" w:hAnsi="標楷體"/>
                <w:sz w:val="18"/>
                <w:szCs w:val="18"/>
              </w:rPr>
            </w:pP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shd w:val="clear" w:color="auto" w:fill="A6A6A6"/>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1485" w:type="dxa"/>
          </w:tcPr>
          <w:p w:rsidR="005545A5" w:rsidRPr="004D451D" w:rsidRDefault="005545A5" w:rsidP="005545A5">
            <w:pPr>
              <w:jc w:val="right"/>
              <w:rPr>
                <w:rFonts w:ascii="標楷體" w:eastAsia="標楷體" w:hAnsi="標楷體"/>
                <w:sz w:val="18"/>
                <w:szCs w:val="18"/>
              </w:rPr>
            </w:pPr>
            <w:r w:rsidRPr="004D451D">
              <w:rPr>
                <w:rFonts w:ascii="標楷體" w:eastAsia="標楷體" w:hAnsi="標楷體" w:hint="eastAsia"/>
                <w:sz w:val="18"/>
                <w:szCs w:val="18"/>
              </w:rPr>
              <w:t xml:space="preserve">　</w:t>
            </w:r>
          </w:p>
        </w:tc>
        <w:tc>
          <w:tcPr>
            <w:tcW w:w="720" w:type="dxa"/>
            <w:noWrap/>
            <w:vAlign w:val="center"/>
          </w:tcPr>
          <w:p w:rsidR="005545A5" w:rsidRPr="004D451D" w:rsidRDefault="005545A5" w:rsidP="005545A5">
            <w:pPr>
              <w:jc w:val="center"/>
              <w:rPr>
                <w:rFonts w:ascii="標楷體" w:eastAsia="標楷體" w:hAnsi="標楷體"/>
                <w:sz w:val="18"/>
                <w:szCs w:val="18"/>
              </w:rPr>
            </w:pPr>
          </w:p>
        </w:tc>
      </w:tr>
      <w:tr w:rsidR="004D451D" w:rsidRPr="004D451D" w:rsidTr="000D32E9">
        <w:trPr>
          <w:trHeight w:val="20"/>
        </w:trPr>
        <w:tc>
          <w:tcPr>
            <w:tcW w:w="2287" w:type="dxa"/>
            <w:gridSpan w:val="2"/>
          </w:tcPr>
          <w:p w:rsidR="000D32E9" w:rsidRPr="004D451D" w:rsidRDefault="000D32E9" w:rsidP="005545A5">
            <w:pPr>
              <w:rPr>
                <w:rFonts w:ascii="標楷體" w:eastAsia="標楷體" w:hAnsi="標楷體"/>
                <w:b/>
                <w:bCs/>
                <w:sz w:val="18"/>
                <w:szCs w:val="18"/>
              </w:rPr>
            </w:pPr>
            <w:r w:rsidRPr="004D451D">
              <w:rPr>
                <w:rFonts w:ascii="標楷體" w:eastAsia="標楷體" w:hAnsi="標楷體" w:hint="eastAsia"/>
                <w:b/>
                <w:bCs/>
                <w:sz w:val="18"/>
                <w:szCs w:val="18"/>
              </w:rPr>
              <w:t>權益總計</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36,205,699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36,205,699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36,205,699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36,205,699</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2287" w:type="dxa"/>
            <w:gridSpan w:val="2"/>
          </w:tcPr>
          <w:p w:rsidR="000D32E9" w:rsidRPr="004D451D" w:rsidRDefault="000D32E9" w:rsidP="005545A5">
            <w:pPr>
              <w:rPr>
                <w:rFonts w:ascii="標楷體" w:eastAsia="標楷體" w:hAnsi="標楷體"/>
                <w:b/>
                <w:bCs/>
                <w:sz w:val="18"/>
                <w:szCs w:val="18"/>
              </w:rPr>
            </w:pPr>
            <w:r w:rsidRPr="004D451D">
              <w:rPr>
                <w:rFonts w:ascii="標楷體" w:eastAsia="標楷體" w:hAnsi="標楷體" w:hint="eastAsia"/>
                <w:b/>
                <w:bCs/>
                <w:sz w:val="18"/>
                <w:szCs w:val="18"/>
              </w:rPr>
              <w:t>負債及權益總計</w:t>
            </w:r>
          </w:p>
        </w:tc>
        <w:tc>
          <w:tcPr>
            <w:tcW w:w="6012" w:type="dxa"/>
          </w:tcPr>
          <w:p w:rsidR="000D32E9" w:rsidRPr="004D451D" w:rsidRDefault="000D32E9" w:rsidP="005545A5">
            <w:pPr>
              <w:rPr>
                <w:rFonts w:ascii="標楷體" w:eastAsia="標楷體" w:hAnsi="標楷體"/>
                <w:sz w:val="18"/>
                <w:szCs w:val="18"/>
              </w:rPr>
            </w:pPr>
          </w:p>
        </w:tc>
        <w:tc>
          <w:tcPr>
            <w:tcW w:w="720" w:type="dxa"/>
          </w:tcPr>
          <w:p w:rsidR="000D32E9" w:rsidRPr="004D451D" w:rsidRDefault="000D32E9" w:rsidP="005545A5">
            <w:pPr>
              <w:jc w:val="center"/>
              <w:rPr>
                <w:rFonts w:ascii="標楷體" w:eastAsia="標楷體" w:hAnsi="標楷體"/>
                <w:sz w:val="18"/>
                <w:szCs w:val="18"/>
              </w:rPr>
            </w:pP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275,237,799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275,237,799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276,999,699</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276,999,699</w:t>
            </w:r>
          </w:p>
        </w:tc>
        <w:tc>
          <w:tcPr>
            <w:tcW w:w="720" w:type="dxa"/>
            <w:noWrap/>
            <w:vAlign w:val="center"/>
          </w:tcPr>
          <w:p w:rsidR="000D32E9" w:rsidRPr="004D451D" w:rsidRDefault="000D32E9" w:rsidP="005545A5">
            <w:pPr>
              <w:jc w:val="center"/>
              <w:rPr>
                <w:rFonts w:ascii="標楷體" w:eastAsia="標楷體" w:hAnsi="標楷體"/>
                <w:sz w:val="18"/>
                <w:szCs w:val="18"/>
              </w:rPr>
            </w:pPr>
          </w:p>
        </w:tc>
      </w:tr>
      <w:tr w:rsidR="004D451D" w:rsidRPr="004D451D" w:rsidTr="000D32E9">
        <w:trPr>
          <w:trHeight w:val="20"/>
        </w:trPr>
        <w:tc>
          <w:tcPr>
            <w:tcW w:w="2287" w:type="dxa"/>
            <w:gridSpan w:val="2"/>
          </w:tcPr>
          <w:p w:rsidR="000D32E9" w:rsidRPr="004D451D" w:rsidRDefault="000D32E9" w:rsidP="005545A5">
            <w:pPr>
              <w:rPr>
                <w:rFonts w:ascii="標楷體" w:eastAsia="標楷體" w:hAnsi="標楷體"/>
                <w:b/>
                <w:bCs/>
                <w:sz w:val="18"/>
                <w:szCs w:val="18"/>
              </w:rPr>
            </w:pPr>
            <w:r w:rsidRPr="004D451D">
              <w:rPr>
                <w:rFonts w:ascii="標楷體" w:eastAsia="標楷體" w:hAnsi="標楷體" w:hint="eastAsia"/>
                <w:b/>
                <w:bCs/>
                <w:sz w:val="18"/>
                <w:szCs w:val="18"/>
              </w:rPr>
              <w:t>附註</w:t>
            </w:r>
          </w:p>
        </w:tc>
        <w:tc>
          <w:tcPr>
            <w:tcW w:w="6012" w:type="dxa"/>
          </w:tcPr>
          <w:p w:rsidR="000D32E9" w:rsidRPr="004D451D" w:rsidRDefault="000D32E9" w:rsidP="005545A5">
            <w:pPr>
              <w:rPr>
                <w:rFonts w:ascii="標楷體" w:eastAsia="標楷體" w:hAnsi="標楷體"/>
                <w:sz w:val="18"/>
                <w:szCs w:val="18"/>
              </w:rPr>
            </w:pPr>
            <w:r w:rsidRPr="004D451D">
              <w:rPr>
                <w:rFonts w:ascii="標楷體" w:eastAsia="標楷體" w:hAnsi="標楷體" w:hint="eastAsia"/>
                <w:sz w:val="18"/>
                <w:szCs w:val="18"/>
              </w:rPr>
              <w:t>預期損失</w:t>
            </w:r>
          </w:p>
        </w:tc>
        <w:tc>
          <w:tcPr>
            <w:tcW w:w="720" w:type="dxa"/>
          </w:tcPr>
          <w:p w:rsidR="000D32E9" w:rsidRPr="004D451D" w:rsidRDefault="000D32E9" w:rsidP="005545A5">
            <w:pPr>
              <w:jc w:val="center"/>
              <w:rPr>
                <w:rFonts w:ascii="標楷體" w:eastAsia="標楷體" w:hAnsi="標楷體"/>
                <w:sz w:val="18"/>
                <w:szCs w:val="18"/>
              </w:rPr>
            </w:pP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285,620</w:t>
            </w:r>
          </w:p>
        </w:tc>
        <w:tc>
          <w:tcPr>
            <w:tcW w:w="1485" w:type="dxa"/>
            <w:shd w:val="clear" w:color="auto" w:fill="A6A6A6"/>
            <w:vAlign w:val="center"/>
          </w:tcPr>
          <w:p w:rsidR="000D32E9" w:rsidRPr="004D451D" w:rsidRDefault="000D32E9">
            <w:pPr>
              <w:jc w:val="right"/>
              <w:rPr>
                <w:rFonts w:ascii="新細明體" w:hAnsi="新細明體" w:cs="新細明體"/>
                <w:sz w:val="18"/>
                <w:szCs w:val="18"/>
              </w:rPr>
            </w:pPr>
            <w:r w:rsidRPr="004D451D">
              <w:rPr>
                <w:rFonts w:hint="eastAsia"/>
                <w:sz w:val="18"/>
                <w:szCs w:val="18"/>
              </w:rPr>
              <w:t xml:space="preserve">　</w:t>
            </w:r>
          </w:p>
        </w:tc>
        <w:tc>
          <w:tcPr>
            <w:tcW w:w="1485" w:type="dxa"/>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285,620</w:t>
            </w:r>
          </w:p>
        </w:tc>
        <w:tc>
          <w:tcPr>
            <w:tcW w:w="720" w:type="dxa"/>
            <w:noWrap/>
            <w:vAlign w:val="center"/>
          </w:tcPr>
          <w:p w:rsidR="000D32E9" w:rsidRPr="004D451D" w:rsidRDefault="000D32E9" w:rsidP="005545A5">
            <w:pPr>
              <w:jc w:val="center"/>
              <w:rPr>
                <w:rFonts w:ascii="標楷體" w:eastAsia="標楷體" w:hAnsi="標楷體"/>
                <w:sz w:val="18"/>
                <w:szCs w:val="18"/>
              </w:rPr>
            </w:pPr>
          </w:p>
        </w:tc>
      </w:tr>
    </w:tbl>
    <w:p w:rsidR="005545A5" w:rsidRPr="004D451D" w:rsidRDefault="005545A5" w:rsidP="005545A5">
      <w:pPr>
        <w:rPr>
          <w:rFonts w:ascii="標楷體" w:eastAsia="標楷體" w:hAnsi="標楷體" w:cs="新細明體"/>
          <w:b/>
          <w:kern w:val="0"/>
          <w:sz w:val="20"/>
          <w:szCs w:val="20"/>
        </w:rPr>
      </w:pPr>
    </w:p>
    <w:p w:rsidR="005545A5" w:rsidRPr="004D451D" w:rsidRDefault="005545A5" w:rsidP="005545A5">
      <w:pPr>
        <w:rPr>
          <w:rFonts w:ascii="標楷體" w:eastAsia="標楷體" w:hAnsi="標楷體" w:cs="新細明體"/>
          <w:b/>
          <w:kern w:val="0"/>
          <w:sz w:val="20"/>
          <w:szCs w:val="20"/>
        </w:rPr>
      </w:pPr>
      <w:r w:rsidRPr="004D451D">
        <w:rPr>
          <w:rFonts w:ascii="標楷體" w:eastAsia="標楷體" w:hAnsi="標楷體" w:cs="新細明體" w:hint="eastAsia"/>
          <w:b/>
          <w:kern w:val="0"/>
          <w:sz w:val="20"/>
          <w:szCs w:val="20"/>
        </w:rPr>
        <w:t>填表說明：</w:t>
      </w:r>
    </w:p>
    <w:p w:rsidR="005545A5" w:rsidRPr="004D451D" w:rsidRDefault="005545A5" w:rsidP="005545A5">
      <w:pPr>
        <w:numPr>
          <w:ilvl w:val="0"/>
          <w:numId w:val="91"/>
        </w:numPr>
        <w:ind w:leftChars="150" w:left="660" w:hangingChars="150" w:hanging="300"/>
        <w:jc w:val="both"/>
        <w:rPr>
          <w:rFonts w:eastAsia="標楷體"/>
          <w:kern w:val="0"/>
          <w:sz w:val="20"/>
          <w:szCs w:val="20"/>
        </w:rPr>
      </w:pPr>
      <w:r w:rsidRPr="004D451D">
        <w:rPr>
          <w:rFonts w:eastAsia="標楷體" w:hint="eastAsia"/>
          <w:kern w:val="0"/>
          <w:sz w:val="20"/>
          <w:szCs w:val="20"/>
        </w:rPr>
        <w:t>本表更新頻率：半年。</w:t>
      </w:r>
    </w:p>
    <w:p w:rsidR="005545A5" w:rsidRPr="004D451D" w:rsidRDefault="005545A5" w:rsidP="005545A5">
      <w:pPr>
        <w:numPr>
          <w:ilvl w:val="0"/>
          <w:numId w:val="91"/>
        </w:numPr>
        <w:ind w:leftChars="150" w:left="660" w:hangingChars="150" w:hanging="300"/>
        <w:jc w:val="both"/>
        <w:rPr>
          <w:rFonts w:eastAsia="標楷體"/>
          <w:kern w:val="0"/>
          <w:sz w:val="20"/>
          <w:szCs w:val="20"/>
        </w:rPr>
      </w:pPr>
      <w:r w:rsidRPr="004D451D">
        <w:rPr>
          <w:rFonts w:eastAsia="標楷體" w:hAnsi="標楷體" w:hint="eastAsia"/>
          <w:kern w:val="0"/>
          <w:sz w:val="20"/>
          <w:szCs w:val="20"/>
        </w:rPr>
        <w:t>本表有關對金融相關事業資本投資之展開項目，僅適用於商業銀行，工業銀行應依工業銀行設立及管理辦法第</w:t>
      </w:r>
      <w:r w:rsidRPr="004D451D">
        <w:rPr>
          <w:rFonts w:eastAsia="標楷體"/>
          <w:kern w:val="0"/>
          <w:sz w:val="20"/>
          <w:szCs w:val="20"/>
        </w:rPr>
        <w:t>8</w:t>
      </w:r>
      <w:r w:rsidRPr="004D451D">
        <w:rPr>
          <w:rFonts w:eastAsia="標楷體" w:hAnsi="標楷體" w:hint="eastAsia"/>
          <w:kern w:val="0"/>
          <w:sz w:val="20"/>
          <w:szCs w:val="20"/>
        </w:rPr>
        <w:t>條規定，直接投資生產事業、金融相關事業、創業投資事業及投資不動產之總餘額，其依規應自資本扣除金額進行展開。</w:t>
      </w:r>
    </w:p>
    <w:p w:rsidR="005545A5" w:rsidRPr="004D451D" w:rsidRDefault="005545A5" w:rsidP="005545A5">
      <w:pPr>
        <w:numPr>
          <w:ilvl w:val="0"/>
          <w:numId w:val="91"/>
        </w:numPr>
        <w:ind w:leftChars="150" w:left="660" w:hangingChars="150" w:hanging="300"/>
        <w:jc w:val="both"/>
        <w:rPr>
          <w:rFonts w:eastAsia="標楷體"/>
          <w:kern w:val="0"/>
          <w:sz w:val="20"/>
          <w:szCs w:val="20"/>
        </w:rPr>
      </w:pPr>
      <w:r w:rsidRPr="004D451D">
        <w:rPr>
          <w:rFonts w:eastAsia="標楷體" w:hAnsi="標楷體" w:hint="eastAsia"/>
          <w:kern w:val="0"/>
          <w:sz w:val="20"/>
          <w:szCs w:val="20"/>
        </w:rPr>
        <w:t>備抵呆帳及營業準備係指存放銀行同業、拆放銀行同業、應收款項、貼現及放款、買入匯款及非放款轉入之催收款等資產科目所提列之備抵呆帳及保證責任準備，本表將存放銀行同業、拆放銀行同業、應收款項、買入匯款及非放款轉入之催收款等資產項目，所提列之備抵呆帳及保證責任準備，視為未超過預期損失，無須展開，備抵呆帳超過預期損失者，應就貼現及放款所提列之備抵呆帳展開為「得列入第二類資本者」及「其他備抵呆帳」二項，「得列入第二類資本者」係指上開備抵呆帳及營業準備超過銀行依歷史損失經驗估算預期損失部分之金額，「其他備抵呆帳」係指全部預期損失扣除上開未展開之其他會計項目下之備抵呆帳及營業準備後之餘額。</w:t>
      </w:r>
    </w:p>
    <w:p w:rsidR="005545A5" w:rsidRPr="004D451D" w:rsidRDefault="005545A5" w:rsidP="005545A5">
      <w:pPr>
        <w:numPr>
          <w:ilvl w:val="0"/>
          <w:numId w:val="91"/>
        </w:numPr>
        <w:ind w:leftChars="150" w:left="660" w:hangingChars="150" w:hanging="300"/>
        <w:jc w:val="both"/>
        <w:rPr>
          <w:rFonts w:ascii="標楷體" w:eastAsia="標楷體" w:hAnsi="標楷體" w:cs="新細明體"/>
          <w:kern w:val="0"/>
          <w:sz w:val="20"/>
          <w:szCs w:val="20"/>
        </w:rPr>
      </w:pPr>
      <w:r w:rsidRPr="004D451D">
        <w:rPr>
          <w:rFonts w:eastAsia="標楷體" w:hAnsi="標楷體" w:hint="eastAsia"/>
          <w:kern w:val="0"/>
          <w:sz w:val="20"/>
          <w:szCs w:val="20"/>
        </w:rPr>
        <w:t>「其他權益」項下之「透過其他綜合損益按公允價值衡量之權益工具及債務工具未實現評價利益」應以透過其他綜合損益按公允價值衡量之權益工具及債務工具未實現評價損失互抵前之金額填列</w:t>
      </w:r>
      <w:r w:rsidRPr="004D451D">
        <w:rPr>
          <w:rFonts w:eastAsia="標楷體" w:hAnsi="標楷體" w:hint="eastAsia"/>
          <w:kern w:val="0"/>
          <w:sz w:val="20"/>
          <w:szCs w:val="20"/>
        </w:rPr>
        <w:t>(</w:t>
      </w:r>
      <w:r w:rsidRPr="004D451D">
        <w:rPr>
          <w:rFonts w:eastAsia="標楷體" w:hAnsi="標楷體" w:hint="eastAsia"/>
          <w:kern w:val="0"/>
          <w:sz w:val="20"/>
          <w:szCs w:val="20"/>
        </w:rPr>
        <w:t>且不包含依國際財務報導準則第</w:t>
      </w:r>
      <w:r w:rsidRPr="004D451D">
        <w:rPr>
          <w:rFonts w:eastAsia="標楷體" w:hAnsi="標楷體" w:hint="eastAsia"/>
          <w:kern w:val="0"/>
          <w:sz w:val="20"/>
          <w:szCs w:val="20"/>
        </w:rPr>
        <w:t>9</w:t>
      </w:r>
      <w:r w:rsidRPr="004D451D">
        <w:rPr>
          <w:rFonts w:eastAsia="標楷體" w:hAnsi="標楷體" w:hint="eastAsia"/>
          <w:kern w:val="0"/>
          <w:sz w:val="20"/>
          <w:szCs w:val="20"/>
        </w:rPr>
        <w:t>號第</w:t>
      </w:r>
      <w:r w:rsidRPr="004D451D">
        <w:rPr>
          <w:rFonts w:eastAsia="標楷體" w:hAnsi="標楷體" w:hint="eastAsia"/>
          <w:kern w:val="0"/>
          <w:sz w:val="20"/>
          <w:szCs w:val="20"/>
        </w:rPr>
        <w:t>5.5</w:t>
      </w:r>
      <w:r w:rsidRPr="004D451D">
        <w:rPr>
          <w:rFonts w:eastAsia="標楷體" w:hAnsi="標楷體" w:hint="eastAsia"/>
          <w:kern w:val="0"/>
          <w:sz w:val="20"/>
          <w:szCs w:val="20"/>
        </w:rPr>
        <w:t>節提列之備抵損失。</w:t>
      </w:r>
      <w:r w:rsidRPr="004D451D">
        <w:rPr>
          <w:rFonts w:eastAsia="標楷體" w:hAnsi="標楷體" w:hint="eastAsia"/>
          <w:kern w:val="0"/>
          <w:sz w:val="20"/>
          <w:szCs w:val="20"/>
        </w:rPr>
        <w:t>)</w:t>
      </w:r>
      <w:r w:rsidRPr="004D451D">
        <w:rPr>
          <w:rFonts w:eastAsia="標楷體" w:hAnsi="標楷體" w:hint="eastAsia"/>
          <w:kern w:val="0"/>
          <w:sz w:val="20"/>
          <w:szCs w:val="20"/>
        </w:rPr>
        <w:t>、「避險工具之利益</w:t>
      </w:r>
      <w:r w:rsidRPr="004D451D">
        <w:rPr>
          <w:rFonts w:eastAsia="標楷體" w:hAnsi="標楷體" w:hint="eastAsia"/>
          <w:kern w:val="0"/>
          <w:sz w:val="20"/>
          <w:szCs w:val="20"/>
        </w:rPr>
        <w:t>(</w:t>
      </w:r>
      <w:r w:rsidRPr="004D451D">
        <w:rPr>
          <w:rFonts w:eastAsia="標楷體" w:hAnsi="標楷體" w:hint="eastAsia"/>
          <w:kern w:val="0"/>
          <w:sz w:val="20"/>
          <w:szCs w:val="20"/>
        </w:rPr>
        <w:t>損失</w:t>
      </w:r>
      <w:r w:rsidRPr="004D451D">
        <w:rPr>
          <w:rFonts w:eastAsia="標楷體" w:hAnsi="標楷體" w:hint="eastAsia"/>
          <w:kern w:val="0"/>
          <w:sz w:val="20"/>
          <w:szCs w:val="20"/>
        </w:rPr>
        <w:t>)</w:t>
      </w:r>
      <w:r w:rsidRPr="004D451D">
        <w:rPr>
          <w:rFonts w:eastAsia="標楷體" w:hAnsi="標楷體" w:hint="eastAsia"/>
          <w:kern w:val="0"/>
          <w:sz w:val="20"/>
          <w:szCs w:val="20"/>
        </w:rPr>
        <w:t>」則以利益與損失互抵後之金額填列。</w:t>
      </w:r>
    </w:p>
    <w:p w:rsidR="005545A5" w:rsidRPr="004D451D" w:rsidRDefault="005545A5" w:rsidP="005545A5">
      <w:pPr>
        <w:ind w:leftChars="150" w:left="660" w:hangingChars="150" w:hanging="300"/>
        <w:rPr>
          <w:rFonts w:ascii="標楷體" w:eastAsia="標楷體" w:hAnsi="標楷體"/>
          <w:kern w:val="0"/>
          <w:sz w:val="20"/>
          <w:szCs w:val="20"/>
        </w:rPr>
        <w:sectPr w:rsidR="005545A5" w:rsidRPr="004D451D" w:rsidSect="00101635">
          <w:footnotePr>
            <w:numStart w:val="222"/>
          </w:footnotePr>
          <w:pgSz w:w="16838" w:h="11906" w:orient="landscape"/>
          <w:pgMar w:top="1191" w:right="902" w:bottom="1191" w:left="720" w:header="851" w:footer="357" w:gutter="0"/>
          <w:cols w:space="425"/>
          <w:docGrid w:linePitch="360"/>
        </w:sectPr>
      </w:pPr>
    </w:p>
    <w:p w:rsidR="005545A5" w:rsidRPr="004D451D" w:rsidRDefault="005545A5" w:rsidP="005545A5">
      <w:pPr>
        <w:widowControl/>
        <w:ind w:leftChars="-225" w:left="-69" w:rightChars="-254" w:right="-610" w:hangingChars="168" w:hanging="471"/>
        <w:rPr>
          <w:rFonts w:ascii="標楷體" w:eastAsia="標楷體" w:hAnsi="標楷體"/>
          <w:b/>
          <w:kern w:val="0"/>
          <w:sz w:val="28"/>
          <w:szCs w:val="28"/>
        </w:rPr>
      </w:pPr>
      <w:r w:rsidRPr="004D451D">
        <w:rPr>
          <w:rFonts w:ascii="標楷體" w:eastAsia="標楷體" w:hAnsi="標楷體" w:hint="eastAsia"/>
          <w:b/>
          <w:kern w:val="0"/>
          <w:sz w:val="28"/>
          <w:szCs w:val="28"/>
        </w:rPr>
        <w:lastRenderedPageBreak/>
        <w:t>【附表四之三】</w:t>
      </w:r>
    </w:p>
    <w:p w:rsidR="005545A5" w:rsidRPr="004D451D" w:rsidRDefault="005545A5" w:rsidP="005545A5">
      <w:pPr>
        <w:jc w:val="center"/>
        <w:rPr>
          <w:rFonts w:ascii="標楷體" w:eastAsia="標楷體" w:hAnsi="標楷體"/>
          <w:b/>
          <w:bCs/>
          <w:kern w:val="0"/>
          <w:sz w:val="28"/>
          <w:szCs w:val="28"/>
        </w:rPr>
      </w:pPr>
      <w:r w:rsidRPr="004D451D">
        <w:rPr>
          <w:rFonts w:ascii="標楷體" w:eastAsia="標楷體" w:hAnsi="標楷體" w:hint="eastAsia"/>
          <w:b/>
          <w:bCs/>
          <w:kern w:val="0"/>
          <w:sz w:val="28"/>
          <w:szCs w:val="28"/>
        </w:rPr>
        <w:t>資本組成項目揭露表</w:t>
      </w:r>
    </w:p>
    <w:p w:rsidR="005545A5" w:rsidRPr="004D451D" w:rsidRDefault="000D32E9" w:rsidP="005545A5">
      <w:pPr>
        <w:wordWrap w:val="0"/>
        <w:ind w:rightChars="-288" w:right="-691"/>
        <w:jc w:val="right"/>
        <w:rPr>
          <w:rFonts w:ascii="標楷體" w:eastAsia="標楷體" w:hAnsi="標楷體"/>
          <w:b/>
          <w:bCs/>
          <w:kern w:val="0"/>
          <w:sz w:val="20"/>
          <w:szCs w:val="20"/>
        </w:rPr>
      </w:pPr>
      <w:r w:rsidRPr="004D451D">
        <w:rPr>
          <w:rFonts w:ascii="標楷體" w:eastAsia="標楷體" w:hAnsi="標楷體" w:hint="eastAsia"/>
          <w:b/>
          <w:bCs/>
          <w:kern w:val="0"/>
          <w:sz w:val="20"/>
          <w:szCs w:val="20"/>
        </w:rPr>
        <w:t>10</w:t>
      </w:r>
      <w:r w:rsidR="006F26F9">
        <w:rPr>
          <w:rFonts w:ascii="標楷體" w:eastAsia="標楷體" w:hAnsi="標楷體" w:hint="eastAsia"/>
          <w:b/>
          <w:bCs/>
          <w:kern w:val="0"/>
          <w:sz w:val="20"/>
          <w:szCs w:val="20"/>
        </w:rPr>
        <w:t>7</w:t>
      </w:r>
      <w:bookmarkStart w:id="0" w:name="_GoBack"/>
      <w:bookmarkEnd w:id="0"/>
      <w:r w:rsidR="005545A5" w:rsidRPr="004D451D">
        <w:rPr>
          <w:rFonts w:ascii="標楷體" w:eastAsia="標楷體" w:hAnsi="標楷體" w:hint="eastAsia"/>
          <w:b/>
          <w:bCs/>
          <w:kern w:val="0"/>
          <w:sz w:val="20"/>
          <w:szCs w:val="20"/>
        </w:rPr>
        <w:t>年</w:t>
      </w:r>
      <w:r w:rsidRPr="004D451D">
        <w:rPr>
          <w:rFonts w:ascii="標楷體" w:eastAsia="標楷體" w:hAnsi="標楷體" w:hint="eastAsia"/>
          <w:b/>
          <w:bCs/>
          <w:kern w:val="0"/>
          <w:sz w:val="20"/>
          <w:szCs w:val="20"/>
        </w:rPr>
        <w:t>06</w:t>
      </w:r>
      <w:r w:rsidR="005545A5" w:rsidRPr="004D451D">
        <w:rPr>
          <w:rFonts w:ascii="標楷體" w:eastAsia="標楷體" w:hAnsi="標楷體" w:hint="eastAsia"/>
          <w:b/>
          <w:bCs/>
          <w:kern w:val="0"/>
          <w:sz w:val="20"/>
          <w:szCs w:val="20"/>
        </w:rPr>
        <w:t>月</w:t>
      </w:r>
      <w:r w:rsidRPr="004D451D">
        <w:rPr>
          <w:rFonts w:ascii="標楷體" w:eastAsia="標楷體" w:hAnsi="標楷體" w:hint="eastAsia"/>
          <w:b/>
          <w:bCs/>
          <w:kern w:val="0"/>
          <w:sz w:val="20"/>
          <w:szCs w:val="20"/>
        </w:rPr>
        <w:t>30</w:t>
      </w:r>
      <w:r w:rsidR="005545A5" w:rsidRPr="004D451D">
        <w:rPr>
          <w:rFonts w:ascii="標楷體" w:eastAsia="標楷體" w:hAnsi="標楷體" w:hint="eastAsia"/>
          <w:b/>
          <w:bCs/>
          <w:kern w:val="0"/>
          <w:sz w:val="20"/>
          <w:szCs w:val="20"/>
        </w:rPr>
        <w:t>日</w:t>
      </w:r>
      <w:r w:rsidR="005545A5" w:rsidRPr="004D451D">
        <w:rPr>
          <w:rFonts w:ascii="標楷體" w:eastAsia="標楷體" w:hAnsi="標楷體"/>
          <w:b/>
          <w:bCs/>
          <w:kern w:val="0"/>
          <w:sz w:val="20"/>
          <w:szCs w:val="20"/>
        </w:rPr>
        <w:t xml:space="preserve">                       </w:t>
      </w:r>
      <w:r w:rsidR="005545A5" w:rsidRPr="004D451D">
        <w:rPr>
          <w:rFonts w:ascii="標楷體" w:eastAsia="標楷體" w:hAnsi="標楷體" w:hint="eastAsia"/>
          <w:b/>
          <w:bCs/>
          <w:kern w:val="0"/>
          <w:sz w:val="20"/>
          <w:szCs w:val="20"/>
        </w:rPr>
        <w:t>（單位：新臺幣千元）</w:t>
      </w:r>
    </w:p>
    <w:p w:rsidR="005545A5" w:rsidRPr="004D451D" w:rsidRDefault="005545A5" w:rsidP="005545A5">
      <w:pPr>
        <w:ind w:rightChars="-213" w:right="-511"/>
        <w:jc w:val="right"/>
        <w:rPr>
          <w:rFonts w:eastAsia="標楷體" w:hAnsi="標楷體"/>
          <w:b/>
          <w:bCs/>
          <w:kern w:val="0"/>
          <w:sz w:val="20"/>
          <w:szCs w:val="20"/>
        </w:rPr>
      </w:pPr>
      <w:r w:rsidRPr="004D451D">
        <w:rPr>
          <w:rFonts w:eastAsia="標楷體" w:hAnsi="標楷體"/>
          <w:b/>
          <w:bCs/>
          <w:kern w:val="0"/>
          <w:sz w:val="20"/>
          <w:szCs w:val="20"/>
        </w:rPr>
        <w:t xml:space="preserve">  (</w:t>
      </w:r>
      <w:r w:rsidRPr="004D451D">
        <w:rPr>
          <w:rFonts w:eastAsia="標楷體" w:hAnsi="標楷體" w:hint="eastAsia"/>
          <w:b/>
          <w:bCs/>
          <w:kern w:val="0"/>
          <w:sz w:val="20"/>
          <w:szCs w:val="20"/>
        </w:rPr>
        <w:t>過渡期</w:t>
      </w:r>
      <w:r w:rsidRPr="004D451D">
        <w:rPr>
          <w:rFonts w:eastAsia="標楷體" w:hint="eastAsia"/>
          <w:b/>
          <w:bCs/>
          <w:kern w:val="0"/>
          <w:sz w:val="20"/>
          <w:szCs w:val="20"/>
        </w:rPr>
        <w:t>間</w:t>
      </w:r>
      <w:r w:rsidRPr="004D451D">
        <w:rPr>
          <w:rFonts w:eastAsia="標楷體" w:hAnsi="標楷體"/>
          <w:b/>
          <w:bCs/>
          <w:kern w:val="0"/>
          <w:sz w:val="20"/>
          <w:szCs w:val="20"/>
        </w:rPr>
        <w:t>10</w:t>
      </w:r>
      <w:r w:rsidRPr="004D451D">
        <w:rPr>
          <w:rFonts w:eastAsia="標楷體"/>
          <w:b/>
          <w:bCs/>
          <w:kern w:val="0"/>
          <w:sz w:val="20"/>
          <w:szCs w:val="20"/>
        </w:rPr>
        <w:t>2</w:t>
      </w:r>
      <w:r w:rsidRPr="004D451D">
        <w:rPr>
          <w:rFonts w:eastAsia="標楷體" w:hAnsi="標楷體" w:hint="eastAsia"/>
          <w:b/>
          <w:bCs/>
          <w:kern w:val="0"/>
          <w:sz w:val="20"/>
          <w:szCs w:val="20"/>
        </w:rPr>
        <w:t>年</w:t>
      </w:r>
      <w:r w:rsidRPr="004D451D">
        <w:rPr>
          <w:rFonts w:eastAsia="標楷體" w:hAnsi="標楷體"/>
          <w:b/>
          <w:bCs/>
          <w:kern w:val="0"/>
          <w:sz w:val="20"/>
          <w:szCs w:val="20"/>
        </w:rPr>
        <w:t>1</w:t>
      </w:r>
      <w:r w:rsidRPr="004D451D">
        <w:rPr>
          <w:rFonts w:eastAsia="標楷體" w:hAnsi="標楷體" w:hint="eastAsia"/>
          <w:b/>
          <w:bCs/>
          <w:kern w:val="0"/>
          <w:sz w:val="20"/>
          <w:szCs w:val="20"/>
        </w:rPr>
        <w:t>月</w:t>
      </w:r>
      <w:r w:rsidRPr="004D451D">
        <w:rPr>
          <w:rFonts w:eastAsia="標楷體" w:hAnsi="標楷體"/>
          <w:b/>
          <w:bCs/>
          <w:kern w:val="0"/>
          <w:sz w:val="20"/>
          <w:szCs w:val="20"/>
        </w:rPr>
        <w:t>1</w:t>
      </w:r>
      <w:r w:rsidRPr="004D451D">
        <w:rPr>
          <w:rFonts w:eastAsia="標楷體" w:hAnsi="標楷體" w:hint="eastAsia"/>
          <w:b/>
          <w:bCs/>
          <w:kern w:val="0"/>
          <w:sz w:val="20"/>
          <w:szCs w:val="20"/>
        </w:rPr>
        <w:t>日至</w:t>
      </w:r>
      <w:r w:rsidRPr="004D451D">
        <w:rPr>
          <w:rFonts w:eastAsia="標楷體" w:hAnsi="標楷體"/>
          <w:b/>
          <w:bCs/>
          <w:kern w:val="0"/>
          <w:sz w:val="20"/>
          <w:szCs w:val="20"/>
        </w:rPr>
        <w:t>107</w:t>
      </w:r>
      <w:r w:rsidRPr="004D451D">
        <w:rPr>
          <w:rFonts w:eastAsia="標楷體" w:hAnsi="標楷體" w:hint="eastAsia"/>
          <w:b/>
          <w:bCs/>
          <w:kern w:val="0"/>
          <w:sz w:val="20"/>
          <w:szCs w:val="20"/>
        </w:rPr>
        <w:t>年</w:t>
      </w:r>
      <w:r w:rsidRPr="004D451D">
        <w:rPr>
          <w:rFonts w:eastAsia="標楷體" w:hAnsi="標楷體"/>
          <w:b/>
          <w:bCs/>
          <w:kern w:val="0"/>
          <w:sz w:val="20"/>
          <w:szCs w:val="20"/>
        </w:rPr>
        <w:t>1</w:t>
      </w:r>
      <w:r w:rsidRPr="004D451D">
        <w:rPr>
          <w:rFonts w:eastAsia="標楷體" w:hAnsi="標楷體" w:hint="eastAsia"/>
          <w:b/>
          <w:bCs/>
          <w:kern w:val="0"/>
          <w:sz w:val="20"/>
          <w:szCs w:val="20"/>
        </w:rPr>
        <w:t>月</w:t>
      </w:r>
      <w:r w:rsidRPr="004D451D">
        <w:rPr>
          <w:rFonts w:eastAsia="標楷體" w:hAnsi="標楷體"/>
          <w:b/>
          <w:bCs/>
          <w:kern w:val="0"/>
          <w:sz w:val="20"/>
          <w:szCs w:val="20"/>
        </w:rPr>
        <w:t>1</w:t>
      </w:r>
      <w:r w:rsidRPr="004D451D">
        <w:rPr>
          <w:rFonts w:eastAsia="標楷體" w:hAnsi="標楷體" w:hint="eastAsia"/>
          <w:b/>
          <w:bCs/>
          <w:kern w:val="0"/>
          <w:sz w:val="20"/>
          <w:szCs w:val="20"/>
        </w:rPr>
        <w:t>日</w:t>
      </w:r>
      <w:r w:rsidRPr="004D451D">
        <w:rPr>
          <w:rFonts w:eastAsia="標楷體" w:hAnsi="標楷體"/>
          <w:b/>
          <w:bCs/>
          <w:kern w:val="0"/>
          <w:sz w:val="20"/>
          <w:szCs w:val="20"/>
        </w:rPr>
        <w:t>)</w:t>
      </w:r>
    </w:p>
    <w:tbl>
      <w:tblPr>
        <w:tblW w:w="11155" w:type="dxa"/>
        <w:tblInd w:w="-779" w:type="dxa"/>
        <w:tblLayout w:type="fixed"/>
        <w:tblCellMar>
          <w:left w:w="28" w:type="dxa"/>
          <w:right w:w="28" w:type="dxa"/>
        </w:tblCellMar>
        <w:tblLook w:val="0000" w:firstRow="0" w:lastRow="0" w:firstColumn="0" w:lastColumn="0" w:noHBand="0" w:noVBand="0"/>
      </w:tblPr>
      <w:tblGrid>
        <w:gridCol w:w="561"/>
        <w:gridCol w:w="4860"/>
        <w:gridCol w:w="1198"/>
        <w:gridCol w:w="1276"/>
        <w:gridCol w:w="850"/>
        <w:gridCol w:w="851"/>
        <w:gridCol w:w="1559"/>
      </w:tblGrid>
      <w:tr w:rsidR="004D451D" w:rsidRPr="004D451D" w:rsidTr="009F53B0">
        <w:trPr>
          <w:trHeight w:val="20"/>
          <w:tblHeader/>
        </w:trPr>
        <w:tc>
          <w:tcPr>
            <w:tcW w:w="5421" w:type="dxa"/>
            <w:gridSpan w:val="2"/>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b/>
                <w:bCs/>
                <w:kern w:val="0"/>
                <w:sz w:val="20"/>
                <w:szCs w:val="20"/>
              </w:rPr>
            </w:pPr>
            <w:r w:rsidRPr="004D451D">
              <w:rPr>
                <w:rFonts w:ascii="標楷體" w:eastAsia="標楷體" w:hAnsi="標楷體" w:cs="新細明體" w:hint="eastAsia"/>
                <w:b/>
                <w:bCs/>
                <w:kern w:val="0"/>
                <w:sz w:val="20"/>
                <w:szCs w:val="20"/>
              </w:rPr>
              <w:t>項</w:t>
            </w:r>
            <w:r w:rsidRPr="004D451D">
              <w:rPr>
                <w:rFonts w:ascii="Garamond" w:eastAsia="標楷體" w:hAnsi="標楷體" w:cs="新細明體" w:hint="eastAsia"/>
                <w:b/>
                <w:bCs/>
                <w:kern w:val="0"/>
                <w:sz w:val="20"/>
                <w:szCs w:val="20"/>
              </w:rPr>
              <w:t>目</w:t>
            </w:r>
          </w:p>
        </w:tc>
        <w:tc>
          <w:tcPr>
            <w:tcW w:w="1198"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widowControl/>
              <w:jc w:val="center"/>
              <w:rPr>
                <w:rFonts w:ascii="Garamond" w:eastAsia="標楷體" w:hAnsi="Garamond" w:cs="新細明體"/>
                <w:b/>
                <w:bCs/>
                <w:kern w:val="0"/>
                <w:sz w:val="20"/>
                <w:szCs w:val="20"/>
              </w:rPr>
            </w:pPr>
            <w:r w:rsidRPr="004D451D">
              <w:rPr>
                <w:rFonts w:ascii="Garamond" w:eastAsia="標楷體" w:hAnsi="標楷體" w:cs="新細明體" w:hint="eastAsia"/>
                <w:b/>
                <w:bCs/>
                <w:kern w:val="0"/>
                <w:sz w:val="20"/>
                <w:szCs w:val="20"/>
              </w:rPr>
              <w:t>本行</w:t>
            </w:r>
          </w:p>
        </w:tc>
        <w:tc>
          <w:tcPr>
            <w:tcW w:w="1276" w:type="dxa"/>
            <w:tcBorders>
              <w:top w:val="single" w:sz="4" w:space="0" w:color="auto"/>
              <w:left w:val="nil"/>
              <w:bottom w:val="single" w:sz="4" w:space="0" w:color="auto"/>
              <w:right w:val="single" w:sz="4" w:space="0" w:color="auto"/>
            </w:tcBorders>
            <w:vAlign w:val="center"/>
          </w:tcPr>
          <w:p w:rsidR="005545A5" w:rsidRPr="004D451D" w:rsidRDefault="005545A5" w:rsidP="005545A5">
            <w:pPr>
              <w:widowControl/>
              <w:jc w:val="center"/>
              <w:rPr>
                <w:rFonts w:ascii="Garamond" w:eastAsia="標楷體" w:hAnsi="Garamond" w:cs="新細明體"/>
                <w:b/>
                <w:bCs/>
                <w:kern w:val="0"/>
                <w:sz w:val="20"/>
                <w:szCs w:val="20"/>
              </w:rPr>
            </w:pPr>
            <w:r w:rsidRPr="004D451D">
              <w:rPr>
                <w:rFonts w:ascii="Garamond" w:eastAsia="標楷體" w:hAnsi="標楷體" w:cs="新細明體" w:hint="eastAsia"/>
                <w:b/>
                <w:bCs/>
                <w:kern w:val="0"/>
                <w:sz w:val="20"/>
                <w:szCs w:val="20"/>
              </w:rPr>
              <w:t>合併</w:t>
            </w:r>
          </w:p>
        </w:tc>
        <w:tc>
          <w:tcPr>
            <w:tcW w:w="850" w:type="dxa"/>
            <w:tcBorders>
              <w:top w:val="dashed" w:sz="4" w:space="0" w:color="auto"/>
              <w:left w:val="single" w:sz="4" w:space="0" w:color="auto"/>
              <w:bottom w:val="dashed" w:sz="4" w:space="0" w:color="auto"/>
              <w:right w:val="dashed" w:sz="4" w:space="0" w:color="auto"/>
            </w:tcBorders>
            <w:vAlign w:val="center"/>
          </w:tcPr>
          <w:p w:rsidR="005545A5" w:rsidRPr="004D451D" w:rsidRDefault="005545A5" w:rsidP="005545A5">
            <w:pPr>
              <w:widowControl/>
              <w:jc w:val="center"/>
              <w:rPr>
                <w:rFonts w:ascii="Garamond" w:eastAsia="標楷體" w:hAnsi="標楷體" w:cs="新細明體"/>
                <w:b/>
                <w:bCs/>
                <w:kern w:val="0"/>
                <w:sz w:val="20"/>
                <w:szCs w:val="20"/>
              </w:rPr>
            </w:pPr>
            <w:r w:rsidRPr="004D451D">
              <w:rPr>
                <w:rFonts w:ascii="Garamond" w:eastAsia="標楷體" w:hAnsi="標楷體" w:cs="新細明體" w:hint="eastAsia"/>
                <w:b/>
                <w:bCs/>
                <w:kern w:val="0"/>
                <w:sz w:val="20"/>
                <w:szCs w:val="20"/>
              </w:rPr>
              <w:t>本行</w:t>
            </w:r>
          </w:p>
          <w:p w:rsidR="005545A5" w:rsidRPr="004D451D" w:rsidRDefault="005545A5" w:rsidP="005545A5">
            <w:pPr>
              <w:widowControl/>
              <w:jc w:val="center"/>
              <w:rPr>
                <w:rFonts w:ascii="Garamond" w:eastAsia="標楷體" w:hAnsi="標楷體" w:cs="新細明體"/>
                <w:b/>
                <w:bCs/>
                <w:kern w:val="0"/>
                <w:sz w:val="20"/>
                <w:szCs w:val="20"/>
              </w:rPr>
            </w:pPr>
            <w:r w:rsidRPr="004D451D">
              <w:rPr>
                <w:rFonts w:ascii="Garamond" w:eastAsia="標楷體" w:hAnsi="標楷體" w:cs="新細明體"/>
                <w:b/>
                <w:bCs/>
                <w:kern w:val="0"/>
                <w:sz w:val="20"/>
                <w:szCs w:val="20"/>
              </w:rPr>
              <w:t>101.11.26</w:t>
            </w:r>
            <w:r w:rsidRPr="004D451D">
              <w:rPr>
                <w:rFonts w:ascii="Garamond" w:eastAsia="標楷體" w:hAnsi="標楷體" w:cs="新細明體" w:hint="eastAsia"/>
                <w:b/>
                <w:bCs/>
                <w:kern w:val="0"/>
                <w:sz w:val="20"/>
                <w:szCs w:val="20"/>
              </w:rPr>
              <w:t>管理辦法修正規定施行前之金額</w:t>
            </w:r>
          </w:p>
        </w:tc>
        <w:tc>
          <w:tcPr>
            <w:tcW w:w="851" w:type="dxa"/>
            <w:tcBorders>
              <w:top w:val="dashed" w:sz="4" w:space="0" w:color="auto"/>
              <w:left w:val="dashed" w:sz="4" w:space="0" w:color="auto"/>
              <w:bottom w:val="dashed" w:sz="4" w:space="0" w:color="auto"/>
              <w:right w:val="single" w:sz="4" w:space="0" w:color="auto"/>
            </w:tcBorders>
            <w:vAlign w:val="center"/>
          </w:tcPr>
          <w:p w:rsidR="005545A5" w:rsidRPr="004D451D" w:rsidRDefault="005545A5" w:rsidP="005545A5">
            <w:pPr>
              <w:widowControl/>
              <w:jc w:val="center"/>
              <w:rPr>
                <w:rFonts w:ascii="Garamond" w:eastAsia="標楷體" w:hAnsi="標楷體" w:cs="新細明體"/>
                <w:b/>
                <w:bCs/>
                <w:kern w:val="0"/>
                <w:sz w:val="20"/>
                <w:szCs w:val="20"/>
              </w:rPr>
            </w:pPr>
            <w:r w:rsidRPr="004D451D">
              <w:rPr>
                <w:rFonts w:ascii="Garamond" w:eastAsia="標楷體" w:hAnsi="標楷體" w:cs="新細明體" w:hint="eastAsia"/>
                <w:b/>
                <w:bCs/>
                <w:kern w:val="0"/>
                <w:sz w:val="20"/>
                <w:szCs w:val="20"/>
              </w:rPr>
              <w:t>合併</w:t>
            </w:r>
          </w:p>
          <w:p w:rsidR="005545A5" w:rsidRPr="004D451D" w:rsidRDefault="005545A5" w:rsidP="005545A5">
            <w:pPr>
              <w:widowControl/>
              <w:jc w:val="center"/>
              <w:rPr>
                <w:rFonts w:ascii="Garamond" w:eastAsia="標楷體" w:hAnsi="標楷體" w:cs="新細明體"/>
                <w:b/>
                <w:bCs/>
                <w:kern w:val="0"/>
                <w:sz w:val="20"/>
                <w:szCs w:val="20"/>
              </w:rPr>
            </w:pPr>
            <w:r w:rsidRPr="004D451D">
              <w:rPr>
                <w:rFonts w:ascii="Garamond" w:eastAsia="標楷體" w:hAnsi="標楷體" w:cs="新細明體"/>
                <w:b/>
                <w:bCs/>
                <w:kern w:val="0"/>
                <w:sz w:val="20"/>
                <w:szCs w:val="20"/>
              </w:rPr>
              <w:t>101.11.26</w:t>
            </w:r>
            <w:r w:rsidRPr="004D451D">
              <w:rPr>
                <w:rFonts w:ascii="Garamond" w:eastAsia="標楷體" w:hAnsi="標楷體" w:cs="新細明體" w:hint="eastAsia"/>
                <w:b/>
                <w:bCs/>
                <w:kern w:val="0"/>
                <w:sz w:val="20"/>
                <w:szCs w:val="20"/>
              </w:rPr>
              <w:t>管理辦法修正規定施行前之金額</w:t>
            </w: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b/>
                <w:bCs/>
                <w:kern w:val="0"/>
                <w:sz w:val="20"/>
                <w:szCs w:val="16"/>
              </w:rPr>
            </w:pPr>
            <w:r w:rsidRPr="004D451D">
              <w:rPr>
                <w:rFonts w:ascii="Garamond" w:eastAsia="標楷體" w:hAnsi="標楷體" w:cs="新細明體" w:hint="eastAsia"/>
                <w:b/>
                <w:bCs/>
                <w:kern w:val="0"/>
                <w:sz w:val="20"/>
                <w:szCs w:val="16"/>
              </w:rPr>
              <w:t>檢索碼</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hint="eastAsia"/>
                <w:b/>
                <w:bCs/>
                <w:kern w:val="0"/>
                <w:sz w:val="20"/>
                <w:szCs w:val="20"/>
              </w:rPr>
              <w:t>普通股權益第一類資本：資本工具與準備</w:t>
            </w:r>
          </w:p>
        </w:tc>
        <w:tc>
          <w:tcPr>
            <w:tcW w:w="850" w:type="dxa"/>
            <w:tcBorders>
              <w:top w:val="dashed" w:sz="4" w:space="0" w:color="auto"/>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dashed" w:sz="4" w:space="0" w:color="auto"/>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rPr>
                <w:rFonts w:ascii="Garamond" w:eastAsia="標楷體" w:hAnsi="Garamond" w:cs="新細明體"/>
                <w:kern w:val="0"/>
                <w:sz w:val="16"/>
                <w:szCs w:val="16"/>
              </w:rPr>
            </w:pPr>
            <w:r w:rsidRPr="004D451D">
              <w:rPr>
                <w:rFonts w:ascii="Garamond" w:eastAsia="標楷體" w:hAnsi="標楷體" w:cs="新細明體" w:hint="eastAsia"/>
                <w:kern w:val="0"/>
                <w:sz w:val="16"/>
                <w:szCs w:val="16"/>
              </w:rPr>
              <w:t xml:space="preserve">　</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0D32E9" w:rsidRPr="004D451D" w:rsidRDefault="000D32E9"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w:t>
            </w:r>
          </w:p>
        </w:tc>
        <w:tc>
          <w:tcPr>
            <w:tcW w:w="4860" w:type="dxa"/>
            <w:tcBorders>
              <w:top w:val="nil"/>
              <w:left w:val="nil"/>
              <w:bottom w:val="single" w:sz="4" w:space="0" w:color="auto"/>
              <w:right w:val="single" w:sz="4" w:space="0" w:color="auto"/>
            </w:tcBorders>
            <w:noWrap/>
            <w:vAlign w:val="center"/>
          </w:tcPr>
          <w:p w:rsidR="000D32E9" w:rsidRPr="004D451D" w:rsidRDefault="000D32E9" w:rsidP="005545A5">
            <w:pPr>
              <w:rPr>
                <w:rFonts w:ascii="標楷體" w:eastAsia="標楷體" w:hAnsi="標楷體" w:cs="新細明體"/>
                <w:sz w:val="20"/>
                <w:szCs w:val="20"/>
              </w:rPr>
            </w:pPr>
            <w:r w:rsidRPr="004D451D">
              <w:rPr>
                <w:rFonts w:ascii="標楷體" w:eastAsia="標楷體" w:hAnsi="標楷體" w:hint="eastAsia"/>
                <w:sz w:val="20"/>
                <w:szCs w:val="20"/>
              </w:rPr>
              <w:t>合格發行之普通股</w:t>
            </w:r>
            <w:r w:rsidRPr="004D451D">
              <w:rPr>
                <w:rFonts w:ascii="標楷體" w:eastAsia="標楷體" w:hAnsi="標楷體"/>
                <w:sz w:val="20"/>
                <w:szCs w:val="20"/>
              </w:rPr>
              <w:t>(</w:t>
            </w:r>
            <w:r w:rsidRPr="004D451D">
              <w:rPr>
                <w:rFonts w:ascii="標楷體" w:eastAsia="標楷體" w:hAnsi="標楷體" w:hint="eastAsia"/>
                <w:sz w:val="20"/>
                <w:szCs w:val="20"/>
              </w:rPr>
              <w:t>或非股份制公司相對應之工具</w:t>
            </w:r>
            <w:r w:rsidRPr="004D451D">
              <w:rPr>
                <w:rFonts w:ascii="標楷體" w:eastAsia="標楷體" w:hAnsi="標楷體"/>
                <w:sz w:val="20"/>
                <w:szCs w:val="20"/>
              </w:rPr>
              <w:t>)</w:t>
            </w:r>
            <w:r w:rsidRPr="004D451D">
              <w:rPr>
                <w:rFonts w:ascii="標楷體" w:eastAsia="標楷體" w:hAnsi="標楷體" w:hint="eastAsia"/>
                <w:sz w:val="20"/>
                <w:szCs w:val="20"/>
              </w:rPr>
              <w:t>加計股本溢價</w:t>
            </w:r>
          </w:p>
        </w:tc>
        <w:tc>
          <w:tcPr>
            <w:tcW w:w="1198"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1276"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11,512,343</w:t>
            </w:r>
          </w:p>
        </w:tc>
        <w:tc>
          <w:tcPr>
            <w:tcW w:w="850" w:type="dxa"/>
            <w:tcBorders>
              <w:top w:val="nil"/>
              <w:left w:val="single" w:sz="4" w:space="0" w:color="auto"/>
            </w:tcBorders>
          </w:tcPr>
          <w:p w:rsidR="000D32E9" w:rsidRPr="004D451D" w:rsidRDefault="000D32E9"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0D32E9" w:rsidRPr="004D451D" w:rsidRDefault="000D32E9"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D32E9" w:rsidRPr="004D451D" w:rsidRDefault="000D32E9" w:rsidP="005545A5">
            <w:pPr>
              <w:rPr>
                <w:rFonts w:ascii="標楷體" w:eastAsia="標楷體" w:hAnsi="標楷體" w:cs="新細明體"/>
                <w:sz w:val="20"/>
                <w:szCs w:val="20"/>
              </w:rPr>
            </w:pPr>
            <w:r w:rsidRPr="004D451D">
              <w:rPr>
                <w:rFonts w:ascii="標楷體" w:eastAsia="標楷體" w:hAnsi="標楷體"/>
                <w:sz w:val="20"/>
                <w:szCs w:val="20"/>
              </w:rPr>
              <w:t>A93+A96</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0D32E9" w:rsidRPr="004D451D" w:rsidRDefault="000D32E9"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w:t>
            </w:r>
          </w:p>
        </w:tc>
        <w:tc>
          <w:tcPr>
            <w:tcW w:w="4860" w:type="dxa"/>
            <w:tcBorders>
              <w:top w:val="nil"/>
              <w:left w:val="nil"/>
              <w:bottom w:val="single" w:sz="4" w:space="0" w:color="auto"/>
              <w:right w:val="single" w:sz="4" w:space="0" w:color="auto"/>
            </w:tcBorders>
            <w:vAlign w:val="center"/>
          </w:tcPr>
          <w:p w:rsidR="000D32E9" w:rsidRPr="004D451D" w:rsidRDefault="000D32E9" w:rsidP="005545A5">
            <w:pPr>
              <w:rPr>
                <w:rFonts w:ascii="標楷體" w:eastAsia="標楷體" w:hAnsi="標楷體" w:cs="新細明體"/>
                <w:sz w:val="20"/>
                <w:szCs w:val="20"/>
              </w:rPr>
            </w:pPr>
            <w:r w:rsidRPr="004D451D">
              <w:rPr>
                <w:rFonts w:ascii="標楷體" w:eastAsia="標楷體" w:hAnsi="標楷體" w:hint="eastAsia"/>
                <w:sz w:val="20"/>
                <w:szCs w:val="20"/>
              </w:rPr>
              <w:t>保留盈餘（含股本溢價以外之資本公積）</w:t>
            </w:r>
          </w:p>
        </w:tc>
        <w:tc>
          <w:tcPr>
            <w:tcW w:w="1198"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23,897,925</w:t>
            </w:r>
          </w:p>
        </w:tc>
        <w:tc>
          <w:tcPr>
            <w:tcW w:w="1276"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23,897,925</w:t>
            </w:r>
          </w:p>
        </w:tc>
        <w:tc>
          <w:tcPr>
            <w:tcW w:w="850" w:type="dxa"/>
            <w:tcBorders>
              <w:top w:val="nil"/>
              <w:left w:val="single" w:sz="4" w:space="0" w:color="auto"/>
            </w:tcBorders>
          </w:tcPr>
          <w:p w:rsidR="000D32E9" w:rsidRPr="004D451D" w:rsidRDefault="000D32E9"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0D32E9" w:rsidRPr="004D451D" w:rsidRDefault="000D32E9"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D32E9" w:rsidRPr="004D451D" w:rsidRDefault="000D32E9" w:rsidP="005545A5">
            <w:pPr>
              <w:rPr>
                <w:rFonts w:ascii="標楷體" w:eastAsia="標楷體" w:hAnsi="標楷體" w:cs="新細明體"/>
                <w:sz w:val="20"/>
                <w:szCs w:val="20"/>
              </w:rPr>
            </w:pPr>
            <w:r w:rsidRPr="004D451D">
              <w:rPr>
                <w:rFonts w:ascii="標楷體" w:eastAsia="標楷體" w:hAnsi="標楷體"/>
                <w:sz w:val="20"/>
                <w:szCs w:val="20"/>
              </w:rPr>
              <w:t>A99+A103+A104+A104_1+A104_2+A104_3+A105</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0D32E9" w:rsidRPr="004D451D" w:rsidRDefault="000D32E9"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w:t>
            </w:r>
          </w:p>
        </w:tc>
        <w:tc>
          <w:tcPr>
            <w:tcW w:w="4860" w:type="dxa"/>
            <w:tcBorders>
              <w:top w:val="nil"/>
              <w:left w:val="nil"/>
              <w:bottom w:val="single" w:sz="4" w:space="0" w:color="auto"/>
              <w:right w:val="single" w:sz="4" w:space="0" w:color="auto"/>
            </w:tcBorders>
            <w:vAlign w:val="center"/>
          </w:tcPr>
          <w:p w:rsidR="000D32E9" w:rsidRPr="004D451D" w:rsidRDefault="000D32E9" w:rsidP="005545A5">
            <w:pPr>
              <w:rPr>
                <w:rFonts w:ascii="標楷體" w:eastAsia="標楷體" w:hAnsi="標楷體" w:cs="新細明體"/>
                <w:sz w:val="20"/>
                <w:szCs w:val="20"/>
              </w:rPr>
            </w:pPr>
            <w:r w:rsidRPr="004D451D">
              <w:rPr>
                <w:rFonts w:ascii="標楷體" w:eastAsia="標楷體" w:hAnsi="標楷體" w:hint="eastAsia"/>
                <w:sz w:val="20"/>
                <w:szCs w:val="20"/>
              </w:rPr>
              <w:t>累積其他綜合淨利及其他準備（即其他權益項目）</w:t>
            </w:r>
          </w:p>
        </w:tc>
        <w:tc>
          <w:tcPr>
            <w:tcW w:w="1198"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901,374</w:t>
            </w:r>
          </w:p>
        </w:tc>
        <w:tc>
          <w:tcPr>
            <w:tcW w:w="1276"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901,374</w:t>
            </w:r>
          </w:p>
        </w:tc>
        <w:tc>
          <w:tcPr>
            <w:tcW w:w="850" w:type="dxa"/>
            <w:tcBorders>
              <w:top w:val="nil"/>
              <w:left w:val="single" w:sz="4" w:space="0" w:color="auto"/>
            </w:tcBorders>
          </w:tcPr>
          <w:p w:rsidR="000D32E9" w:rsidRPr="004D451D" w:rsidRDefault="000D32E9"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0D32E9" w:rsidRPr="004D451D" w:rsidRDefault="000D32E9"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D32E9" w:rsidRPr="004D451D" w:rsidRDefault="000D32E9" w:rsidP="005545A5">
            <w:pPr>
              <w:autoSpaceDE w:val="0"/>
              <w:autoSpaceDN w:val="0"/>
              <w:adjustRightInd w:val="0"/>
              <w:spacing w:after="50"/>
              <w:rPr>
                <w:rFonts w:ascii="標楷體" w:eastAsia="標楷體" w:hAnsi="標楷體" w:cs="新細明體"/>
                <w:sz w:val="20"/>
                <w:szCs w:val="20"/>
              </w:rPr>
            </w:pPr>
            <w:r w:rsidRPr="004D451D">
              <w:rPr>
                <w:rFonts w:ascii="標楷體" w:eastAsia="標楷體" w:hAnsi="標楷體"/>
                <w:sz w:val="20"/>
                <w:szCs w:val="20"/>
              </w:rPr>
              <w:t>A106</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自普通股權益第一類資本分階段扣除之直接發行資本</w:t>
            </w:r>
            <w:r w:rsidRPr="004D451D">
              <w:rPr>
                <w:rFonts w:ascii="標楷體" w:eastAsia="標楷體" w:hAnsi="標楷體"/>
                <w:sz w:val="20"/>
                <w:szCs w:val="20"/>
              </w:rPr>
              <w:t>(</w:t>
            </w:r>
            <w:r w:rsidRPr="004D451D">
              <w:rPr>
                <w:rFonts w:ascii="標楷體" w:eastAsia="標楷體" w:hAnsi="標楷體" w:hint="eastAsia"/>
                <w:sz w:val="20"/>
                <w:szCs w:val="20"/>
              </w:rPr>
              <w:t>僅適用於非股份制公司</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仍可繼續認列為資本至</w:t>
            </w:r>
            <w:r w:rsidRPr="004D451D">
              <w:rPr>
                <w:rFonts w:ascii="標楷體" w:eastAsia="標楷體" w:hAnsi="標楷體"/>
                <w:sz w:val="20"/>
                <w:szCs w:val="20"/>
              </w:rPr>
              <w:t>2018</w:t>
            </w:r>
            <w:r w:rsidRPr="004D451D">
              <w:rPr>
                <w:rFonts w:ascii="標楷體" w:eastAsia="標楷體" w:hAnsi="標楷體" w:hint="eastAsia"/>
                <w:sz w:val="20"/>
                <w:szCs w:val="20"/>
              </w:rPr>
              <w:t>年</w:t>
            </w:r>
            <w:r w:rsidRPr="004D451D">
              <w:rPr>
                <w:rFonts w:ascii="標楷體" w:eastAsia="標楷體" w:hAnsi="標楷體"/>
                <w:sz w:val="20"/>
                <w:szCs w:val="20"/>
              </w:rPr>
              <w:t>1</w:t>
            </w:r>
            <w:r w:rsidRPr="004D451D">
              <w:rPr>
                <w:rFonts w:ascii="標楷體" w:eastAsia="標楷體" w:hAnsi="標楷體" w:hint="eastAsia"/>
                <w:sz w:val="20"/>
                <w:szCs w:val="20"/>
              </w:rPr>
              <w:t>月</w:t>
            </w:r>
            <w:r w:rsidRPr="004D451D">
              <w:rPr>
                <w:rFonts w:ascii="標楷體" w:eastAsia="標楷體" w:hAnsi="標楷體"/>
                <w:sz w:val="20"/>
                <w:szCs w:val="20"/>
              </w:rPr>
              <w:t>1</w:t>
            </w:r>
            <w:r w:rsidRPr="004D451D">
              <w:rPr>
                <w:rFonts w:ascii="標楷體" w:eastAsia="標楷體" w:hAnsi="標楷體" w:hint="eastAsia"/>
                <w:sz w:val="20"/>
                <w:szCs w:val="20"/>
              </w:rPr>
              <w:t>日前之公部門資本挹注</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子公司發行非由母公司持有之普通股</w:t>
            </w:r>
            <w:r w:rsidRPr="004D451D">
              <w:rPr>
                <w:rFonts w:ascii="標楷體" w:eastAsia="標楷體" w:hAnsi="標楷體"/>
                <w:sz w:val="20"/>
                <w:szCs w:val="20"/>
              </w:rPr>
              <w:t xml:space="preserve"> (</w:t>
            </w:r>
            <w:r w:rsidRPr="004D451D">
              <w:rPr>
                <w:rFonts w:ascii="標楷體" w:eastAsia="標楷體" w:hAnsi="標楷體" w:hint="eastAsia"/>
                <w:sz w:val="20"/>
                <w:szCs w:val="20"/>
              </w:rPr>
              <w:t>即符合普通股權益第一類資本標準之非控制權益</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A110</w:t>
            </w:r>
          </w:p>
        </w:tc>
      </w:tr>
      <w:tr w:rsidR="004D451D" w:rsidRPr="004D451D" w:rsidTr="009F53B0">
        <w:trPr>
          <w:trHeight w:val="70"/>
        </w:trPr>
        <w:tc>
          <w:tcPr>
            <w:tcW w:w="561" w:type="dxa"/>
            <w:tcBorders>
              <w:top w:val="nil"/>
              <w:left w:val="single" w:sz="4" w:space="0" w:color="auto"/>
              <w:bottom w:val="single" w:sz="4" w:space="0" w:color="auto"/>
              <w:right w:val="single" w:sz="4" w:space="0" w:color="auto"/>
            </w:tcBorders>
            <w:noWrap/>
            <w:vAlign w:val="center"/>
          </w:tcPr>
          <w:p w:rsidR="000D32E9" w:rsidRPr="004D451D" w:rsidRDefault="000D32E9"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w:t>
            </w:r>
          </w:p>
        </w:tc>
        <w:tc>
          <w:tcPr>
            <w:tcW w:w="4860" w:type="dxa"/>
            <w:tcBorders>
              <w:top w:val="single" w:sz="4" w:space="0" w:color="auto"/>
              <w:left w:val="nil"/>
              <w:bottom w:val="single" w:sz="4" w:space="0" w:color="auto"/>
              <w:right w:val="single" w:sz="4" w:space="0" w:color="auto"/>
            </w:tcBorders>
            <w:shd w:val="clear" w:color="000000" w:fill="C0C0C0"/>
            <w:vAlign w:val="center"/>
          </w:tcPr>
          <w:p w:rsidR="000D32E9" w:rsidRPr="004D451D" w:rsidRDefault="000D32E9"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法定調整前之普通股權益第一類資本</w:t>
            </w:r>
          </w:p>
        </w:tc>
        <w:tc>
          <w:tcPr>
            <w:tcW w:w="1198"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36,311,642</w:t>
            </w:r>
          </w:p>
        </w:tc>
        <w:tc>
          <w:tcPr>
            <w:tcW w:w="1276" w:type="dxa"/>
            <w:tcBorders>
              <w:top w:val="single" w:sz="4" w:space="0" w:color="auto"/>
              <w:left w:val="nil"/>
              <w:bottom w:val="single" w:sz="4" w:space="0" w:color="auto"/>
              <w:right w:val="single" w:sz="4" w:space="0" w:color="auto"/>
            </w:tcBorders>
            <w:noWrap/>
            <w:vAlign w:val="center"/>
          </w:tcPr>
          <w:p w:rsidR="000D32E9" w:rsidRPr="004D451D" w:rsidRDefault="000D32E9">
            <w:pPr>
              <w:jc w:val="right"/>
              <w:rPr>
                <w:rFonts w:ascii="Arial" w:hAnsi="Arial" w:cs="Arial"/>
                <w:sz w:val="20"/>
                <w:szCs w:val="20"/>
              </w:rPr>
            </w:pPr>
            <w:r w:rsidRPr="004D451D">
              <w:rPr>
                <w:rFonts w:ascii="Arial" w:hAnsi="Arial" w:cs="Arial"/>
                <w:sz w:val="20"/>
                <w:szCs w:val="20"/>
              </w:rPr>
              <w:t>36,311,642</w:t>
            </w:r>
          </w:p>
        </w:tc>
        <w:tc>
          <w:tcPr>
            <w:tcW w:w="850" w:type="dxa"/>
            <w:tcBorders>
              <w:left w:val="single" w:sz="4" w:space="0" w:color="auto"/>
            </w:tcBorders>
          </w:tcPr>
          <w:p w:rsidR="000D32E9" w:rsidRPr="004D451D" w:rsidRDefault="000D32E9" w:rsidP="005545A5">
            <w:pPr>
              <w:widowControl/>
              <w:rPr>
                <w:rFonts w:ascii="Garamond" w:eastAsia="標楷體" w:hAnsi="標楷體" w:cs="新細明體"/>
                <w:kern w:val="0"/>
                <w:sz w:val="20"/>
                <w:szCs w:val="20"/>
              </w:rPr>
            </w:pPr>
          </w:p>
        </w:tc>
        <w:tc>
          <w:tcPr>
            <w:tcW w:w="851" w:type="dxa"/>
            <w:tcBorders>
              <w:right w:val="single" w:sz="4" w:space="0" w:color="auto"/>
            </w:tcBorders>
          </w:tcPr>
          <w:p w:rsidR="000D32E9" w:rsidRPr="004D451D" w:rsidRDefault="000D32E9"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0D32E9" w:rsidRPr="004D451D" w:rsidRDefault="000D32E9"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=sum(</w:t>
            </w:r>
            <w:r w:rsidRPr="004D451D">
              <w:rPr>
                <w:rFonts w:ascii="標楷體" w:eastAsia="標楷體" w:hAnsi="標楷體" w:hint="eastAsia"/>
                <w:sz w:val="20"/>
                <w:szCs w:val="20"/>
              </w:rPr>
              <w:t>第</w:t>
            </w:r>
            <w:r w:rsidRPr="004D451D">
              <w:rPr>
                <w:rFonts w:ascii="標楷體" w:eastAsia="標楷體" w:hAnsi="標楷體"/>
                <w:sz w:val="20"/>
                <w:szCs w:val="20"/>
              </w:rPr>
              <w:t>1</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5</w:t>
            </w:r>
            <w:r w:rsidRPr="004D451D">
              <w:rPr>
                <w:rFonts w:ascii="標楷體" w:eastAsia="標楷體" w:hAnsi="標楷體" w:hint="eastAsia"/>
                <w:sz w:val="20"/>
                <w:szCs w:val="20"/>
              </w:rPr>
              <w:t>項</w:t>
            </w:r>
            <w:r w:rsidRPr="004D451D">
              <w:rPr>
                <w:rFonts w:ascii="標楷體" w:eastAsia="標楷體" w:hAnsi="標楷體"/>
                <w:sz w:val="20"/>
                <w:szCs w:val="20"/>
              </w:rPr>
              <w:t>)</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hint="eastAsia"/>
                <w:b/>
                <w:bCs/>
                <w:kern w:val="0"/>
                <w:sz w:val="20"/>
                <w:szCs w:val="20"/>
              </w:rPr>
              <w:t>普通股權益第一類資本：法定調整項</w:t>
            </w: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 xml:space="preserve">　</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w:t>
            </w:r>
          </w:p>
        </w:tc>
        <w:tc>
          <w:tcPr>
            <w:tcW w:w="4860" w:type="dxa"/>
            <w:tcBorders>
              <w:top w:val="nil"/>
              <w:left w:val="nil"/>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trike/>
                <w:sz w:val="20"/>
                <w:szCs w:val="20"/>
              </w:rPr>
            </w:pPr>
            <w:r w:rsidRPr="004D451D">
              <w:rPr>
                <w:rFonts w:ascii="標楷體" w:eastAsia="標楷體" w:hAnsi="標楷體" w:hint="eastAsia"/>
                <w:sz w:val="20"/>
                <w:szCs w:val="20"/>
              </w:rPr>
              <w:t>評價準備提列不足數（市場風險）</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|A101|</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商譽</w:t>
            </w:r>
            <w:r w:rsidRPr="004D451D">
              <w:rPr>
                <w:rFonts w:ascii="標楷體" w:eastAsia="標楷體" w:hAnsi="標楷體"/>
                <w:sz w:val="20"/>
                <w:szCs w:val="20"/>
              </w:rPr>
              <w:t>(</w:t>
            </w:r>
            <w:r w:rsidRPr="004D451D">
              <w:rPr>
                <w:rFonts w:ascii="標楷體" w:eastAsia="標楷體" w:hAnsi="標楷體" w:hint="eastAsia"/>
                <w:sz w:val="20"/>
                <w:szCs w:val="20"/>
              </w:rPr>
              <w:t>扣除相關遞延所得稅負債</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A54-A86</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9</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其他無形資產</w:t>
            </w:r>
            <w:r w:rsidRPr="004D451D">
              <w:rPr>
                <w:rFonts w:ascii="標楷體" w:eastAsia="標楷體" w:hAnsi="標楷體"/>
                <w:sz w:val="20"/>
                <w:szCs w:val="20"/>
              </w:rPr>
              <w:t>(</w:t>
            </w:r>
            <w:r w:rsidRPr="004D451D">
              <w:rPr>
                <w:rFonts w:ascii="標楷體" w:eastAsia="標楷體" w:hAnsi="標楷體" w:hint="eastAsia"/>
                <w:sz w:val="20"/>
                <w:szCs w:val="20"/>
              </w:rPr>
              <w:t>扣除相關遞延所得稅負債</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bottom w:val="dashed"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bottom w:val="dashed" w:sz="4" w:space="0" w:color="auto"/>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A55-A87</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10</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視銀行未來獲利狀況而定之遞延所得稅資產</w:t>
            </w:r>
            <w:r w:rsidRPr="004D451D">
              <w:rPr>
                <w:rFonts w:ascii="標楷體" w:eastAsia="標楷體" w:hAnsi="標楷體"/>
                <w:sz w:val="20"/>
                <w:szCs w:val="20"/>
              </w:rPr>
              <w:t>(</w:t>
            </w:r>
            <w:r w:rsidRPr="004D451D">
              <w:rPr>
                <w:rFonts w:ascii="標楷體" w:eastAsia="標楷體" w:hAnsi="標楷體" w:hint="eastAsia"/>
                <w:sz w:val="20"/>
                <w:szCs w:val="20"/>
              </w:rPr>
              <w:t>扣除相關遞延所得稅負債</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dashed" w:sz="4" w:space="0" w:color="auto"/>
              <w:left w:val="single" w:sz="4" w:space="0" w:color="auto"/>
              <w:bottom w:val="dashed" w:sz="4" w:space="0" w:color="auto"/>
              <w:right w:val="dashed"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dashed" w:sz="4" w:space="0" w:color="auto"/>
              <w:left w:val="dashed" w:sz="4" w:space="0" w:color="auto"/>
              <w:bottom w:val="dashed" w:sz="4" w:space="0" w:color="auto"/>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A56-A89+(A56_1-A89_1)*20%*</w:t>
            </w:r>
            <w:r w:rsidRPr="004D451D">
              <w:rPr>
                <w:rFonts w:ascii="標楷體" w:eastAsia="標楷體" w:hAnsi="標楷體" w:hint="eastAsia"/>
                <w:sz w:val="20"/>
                <w:szCs w:val="20"/>
              </w:rPr>
              <w:t>（</w:t>
            </w:r>
            <w:r w:rsidRPr="004D451D">
              <w:rPr>
                <w:rFonts w:ascii="標楷體" w:eastAsia="標楷體" w:hAnsi="標楷體"/>
                <w:sz w:val="20"/>
                <w:szCs w:val="20"/>
              </w:rPr>
              <w:t>5-</w:t>
            </w:r>
            <w:r w:rsidRPr="004D451D">
              <w:rPr>
                <w:rFonts w:ascii="標楷體" w:eastAsia="標楷體" w:hAnsi="標楷體" w:hint="eastAsia"/>
                <w:sz w:val="20"/>
                <w:szCs w:val="20"/>
              </w:rPr>
              <w:t>剩餘年限）</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11</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避險工具之利益及損失（利益應扣除，損失應加回）</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dashed" w:sz="4" w:space="0" w:color="auto"/>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dashed" w:sz="4" w:space="0" w:color="auto"/>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A108</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12</w:t>
            </w:r>
          </w:p>
        </w:tc>
        <w:tc>
          <w:tcPr>
            <w:tcW w:w="4860" w:type="dxa"/>
            <w:tcBorders>
              <w:top w:val="nil"/>
              <w:left w:val="nil"/>
              <w:bottom w:val="single" w:sz="4" w:space="0" w:color="auto"/>
              <w:right w:val="single" w:sz="4" w:space="0" w:color="auto"/>
            </w:tcBorders>
            <w:shd w:val="clear" w:color="000000" w:fill="FFFFFF"/>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預期損失提存不足數</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|A100|</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13</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證券化交易銷售獲利</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A103</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14</w:t>
            </w:r>
          </w:p>
        </w:tc>
        <w:tc>
          <w:tcPr>
            <w:tcW w:w="4860" w:type="dxa"/>
            <w:tcBorders>
              <w:top w:val="nil"/>
              <w:left w:val="nil"/>
              <w:bottom w:val="single" w:sz="4" w:space="0" w:color="auto"/>
              <w:right w:val="single" w:sz="4" w:space="0" w:color="auto"/>
            </w:tcBorders>
            <w:shd w:val="clear" w:color="000000" w:fill="FFFFFF"/>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以公允價值衡量之負債，因銀行自身信用風險改變而產生的利益</w:t>
            </w:r>
            <w:r w:rsidRPr="004D451D">
              <w:rPr>
                <w:rFonts w:ascii="標楷體" w:eastAsia="標楷體" w:hAnsi="標楷體"/>
                <w:sz w:val="20"/>
                <w:szCs w:val="20"/>
              </w:rPr>
              <w:t>/</w:t>
            </w:r>
            <w:r w:rsidRPr="004D451D">
              <w:rPr>
                <w:rFonts w:ascii="標楷體" w:eastAsia="標楷體" w:hAnsi="標楷體" w:hint="eastAsia"/>
                <w:sz w:val="20"/>
                <w:szCs w:val="20"/>
              </w:rPr>
              <w:t>損失（利益應扣除，損失應加回）</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-A69</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15</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確定福利負債提列不足數</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A60-A88+|A102|</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16</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銀行持有其所發行之資本工具（如庫藏股）</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105,942</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105,942</w:t>
            </w:r>
          </w:p>
        </w:tc>
        <w:tc>
          <w:tcPr>
            <w:tcW w:w="850" w:type="dxa"/>
            <w:tcBorders>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A109</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17</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交叉持股</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18</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投資於未納入法定合併基礎下之銀行、金融及保險機構的資本</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且持有單一金融機構資本未超過該發行機構股本的</w:t>
            </w:r>
            <w:r w:rsidRPr="004D451D">
              <w:rPr>
                <w:rFonts w:ascii="標楷體" w:eastAsia="標楷體" w:hAnsi="標楷體"/>
                <w:sz w:val="20"/>
                <w:szCs w:val="20"/>
              </w:rPr>
              <w:t>10%(</w:t>
            </w:r>
            <w:r w:rsidRPr="004D451D">
              <w:rPr>
                <w:rFonts w:ascii="標楷體" w:eastAsia="標楷體" w:hAnsi="標楷體" w:hint="eastAsia"/>
                <w:sz w:val="20"/>
                <w:szCs w:val="20"/>
              </w:rPr>
              <w:t>超過</w:t>
            </w:r>
            <w:r w:rsidRPr="004D451D">
              <w:rPr>
                <w:rFonts w:ascii="標楷體" w:eastAsia="標楷體" w:hAnsi="標楷體"/>
                <w:sz w:val="20"/>
                <w:szCs w:val="20"/>
              </w:rPr>
              <w:t>10%</w:t>
            </w:r>
            <w:r w:rsidRPr="004D451D">
              <w:rPr>
                <w:rFonts w:ascii="標楷體" w:eastAsia="標楷體" w:hAnsi="標楷體" w:hint="eastAsia"/>
                <w:sz w:val="20"/>
                <w:szCs w:val="20"/>
              </w:rPr>
              <w:t>限額者</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19</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對於未納入法定合併基礎之銀行、金融及保險機構</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等之重大普通股投資</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ascii="標楷體" w:eastAsia="標楷體" w:hAnsi="標楷體"/>
                <w:sz w:val="20"/>
                <w:szCs w:val="20"/>
              </w:rPr>
              <w:t>10%</w:t>
            </w:r>
            <w:r w:rsidRPr="004D451D">
              <w:rPr>
                <w:rFonts w:ascii="標楷體" w:eastAsia="標楷體" w:hAnsi="標楷體" w:hint="eastAsia"/>
                <w:sz w:val="20"/>
                <w:szCs w:val="20"/>
              </w:rPr>
              <w:t>限額者</w:t>
            </w:r>
            <w:r w:rsidRPr="004D451D">
              <w:rPr>
                <w:rFonts w:ascii="標楷體" w:eastAsia="標楷體" w:hAnsi="標楷體"/>
                <w:sz w:val="20"/>
                <w:szCs w:val="20"/>
              </w:rPr>
              <w:t>)</w:t>
            </w:r>
            <w:r w:rsidRPr="004D451D">
              <w:rPr>
                <w:rFonts w:ascii="標楷體" w:eastAsia="標楷體" w:hAnsi="標楷體" w:hint="eastAsia"/>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20</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房貸事務性服務權</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ascii="標楷體" w:eastAsia="標楷體" w:hAnsi="標楷體"/>
                <w:sz w:val="20"/>
                <w:szCs w:val="20"/>
              </w:rPr>
              <w:t>10%</w:t>
            </w:r>
            <w:r w:rsidRPr="004D451D">
              <w:rPr>
                <w:rFonts w:ascii="標楷體" w:eastAsia="標楷體" w:hAnsi="標楷體" w:hint="eastAsia"/>
                <w:sz w:val="20"/>
                <w:szCs w:val="20"/>
              </w:rPr>
              <w:t>限額者</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21</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因暫時性差異所產生之遞延所得稅資產</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ascii="標楷體" w:eastAsia="標楷體" w:hAnsi="標楷體"/>
                <w:sz w:val="20"/>
                <w:szCs w:val="20"/>
              </w:rPr>
              <w:t>10%</w:t>
            </w:r>
            <w:r w:rsidRPr="004D451D">
              <w:rPr>
                <w:rFonts w:ascii="標楷體" w:eastAsia="標楷體" w:hAnsi="標楷體" w:hint="eastAsia"/>
                <w:sz w:val="20"/>
                <w:szCs w:val="20"/>
              </w:rPr>
              <w:t>限額者，扣除相關所得稅負債</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A57-A90</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22</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超過</w:t>
            </w:r>
            <w:r w:rsidRPr="004D451D">
              <w:rPr>
                <w:rFonts w:ascii="標楷體" w:eastAsia="標楷體" w:hAnsi="標楷體"/>
                <w:sz w:val="20"/>
                <w:szCs w:val="20"/>
              </w:rPr>
              <w:t>15%</w:t>
            </w:r>
            <w:r w:rsidRPr="004D451D">
              <w:rPr>
                <w:rFonts w:ascii="標楷體" w:eastAsia="標楷體" w:hAnsi="標楷體" w:hint="eastAsia"/>
                <w:sz w:val="20"/>
                <w:szCs w:val="20"/>
              </w:rPr>
              <w:t>門檻的金額</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25</w:t>
            </w:r>
            <w:r w:rsidRPr="004D451D">
              <w:rPr>
                <w:rFonts w:ascii="標楷體" w:eastAsia="標楷體" w:hAnsi="標楷體" w:hint="eastAsia"/>
                <w:sz w:val="20"/>
                <w:szCs w:val="20"/>
              </w:rPr>
              <w:t>項</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23</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其中：重大投資於金融公司的普通股</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24</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其中：房貸事務性服務權</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25</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其中：由暫時性差異所產生的遞延所得稅資產</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A58-A91</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26</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各國特有的法定調整項目</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 xml:space="preserve">　</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kern w:val="0"/>
                <w:sz w:val="20"/>
                <w:szCs w:val="20"/>
              </w:rPr>
              <w:t>26a</w:t>
            </w:r>
          </w:p>
        </w:tc>
        <w:tc>
          <w:tcPr>
            <w:tcW w:w="4860"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ind w:leftChars="90" w:left="216"/>
              <w:rPr>
                <w:rFonts w:ascii="標楷體" w:eastAsia="標楷體" w:hAnsi="標楷體"/>
                <w:sz w:val="20"/>
                <w:szCs w:val="20"/>
              </w:rPr>
            </w:pPr>
            <w:r w:rsidRPr="004D451D">
              <w:rPr>
                <w:rFonts w:ascii="標楷體" w:eastAsia="標楷體" w:hAnsi="標楷體" w:hint="eastAsia"/>
                <w:sz w:val="20"/>
                <w:szCs w:val="20"/>
              </w:rPr>
              <w:t>不動產首次適用國際會計準則時，以公允價值或重估價值作為認定成本產生之保留盈餘增加數</w:t>
            </w:r>
          </w:p>
        </w:tc>
        <w:tc>
          <w:tcPr>
            <w:tcW w:w="1198"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A104</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標楷體" w:cs="新細明體"/>
                <w:kern w:val="0"/>
                <w:sz w:val="20"/>
                <w:szCs w:val="20"/>
              </w:rPr>
              <w:lastRenderedPageBreak/>
              <w:t>26b</w:t>
            </w:r>
          </w:p>
        </w:tc>
        <w:tc>
          <w:tcPr>
            <w:tcW w:w="4860"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ind w:leftChars="90" w:left="216"/>
              <w:rPr>
                <w:rFonts w:ascii="標楷體" w:eastAsia="標楷體" w:hAnsi="標楷體"/>
                <w:sz w:val="20"/>
                <w:szCs w:val="20"/>
              </w:rPr>
            </w:pPr>
            <w:r w:rsidRPr="004D451D">
              <w:rPr>
                <w:rFonts w:ascii="標楷體" w:eastAsia="標楷體" w:hAnsi="標楷體" w:hint="eastAsia"/>
                <w:sz w:val="20"/>
                <w:szCs w:val="20"/>
              </w:rPr>
              <w:t>透過其他綜合損益按公允價值衡量之權益工具及債務工具未實現評價利益</w:t>
            </w:r>
          </w:p>
        </w:tc>
        <w:tc>
          <w:tcPr>
            <w:tcW w:w="1198"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1,613,456</w:t>
            </w:r>
          </w:p>
        </w:tc>
        <w:tc>
          <w:tcPr>
            <w:tcW w:w="1276"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1,613,456</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A107</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標楷體" w:cs="新細明體"/>
                <w:kern w:val="0"/>
                <w:sz w:val="20"/>
                <w:szCs w:val="20"/>
              </w:rPr>
            </w:pPr>
            <w:r w:rsidRPr="004D451D">
              <w:rPr>
                <w:rFonts w:ascii="Garamond" w:eastAsia="標楷體" w:hAnsi="標楷體" w:cs="新細明體"/>
                <w:kern w:val="0"/>
                <w:sz w:val="20"/>
                <w:szCs w:val="20"/>
              </w:rPr>
              <w:t>26c</w:t>
            </w:r>
          </w:p>
        </w:tc>
        <w:tc>
          <w:tcPr>
            <w:tcW w:w="4860"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ind w:leftChars="90" w:left="216"/>
              <w:rPr>
                <w:rFonts w:ascii="標楷體" w:eastAsia="標楷體" w:hAnsi="標楷體"/>
                <w:sz w:val="20"/>
                <w:szCs w:val="20"/>
              </w:rPr>
            </w:pPr>
            <w:r w:rsidRPr="004D451D">
              <w:rPr>
                <w:rFonts w:ascii="標楷體" w:eastAsia="標楷體" w:hAnsi="標楷體" w:hint="eastAsia"/>
                <w:sz w:val="20"/>
                <w:szCs w:val="20"/>
              </w:rPr>
              <w:t>對金融相關事業之投資分類至銀行簿者</w:t>
            </w:r>
            <w:r w:rsidRPr="004D451D">
              <w:rPr>
                <w:rFonts w:ascii="標楷體" w:eastAsia="標楷體" w:hAnsi="標楷體"/>
                <w:sz w:val="20"/>
                <w:szCs w:val="20"/>
              </w:rPr>
              <w:t>(</w:t>
            </w:r>
            <w:r w:rsidRPr="004D451D">
              <w:rPr>
                <w:rFonts w:ascii="標楷體" w:eastAsia="標楷體" w:hAnsi="標楷體" w:hint="eastAsia"/>
                <w:sz w:val="20"/>
                <w:szCs w:val="20"/>
              </w:rPr>
              <w:t>或工業銀行之直接投資及投資不動產依規扣除數</w:t>
            </w:r>
            <w:r w:rsidRPr="004D451D">
              <w:rPr>
                <w:rFonts w:ascii="標楷體" w:eastAsia="標楷體" w:hAnsi="標楷體"/>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396,418</w:t>
            </w:r>
          </w:p>
        </w:tc>
        <w:tc>
          <w:tcPr>
            <w:tcW w:w="1276"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119,622</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A9+A19+A29+A34+A44(</w:t>
            </w:r>
            <w:r w:rsidRPr="004D451D">
              <w:rPr>
                <w:rFonts w:ascii="標楷體" w:eastAsia="標楷體" w:hAnsi="標楷體" w:hint="eastAsia"/>
                <w:sz w:val="20"/>
                <w:szCs w:val="20"/>
              </w:rPr>
              <w:t>適用於商業銀行；工業銀行應依步驟二實際展開項目進行對照</w:t>
            </w:r>
            <w:r w:rsidRPr="004D451D">
              <w:rPr>
                <w:rFonts w:ascii="標楷體" w:eastAsia="標楷體" w:hAnsi="標楷體"/>
                <w:sz w:val="20"/>
                <w:szCs w:val="20"/>
              </w:rPr>
              <w:t>)</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kern w:val="0"/>
                <w:sz w:val="20"/>
                <w:szCs w:val="20"/>
              </w:rPr>
              <w:t>26d</w:t>
            </w:r>
          </w:p>
        </w:tc>
        <w:tc>
          <w:tcPr>
            <w:tcW w:w="4860"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ind w:leftChars="90" w:left="216"/>
              <w:rPr>
                <w:rFonts w:ascii="標楷體" w:eastAsia="標楷體" w:hAnsi="標楷體"/>
                <w:sz w:val="20"/>
                <w:szCs w:val="20"/>
              </w:rPr>
            </w:pPr>
            <w:r w:rsidRPr="004D451D">
              <w:rPr>
                <w:rFonts w:ascii="標楷體" w:eastAsia="標楷體" w:hAnsi="標楷體" w:hint="eastAsia"/>
                <w:sz w:val="20"/>
                <w:szCs w:val="20"/>
              </w:rPr>
              <w:t>投資證券化受益證券或資產基礎證券其資產池中具有金融相關事業所發行之資本工具之約當帳列金額</w:t>
            </w:r>
          </w:p>
        </w:tc>
        <w:tc>
          <w:tcPr>
            <w:tcW w:w="1198"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A2+A14+A24+A39+A49</w:t>
            </w:r>
          </w:p>
        </w:tc>
      </w:tr>
      <w:tr w:rsidR="004D451D" w:rsidRPr="004D451D" w:rsidTr="009F53B0">
        <w:trPr>
          <w:trHeight w:val="7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kern w:val="0"/>
                <w:sz w:val="20"/>
                <w:szCs w:val="20"/>
              </w:rPr>
              <w:t>26e</w:t>
            </w:r>
          </w:p>
        </w:tc>
        <w:tc>
          <w:tcPr>
            <w:tcW w:w="4860"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ind w:leftChars="90" w:left="216"/>
              <w:rPr>
                <w:rFonts w:ascii="標楷體" w:eastAsia="標楷體" w:hAnsi="標楷體"/>
                <w:sz w:val="20"/>
                <w:szCs w:val="20"/>
              </w:rPr>
            </w:pPr>
            <w:r w:rsidRPr="004D451D">
              <w:rPr>
                <w:rFonts w:ascii="標楷體" w:eastAsia="標楷體" w:hAnsi="標楷體" w:hint="eastAsia"/>
                <w:sz w:val="20"/>
                <w:szCs w:val="20"/>
              </w:rPr>
              <w:t>投資性不動產後續衡量採公允價值模式所認列之增值利益</w:t>
            </w:r>
          </w:p>
        </w:tc>
        <w:tc>
          <w:tcPr>
            <w:tcW w:w="1198"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sz w:val="20"/>
                <w:szCs w:val="20"/>
              </w:rPr>
            </w:pPr>
            <w:r w:rsidRPr="004D451D">
              <w:rPr>
                <w:rFonts w:ascii="標楷體" w:eastAsia="標楷體" w:hAnsi="標楷體"/>
                <w:sz w:val="20"/>
                <w:szCs w:val="20"/>
              </w:rPr>
              <w:t>A104_1</w:t>
            </w:r>
            <w:r w:rsidRPr="004D451D">
              <w:rPr>
                <w:rFonts w:ascii="標楷體" w:eastAsia="標楷體" w:hAnsi="標楷體" w:hint="eastAsia"/>
                <w:sz w:val="20"/>
                <w:szCs w:val="20"/>
              </w:rPr>
              <w:t>+A108_1</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26f</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rPr>
                <w:rFonts w:eastAsia="標楷體"/>
                <w:sz w:val="20"/>
                <w:szCs w:val="20"/>
              </w:rPr>
            </w:pPr>
            <w:r w:rsidRPr="004D451D">
              <w:rPr>
                <w:rFonts w:ascii="標楷體" w:eastAsia="標楷體" w:hAnsi="標楷體"/>
                <w:sz w:val="20"/>
                <w:szCs w:val="20"/>
              </w:rPr>
              <w:t xml:space="preserve">  </w:t>
            </w:r>
            <w:r w:rsidRPr="004D451D">
              <w:rPr>
                <w:rFonts w:eastAsia="標楷體"/>
                <w:sz w:val="20"/>
                <w:szCs w:val="20"/>
              </w:rPr>
              <w:t>101</w:t>
            </w:r>
            <w:r w:rsidRPr="004D451D">
              <w:rPr>
                <w:rFonts w:eastAsia="標楷體" w:hint="eastAsia"/>
                <w:sz w:val="20"/>
                <w:szCs w:val="20"/>
              </w:rPr>
              <w:t>年</w:t>
            </w:r>
            <w:r w:rsidRPr="004D451D">
              <w:rPr>
                <w:rFonts w:eastAsia="標楷體"/>
                <w:sz w:val="20"/>
                <w:szCs w:val="20"/>
              </w:rPr>
              <w:t>1</w:t>
            </w:r>
            <w:r w:rsidRPr="004D451D">
              <w:rPr>
                <w:rFonts w:eastAsia="標楷體" w:hint="eastAsia"/>
                <w:sz w:val="20"/>
                <w:szCs w:val="20"/>
              </w:rPr>
              <w:t>月</w:t>
            </w:r>
            <w:r w:rsidRPr="004D451D">
              <w:rPr>
                <w:rFonts w:eastAsia="標楷體"/>
                <w:sz w:val="20"/>
                <w:szCs w:val="20"/>
              </w:rPr>
              <w:t>1</w:t>
            </w:r>
            <w:r w:rsidRPr="004D451D">
              <w:rPr>
                <w:rFonts w:eastAsia="標楷體" w:hint="eastAsia"/>
                <w:sz w:val="20"/>
                <w:szCs w:val="20"/>
              </w:rPr>
              <w:t>日後不動產售後租回利益</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rPr>
                <w:rFonts w:ascii="標楷體" w:eastAsia="標楷體" w:hAnsi="標楷體"/>
                <w:sz w:val="20"/>
                <w:szCs w:val="20"/>
              </w:rPr>
            </w:pPr>
            <w:r w:rsidRPr="004D451D">
              <w:rPr>
                <w:rFonts w:ascii="標楷體" w:eastAsia="標楷體" w:hAnsi="標楷體"/>
                <w:sz w:val="20"/>
                <w:szCs w:val="20"/>
              </w:rPr>
              <w:t>A104_2</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26g</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ind w:leftChars="85" w:left="204"/>
              <w:rPr>
                <w:rFonts w:ascii="標楷體" w:eastAsia="標楷體" w:hAnsi="標楷體"/>
                <w:sz w:val="20"/>
                <w:szCs w:val="20"/>
              </w:rPr>
            </w:pPr>
            <w:r w:rsidRPr="004D451D">
              <w:rPr>
                <w:rFonts w:ascii="標楷體" w:eastAsia="標楷體" w:hAnsi="標楷體" w:hint="eastAsia"/>
                <w:sz w:val="20"/>
                <w:szCs w:val="20"/>
              </w:rPr>
              <w:t>其他依規定或監理要求不得列入普通股權益第一類資本之保留盈餘數</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rPr>
                <w:rFonts w:ascii="標楷體" w:eastAsia="標楷體" w:hAnsi="標楷體"/>
                <w:sz w:val="20"/>
                <w:szCs w:val="20"/>
              </w:rPr>
            </w:pPr>
            <w:r w:rsidRPr="004D451D">
              <w:rPr>
                <w:rFonts w:ascii="標楷體" w:eastAsia="標楷體" w:hAnsi="標楷體"/>
                <w:sz w:val="20"/>
                <w:szCs w:val="20"/>
              </w:rPr>
              <w:t>A104_3</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27</w:t>
            </w:r>
          </w:p>
        </w:tc>
        <w:tc>
          <w:tcPr>
            <w:tcW w:w="4860" w:type="dxa"/>
            <w:tcBorders>
              <w:top w:val="single" w:sz="4" w:space="0" w:color="auto"/>
              <w:left w:val="nil"/>
              <w:bottom w:val="single" w:sz="4" w:space="0" w:color="auto"/>
              <w:right w:val="single" w:sz="4" w:space="0" w:color="auto"/>
            </w:tcBorders>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其他第一類及第二類資本扣除不足數而自普通股權益扣除金額</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396,418</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119,622</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A5+A12+A17+A22+A27+A32+A37+A42+A47+A52</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28</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普通股權益第一類資本的法定調整合計數</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2,512,233</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1,958,642</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=sum(</w:t>
            </w:r>
            <w:r w:rsidRPr="004D451D">
              <w:rPr>
                <w:rFonts w:ascii="標楷體" w:eastAsia="標楷體" w:hAnsi="標楷體" w:hint="eastAsia"/>
                <w:sz w:val="20"/>
                <w:szCs w:val="20"/>
              </w:rPr>
              <w:t>第</w:t>
            </w:r>
            <w:r w:rsidRPr="004D451D">
              <w:rPr>
                <w:rFonts w:ascii="標楷體" w:eastAsia="標楷體" w:hAnsi="標楷體"/>
                <w:sz w:val="20"/>
                <w:szCs w:val="20"/>
              </w:rPr>
              <w:t>7</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22</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26</w:t>
            </w:r>
            <w:r w:rsidRPr="004D451D">
              <w:rPr>
                <w:rFonts w:ascii="標楷體" w:eastAsia="標楷體" w:hAnsi="標楷體" w:hint="eastAsia"/>
                <w:sz w:val="20"/>
                <w:szCs w:val="20"/>
              </w:rPr>
              <w:t>項</w:t>
            </w:r>
            <w:r w:rsidRPr="004D451D">
              <w:rPr>
                <w:rFonts w:ascii="標楷體" w:eastAsia="標楷體" w:hAnsi="標楷體"/>
                <w:sz w:val="20"/>
                <w:szCs w:val="20"/>
              </w:rPr>
              <w:t>a:</w:t>
            </w:r>
            <w:r w:rsidRPr="004D451D">
              <w:rPr>
                <w:rFonts w:ascii="標楷體" w:eastAsia="標楷體" w:hAnsi="標楷體" w:hint="eastAsia"/>
                <w:sz w:val="20"/>
                <w:szCs w:val="20"/>
              </w:rPr>
              <w:t>第</w:t>
            </w:r>
            <w:r w:rsidRPr="004D451D">
              <w:rPr>
                <w:rFonts w:ascii="標楷體" w:eastAsia="標楷體" w:hAnsi="標楷體"/>
                <w:sz w:val="20"/>
                <w:szCs w:val="20"/>
              </w:rPr>
              <w:t>27</w:t>
            </w:r>
            <w:r w:rsidRPr="004D451D">
              <w:rPr>
                <w:rFonts w:ascii="標楷體" w:eastAsia="標楷體" w:hAnsi="標楷體" w:hint="eastAsia"/>
                <w:sz w:val="20"/>
                <w:szCs w:val="20"/>
              </w:rPr>
              <w:t>項</w:t>
            </w:r>
            <w:r w:rsidRPr="004D451D">
              <w:rPr>
                <w:rFonts w:ascii="標楷體" w:eastAsia="標楷體" w:hAnsi="標楷體"/>
                <w:sz w:val="20"/>
                <w:szCs w:val="20"/>
              </w:rPr>
              <w:t>)</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29</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普通股權益第一類資本</w:t>
            </w:r>
            <w:r w:rsidRPr="004D451D">
              <w:rPr>
                <w:rFonts w:eastAsia="標楷體" w:hAnsi="標楷體" w:hint="eastAsia"/>
                <w:b/>
                <w:bCs/>
                <w:sz w:val="20"/>
                <w:szCs w:val="20"/>
              </w:rPr>
              <w:t>（</w:t>
            </w:r>
            <w:r w:rsidRPr="004D451D">
              <w:rPr>
                <w:rFonts w:eastAsia="標楷體"/>
                <w:b/>
                <w:bCs/>
                <w:sz w:val="20"/>
                <w:szCs w:val="20"/>
              </w:rPr>
              <w:t>CET1</w:t>
            </w:r>
            <w:r w:rsidRPr="004D451D">
              <w:rPr>
                <w:rFonts w:eastAsia="標楷體" w:hAnsi="標楷體" w:hint="eastAsia"/>
                <w:b/>
                <w:bCs/>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33,799,408</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34,353,000</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6</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28</w:t>
            </w:r>
            <w:r w:rsidRPr="004D451D">
              <w:rPr>
                <w:rFonts w:ascii="標楷體" w:eastAsia="標楷體" w:hAnsi="標楷體" w:hint="eastAsia"/>
                <w:sz w:val="20"/>
                <w:szCs w:val="20"/>
              </w:rPr>
              <w:t>項</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hint="eastAsia"/>
                <w:b/>
                <w:bCs/>
                <w:kern w:val="0"/>
                <w:sz w:val="20"/>
                <w:szCs w:val="20"/>
              </w:rPr>
              <w:t>其他第一類資本：資本工具</w:t>
            </w: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 xml:space="preserve">　</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30</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直接發行的合格其他第一類資本工具</w:t>
            </w:r>
            <w:r w:rsidRPr="004D451D">
              <w:rPr>
                <w:rFonts w:ascii="標楷體" w:eastAsia="標楷體" w:hAnsi="標楷體"/>
                <w:sz w:val="20"/>
                <w:szCs w:val="20"/>
              </w:rPr>
              <w:t>(</w:t>
            </w:r>
            <w:r w:rsidRPr="004D451D">
              <w:rPr>
                <w:rFonts w:ascii="標楷體" w:eastAsia="標楷體" w:hAnsi="標楷體" w:hint="eastAsia"/>
                <w:sz w:val="20"/>
                <w:szCs w:val="20"/>
              </w:rPr>
              <w:t>含相關股本溢價</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31</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32</w:t>
            </w:r>
            <w:r w:rsidRPr="004D451D">
              <w:rPr>
                <w:rFonts w:ascii="標楷體" w:eastAsia="標楷體" w:hAnsi="標楷體" w:hint="eastAsia"/>
                <w:sz w:val="20"/>
                <w:szCs w:val="20"/>
              </w:rPr>
              <w:t>項</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31</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其中：現行的會計準則分類為股東權益</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A94+A97</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32</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其中：現行的會計準則分類為負債</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A61+A70+A78</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33</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jc w:val="both"/>
              <w:rPr>
                <w:rFonts w:ascii="標楷體" w:eastAsia="標楷體" w:hAnsi="標楷體" w:cs="新細明體"/>
                <w:sz w:val="20"/>
                <w:szCs w:val="20"/>
              </w:rPr>
            </w:pPr>
            <w:r w:rsidRPr="004D451D">
              <w:rPr>
                <w:rFonts w:ascii="標楷體" w:eastAsia="標楷體" w:hAnsi="標楷體" w:hint="eastAsia"/>
                <w:sz w:val="20"/>
                <w:szCs w:val="20"/>
              </w:rPr>
              <w:t>從其他第一類資本分階段扣除的直接發行資本工具（即自</w:t>
            </w:r>
            <w:r w:rsidRPr="004D451D">
              <w:rPr>
                <w:rFonts w:ascii="標楷體" w:eastAsia="標楷體" w:hAnsi="標楷體"/>
                <w:sz w:val="20"/>
                <w:szCs w:val="20"/>
              </w:rPr>
              <w:t>102</w:t>
            </w:r>
            <w:r w:rsidRPr="004D451D">
              <w:rPr>
                <w:rFonts w:ascii="標楷體" w:eastAsia="標楷體" w:hAnsi="標楷體" w:hint="eastAsia"/>
                <w:sz w:val="20"/>
                <w:szCs w:val="20"/>
              </w:rPr>
              <w:t>年起需每年至少遞減</w:t>
            </w:r>
            <w:r w:rsidRPr="004D451D">
              <w:rPr>
                <w:rFonts w:ascii="標楷體" w:eastAsia="標楷體" w:hAnsi="標楷體"/>
                <w:sz w:val="20"/>
                <w:szCs w:val="20"/>
              </w:rPr>
              <w:t>10%</w:t>
            </w:r>
            <w:r w:rsidRPr="004D451D">
              <w:rPr>
                <w:rFonts w:ascii="標楷體" w:eastAsia="標楷體" w:hAnsi="標楷體" w:hint="eastAsia"/>
                <w:sz w:val="20"/>
                <w:szCs w:val="20"/>
              </w:rPr>
              <w:t>之母公司發行之其他第一類資本工具）</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A62+A71+A79+A95+A98</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34</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jc w:val="both"/>
              <w:rPr>
                <w:rFonts w:ascii="標楷體" w:eastAsia="標楷體" w:hAnsi="標楷體" w:cs="新細明體"/>
                <w:sz w:val="20"/>
                <w:szCs w:val="20"/>
              </w:rPr>
            </w:pPr>
            <w:r w:rsidRPr="004D451D">
              <w:rPr>
                <w:rFonts w:ascii="標楷體" w:eastAsia="標楷體" w:hAnsi="標楷體" w:hint="eastAsia"/>
                <w:sz w:val="20"/>
                <w:szCs w:val="20"/>
              </w:rPr>
              <w:t>子公司發行非由母公司持有之其他第一類資本</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A65+A66+A74+A75+A82+A83+A111</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35</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ind w:left="700" w:hangingChars="350" w:hanging="700"/>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w:t>
            </w:r>
            <w:r w:rsidRPr="004D451D">
              <w:rPr>
                <w:rFonts w:ascii="標楷體" w:eastAsia="標楷體" w:hAnsi="標楷體"/>
                <w:sz w:val="20"/>
                <w:szCs w:val="20"/>
              </w:rPr>
              <w:t>:</w:t>
            </w:r>
            <w:r w:rsidRPr="004D451D">
              <w:rPr>
                <w:rFonts w:ascii="標楷體" w:eastAsia="標楷體" w:hAnsi="標楷體" w:hint="eastAsia"/>
                <w:sz w:val="20"/>
                <w:szCs w:val="20"/>
              </w:rPr>
              <w:t>由子公司發行分階段扣除的資本工具（即自</w:t>
            </w:r>
            <w:r w:rsidRPr="004D451D">
              <w:rPr>
                <w:rFonts w:ascii="標楷體" w:eastAsia="標楷體" w:hAnsi="標楷體"/>
                <w:sz w:val="20"/>
                <w:szCs w:val="20"/>
              </w:rPr>
              <w:t>102</w:t>
            </w:r>
            <w:r w:rsidRPr="004D451D">
              <w:rPr>
                <w:rFonts w:ascii="標楷體" w:eastAsia="標楷體" w:hAnsi="標楷體" w:hint="eastAsia"/>
                <w:sz w:val="20"/>
                <w:szCs w:val="20"/>
              </w:rPr>
              <w:t>年起需每年至少遞減</w:t>
            </w:r>
            <w:r w:rsidRPr="004D451D">
              <w:rPr>
                <w:rFonts w:ascii="標楷體" w:eastAsia="標楷體" w:hAnsi="標楷體"/>
                <w:sz w:val="20"/>
                <w:szCs w:val="20"/>
              </w:rPr>
              <w:t>10%</w:t>
            </w:r>
            <w:r w:rsidRPr="004D451D">
              <w:rPr>
                <w:rFonts w:ascii="標楷體" w:eastAsia="標楷體" w:hAnsi="標楷體" w:hint="eastAsia"/>
                <w:sz w:val="20"/>
                <w:szCs w:val="20"/>
              </w:rPr>
              <w:t>之子公司發行非由母公司持有之其他第一類資本工具）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A66+A75+A83</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36</w:t>
            </w:r>
          </w:p>
        </w:tc>
        <w:tc>
          <w:tcPr>
            <w:tcW w:w="4860" w:type="dxa"/>
            <w:tcBorders>
              <w:top w:val="nil"/>
              <w:left w:val="nil"/>
              <w:bottom w:val="single" w:sz="4" w:space="0" w:color="auto"/>
              <w:right w:val="single" w:sz="4" w:space="0" w:color="auto"/>
            </w:tcBorders>
            <w:shd w:val="clear" w:color="000000" w:fill="C0C0C0"/>
            <w:vAlign w:val="center"/>
          </w:tcPr>
          <w:p w:rsidR="005545A5" w:rsidRPr="004D451D" w:rsidRDefault="005545A5"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法定調整前之其他第一類資本</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30</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33</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34</w:t>
            </w:r>
            <w:r w:rsidRPr="004D451D">
              <w:rPr>
                <w:rFonts w:ascii="標楷體" w:eastAsia="標楷體" w:hAnsi="標楷體" w:hint="eastAsia"/>
                <w:sz w:val="20"/>
                <w:szCs w:val="20"/>
              </w:rPr>
              <w:t>項</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hint="eastAsia"/>
                <w:b/>
                <w:bCs/>
                <w:kern w:val="0"/>
                <w:sz w:val="20"/>
                <w:szCs w:val="20"/>
              </w:rPr>
              <w:t>其他第一類資本：法定調整</w:t>
            </w: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 xml:space="preserve">　</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37</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銀行持有其所發行之其他第一類資本工具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38</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與銀行本身以外之金融相關事業交叉持有之其他第一類資本工具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39</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jc w:val="both"/>
              <w:rPr>
                <w:rFonts w:ascii="標楷體" w:eastAsia="標楷體" w:hAnsi="標楷體" w:cs="新細明體"/>
                <w:sz w:val="20"/>
                <w:szCs w:val="20"/>
              </w:rPr>
            </w:pPr>
            <w:r w:rsidRPr="004D451D">
              <w:rPr>
                <w:rFonts w:ascii="標楷體" w:eastAsia="標楷體" w:hAnsi="標楷體" w:hint="eastAsia"/>
                <w:sz w:val="20"/>
                <w:szCs w:val="20"/>
              </w:rPr>
              <w:t>投資於未納入法定合併基礎下之銀行、金融及保險機構的資本</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且持有單一金融機構資本未超過該發行機構普通股的</w:t>
            </w:r>
            <w:r w:rsidRPr="004D451D">
              <w:rPr>
                <w:rFonts w:ascii="標楷體" w:eastAsia="標楷體" w:hAnsi="標楷體"/>
                <w:sz w:val="20"/>
                <w:szCs w:val="20"/>
              </w:rPr>
              <w:t>10%(</w:t>
            </w:r>
            <w:r w:rsidRPr="004D451D">
              <w:rPr>
                <w:rFonts w:ascii="標楷體" w:eastAsia="標楷體" w:hAnsi="標楷體" w:hint="eastAsia"/>
                <w:sz w:val="20"/>
                <w:szCs w:val="20"/>
              </w:rPr>
              <w:t>超過</w:t>
            </w:r>
            <w:r w:rsidRPr="004D451D">
              <w:rPr>
                <w:rFonts w:ascii="標楷體" w:eastAsia="標楷體" w:hAnsi="標楷體"/>
                <w:sz w:val="20"/>
                <w:szCs w:val="20"/>
              </w:rPr>
              <w:t>10%</w:t>
            </w:r>
            <w:r w:rsidRPr="004D451D">
              <w:rPr>
                <w:rFonts w:ascii="標楷體" w:eastAsia="標楷體" w:hAnsi="標楷體" w:hint="eastAsia"/>
                <w:sz w:val="20"/>
                <w:szCs w:val="20"/>
              </w:rPr>
              <w:t>限額的金額</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40</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對於未納入法定合併基礎之銀行、金融及保險機構</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等之重大資本投資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41</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各國特有的法定調整項目</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41a</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ind w:leftChars="90" w:left="216"/>
              <w:rPr>
                <w:rFonts w:ascii="標楷體" w:eastAsia="標楷體" w:hAnsi="標楷體"/>
                <w:sz w:val="20"/>
                <w:szCs w:val="20"/>
              </w:rPr>
            </w:pPr>
            <w:r w:rsidRPr="004D451D">
              <w:rPr>
                <w:rFonts w:ascii="標楷體" w:eastAsia="標楷體" w:hAnsi="標楷體" w:hint="eastAsia"/>
                <w:sz w:val="20"/>
                <w:szCs w:val="20"/>
              </w:rPr>
              <w:t>對金融相關事業之資本投資分類至銀行簿者</w:t>
            </w:r>
            <w:r w:rsidRPr="004D451D">
              <w:rPr>
                <w:rFonts w:ascii="標楷體" w:eastAsia="標楷體" w:hAnsi="標楷體"/>
                <w:sz w:val="20"/>
                <w:szCs w:val="20"/>
              </w:rPr>
              <w:t>(</w:t>
            </w:r>
            <w:r w:rsidRPr="004D451D">
              <w:rPr>
                <w:rFonts w:ascii="標楷體" w:eastAsia="標楷體" w:hAnsi="標楷體" w:hint="eastAsia"/>
                <w:sz w:val="20"/>
                <w:szCs w:val="20"/>
              </w:rPr>
              <w:t>或工業銀行之直接投資及投資不動產依規扣除數</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A10+A20+A30+A35+A45(</w:t>
            </w:r>
            <w:r w:rsidRPr="004D451D">
              <w:rPr>
                <w:rFonts w:ascii="標楷體" w:eastAsia="標楷體" w:hAnsi="標楷體" w:hint="eastAsia"/>
                <w:sz w:val="20"/>
                <w:szCs w:val="20"/>
              </w:rPr>
              <w:t>適用於商業銀行；工業銀行應</w:t>
            </w:r>
            <w:r w:rsidRPr="004D451D">
              <w:rPr>
                <w:rFonts w:ascii="標楷體" w:eastAsia="標楷體" w:hAnsi="標楷體" w:hint="eastAsia"/>
                <w:sz w:val="20"/>
                <w:szCs w:val="20"/>
              </w:rPr>
              <w:lastRenderedPageBreak/>
              <w:t>依步驟二實際展開項目進行對照</w:t>
            </w:r>
            <w:r w:rsidRPr="004D451D">
              <w:rPr>
                <w:rFonts w:ascii="標楷體" w:eastAsia="標楷體" w:hAnsi="標楷體"/>
                <w:sz w:val="20"/>
                <w:szCs w:val="20"/>
              </w:rPr>
              <w:t>)</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lastRenderedPageBreak/>
              <w:t>41b</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ind w:leftChars="90" w:left="216"/>
              <w:rPr>
                <w:rFonts w:ascii="標楷體" w:eastAsia="標楷體" w:hAnsi="標楷體"/>
                <w:sz w:val="20"/>
                <w:szCs w:val="20"/>
              </w:rPr>
            </w:pPr>
            <w:r w:rsidRPr="004D451D">
              <w:rPr>
                <w:rFonts w:ascii="標楷體" w:eastAsia="標楷體" w:hAnsi="標楷體" w:hint="eastAsia"/>
                <w:sz w:val="20"/>
                <w:szCs w:val="20"/>
              </w:rPr>
              <w:t>投資證券化受益證券或資產基礎證券其資產池中具有金融相關事業所發行之資本工具之約當帳列金額</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A3+A15+A25+A40+A50</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42</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因第二類資本扣除不足數而自其他第一類資本扣除金額</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A6+A13+A18+A23+A28+A33+A38+A43+A48+A53</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43</w:t>
            </w:r>
          </w:p>
        </w:tc>
        <w:tc>
          <w:tcPr>
            <w:tcW w:w="4860" w:type="dxa"/>
            <w:tcBorders>
              <w:top w:val="nil"/>
              <w:left w:val="nil"/>
              <w:bottom w:val="single" w:sz="4" w:space="0" w:color="auto"/>
              <w:right w:val="single" w:sz="4" w:space="0" w:color="auto"/>
            </w:tcBorders>
            <w:shd w:val="clear" w:color="000000" w:fill="C0C0C0"/>
            <w:vAlign w:val="center"/>
          </w:tcPr>
          <w:p w:rsidR="005545A5" w:rsidRPr="004D451D" w:rsidRDefault="005545A5" w:rsidP="005545A5">
            <w:pPr>
              <w:widowControl/>
              <w:rPr>
                <w:rFonts w:ascii="Garamond" w:eastAsia="標楷體" w:hAnsi="Garamond" w:cs="新細明體"/>
                <w:b/>
                <w:bCs/>
                <w:kern w:val="0"/>
                <w:sz w:val="20"/>
                <w:szCs w:val="20"/>
              </w:rPr>
            </w:pPr>
            <w:r w:rsidRPr="004D451D">
              <w:rPr>
                <w:rFonts w:ascii="Garamond" w:eastAsia="標楷體" w:hAnsi="標楷體" w:cs="新細明體" w:hint="eastAsia"/>
                <w:b/>
                <w:bCs/>
                <w:kern w:val="0"/>
                <w:sz w:val="20"/>
                <w:szCs w:val="20"/>
              </w:rPr>
              <w:t>其他第一類資本法定調整合計數</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=sum(</w:t>
            </w:r>
            <w:r w:rsidRPr="004D451D">
              <w:rPr>
                <w:rFonts w:ascii="標楷體" w:eastAsia="標楷體" w:hAnsi="標楷體" w:hint="eastAsia"/>
                <w:sz w:val="20"/>
                <w:szCs w:val="20"/>
              </w:rPr>
              <w:t>第</w:t>
            </w:r>
            <w:r w:rsidRPr="004D451D">
              <w:rPr>
                <w:rFonts w:ascii="標楷體" w:eastAsia="標楷體" w:hAnsi="標楷體"/>
                <w:sz w:val="20"/>
                <w:szCs w:val="20"/>
              </w:rPr>
              <w:t>37</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42</w:t>
            </w:r>
            <w:r w:rsidRPr="004D451D">
              <w:rPr>
                <w:rFonts w:ascii="標楷體" w:eastAsia="標楷體" w:hAnsi="標楷體" w:hint="eastAsia"/>
                <w:sz w:val="20"/>
                <w:szCs w:val="20"/>
              </w:rPr>
              <w:t>項</w:t>
            </w:r>
            <w:r w:rsidRPr="004D451D">
              <w:rPr>
                <w:rFonts w:ascii="標楷體" w:eastAsia="標楷體" w:hAnsi="標楷體"/>
                <w:sz w:val="20"/>
                <w:szCs w:val="20"/>
              </w:rPr>
              <w:t>)</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44</w:t>
            </w:r>
          </w:p>
        </w:tc>
        <w:tc>
          <w:tcPr>
            <w:tcW w:w="4860" w:type="dxa"/>
            <w:tcBorders>
              <w:top w:val="nil"/>
              <w:left w:val="nil"/>
              <w:bottom w:val="single" w:sz="4" w:space="0" w:color="auto"/>
              <w:right w:val="single" w:sz="4" w:space="0" w:color="auto"/>
            </w:tcBorders>
            <w:shd w:val="clear" w:color="000000" w:fill="C0C0C0"/>
            <w:vAlign w:val="center"/>
          </w:tcPr>
          <w:p w:rsidR="005545A5" w:rsidRPr="004D451D" w:rsidRDefault="005545A5" w:rsidP="005545A5">
            <w:pPr>
              <w:widowControl/>
              <w:rPr>
                <w:rFonts w:ascii="Garamond" w:eastAsia="標楷體" w:hAnsi="Garamond" w:cs="新細明體"/>
                <w:b/>
                <w:bCs/>
                <w:kern w:val="0"/>
                <w:sz w:val="20"/>
                <w:szCs w:val="20"/>
              </w:rPr>
            </w:pPr>
            <w:r w:rsidRPr="004D451D">
              <w:rPr>
                <w:rFonts w:ascii="Garamond" w:eastAsia="標楷體" w:hAnsi="標楷體" w:cs="新細明體" w:hint="eastAsia"/>
                <w:b/>
                <w:bCs/>
                <w:kern w:val="0"/>
                <w:sz w:val="20"/>
                <w:szCs w:val="20"/>
              </w:rPr>
              <w:t>其他第一類資本</w:t>
            </w:r>
            <w:r w:rsidRPr="004D451D">
              <w:rPr>
                <w:rFonts w:ascii="Garamond" w:eastAsia="標楷體" w:hAnsi="Garamond" w:cs="新細明體"/>
                <w:b/>
                <w:bCs/>
                <w:kern w:val="0"/>
                <w:sz w:val="20"/>
                <w:szCs w:val="20"/>
              </w:rPr>
              <w:t>(AT1)</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36</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43</w:t>
            </w:r>
            <w:r w:rsidRPr="004D451D">
              <w:rPr>
                <w:rFonts w:ascii="標楷體" w:eastAsia="標楷體" w:hAnsi="標楷體" w:hint="eastAsia"/>
                <w:sz w:val="20"/>
                <w:szCs w:val="20"/>
              </w:rPr>
              <w:t>項</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45</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b/>
                <w:bCs/>
                <w:kern w:val="0"/>
                <w:sz w:val="20"/>
                <w:szCs w:val="20"/>
              </w:rPr>
            </w:pPr>
            <w:r w:rsidRPr="004D451D">
              <w:rPr>
                <w:rFonts w:ascii="Garamond" w:eastAsia="標楷體" w:hAnsi="標楷體" w:cs="新細明體" w:hint="eastAsia"/>
                <w:b/>
                <w:bCs/>
                <w:kern w:val="0"/>
                <w:sz w:val="20"/>
                <w:szCs w:val="20"/>
              </w:rPr>
              <w:t>第一類資本</w:t>
            </w:r>
            <w:r w:rsidRPr="004D451D">
              <w:rPr>
                <w:rFonts w:ascii="Garamond" w:eastAsia="標楷體" w:hAnsi="Garamond" w:cs="新細明體"/>
                <w:b/>
                <w:bCs/>
                <w:kern w:val="0"/>
                <w:sz w:val="20"/>
                <w:szCs w:val="20"/>
              </w:rPr>
              <w:t>(T1=CET1+AT1)</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33,799,408</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34,353,000</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29</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44</w:t>
            </w:r>
            <w:r w:rsidRPr="004D451D">
              <w:rPr>
                <w:rFonts w:ascii="標楷體" w:eastAsia="標楷體" w:hAnsi="標楷體" w:hint="eastAsia"/>
                <w:sz w:val="20"/>
                <w:szCs w:val="20"/>
              </w:rPr>
              <w:t>項</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hint="eastAsia"/>
                <w:b/>
                <w:bCs/>
                <w:kern w:val="0"/>
                <w:sz w:val="20"/>
                <w:szCs w:val="20"/>
              </w:rPr>
              <w:t>第二類資本</w:t>
            </w:r>
            <w:r w:rsidRPr="004D451D">
              <w:rPr>
                <w:rFonts w:ascii="Garamond" w:eastAsia="標楷體" w:hAnsi="Garamond" w:cs="新細明體"/>
                <w:b/>
                <w:bCs/>
                <w:kern w:val="0"/>
                <w:sz w:val="20"/>
                <w:szCs w:val="20"/>
              </w:rPr>
              <w:t>:</w:t>
            </w:r>
            <w:r w:rsidRPr="004D451D">
              <w:rPr>
                <w:rFonts w:ascii="Garamond" w:eastAsia="標楷體" w:hAnsi="標楷體" w:cs="新細明體" w:hint="eastAsia"/>
                <w:b/>
                <w:bCs/>
                <w:kern w:val="0"/>
                <w:sz w:val="20"/>
                <w:szCs w:val="20"/>
              </w:rPr>
              <w:t>資本工具與提存準備</w:t>
            </w: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 xml:space="preserve">　</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46</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直接發行的合格第二類資本工具（含相關股本溢價）</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A63 +A72 +A80+A95_1+A98_1</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47</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從第二類資本分階段扣除的直接發行資本工具（即自</w:t>
            </w:r>
            <w:r w:rsidRPr="004D451D">
              <w:rPr>
                <w:rFonts w:ascii="標楷體" w:eastAsia="標楷體" w:hAnsi="標楷體"/>
                <w:sz w:val="20"/>
                <w:szCs w:val="20"/>
              </w:rPr>
              <w:t>102</w:t>
            </w:r>
            <w:r w:rsidRPr="004D451D">
              <w:rPr>
                <w:rFonts w:ascii="標楷體" w:eastAsia="標楷體" w:hAnsi="標楷體" w:hint="eastAsia"/>
                <w:sz w:val="20"/>
                <w:szCs w:val="20"/>
              </w:rPr>
              <w:t>年起需每年至少遞減</w:t>
            </w:r>
            <w:r w:rsidRPr="004D451D">
              <w:rPr>
                <w:rFonts w:ascii="標楷體" w:eastAsia="標楷體" w:hAnsi="標楷體"/>
                <w:sz w:val="20"/>
                <w:szCs w:val="20"/>
              </w:rPr>
              <w:t>10%</w:t>
            </w:r>
            <w:r w:rsidRPr="004D451D">
              <w:rPr>
                <w:rFonts w:ascii="標楷體" w:eastAsia="標楷體" w:hAnsi="標楷體" w:hint="eastAsia"/>
                <w:sz w:val="20"/>
                <w:szCs w:val="20"/>
              </w:rPr>
              <w:t>之母公司發行之第二類資本工具）</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A64 +A73 +A81+A95_2+A98_2</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48</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子公司發行非由母公司持有之第二類資本</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A67 +A68 +A76 +A77 +A84 +A85+A112</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49</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ind w:left="800" w:hangingChars="400" w:hanging="800"/>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其中：子公司發行之分階段扣除資本工具（即自</w:t>
            </w:r>
            <w:r w:rsidRPr="004D451D">
              <w:rPr>
                <w:rFonts w:ascii="標楷體" w:eastAsia="標楷體" w:hAnsi="標楷體"/>
                <w:sz w:val="20"/>
                <w:szCs w:val="20"/>
              </w:rPr>
              <w:t>102</w:t>
            </w:r>
            <w:r w:rsidRPr="004D451D">
              <w:rPr>
                <w:rFonts w:ascii="標楷體" w:eastAsia="標楷體" w:hAnsi="標楷體" w:hint="eastAsia"/>
                <w:sz w:val="20"/>
                <w:szCs w:val="20"/>
              </w:rPr>
              <w:t>年起需每年至少遞減</w:t>
            </w:r>
            <w:r w:rsidRPr="004D451D">
              <w:rPr>
                <w:rFonts w:ascii="標楷體" w:eastAsia="標楷體" w:hAnsi="標楷體"/>
                <w:sz w:val="20"/>
                <w:szCs w:val="20"/>
              </w:rPr>
              <w:t>10%</w:t>
            </w:r>
            <w:r w:rsidRPr="004D451D">
              <w:rPr>
                <w:rFonts w:ascii="標楷體" w:eastAsia="標楷體" w:hAnsi="標楷體" w:hint="eastAsia"/>
                <w:sz w:val="20"/>
                <w:szCs w:val="20"/>
              </w:rPr>
              <w:t>之子公司發行非由母公司持有之第二類資本工具）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A68 +A77 +A85</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50</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營業準備及備抵呆帳</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464,293</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464,293</w:t>
            </w:r>
          </w:p>
        </w:tc>
        <w:tc>
          <w:tcPr>
            <w:tcW w:w="850" w:type="dxa"/>
            <w:tcBorders>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rPr>
                <w:rFonts w:ascii="標楷體" w:eastAsia="標楷體" w:hAnsi="標楷體"/>
                <w:sz w:val="20"/>
                <w:szCs w:val="20"/>
              </w:rPr>
            </w:pPr>
            <w:r w:rsidRPr="004D451D">
              <w:rPr>
                <w:rFonts w:ascii="標楷體" w:eastAsia="標楷體" w:hAnsi="標楷體" w:hint="eastAsia"/>
                <w:sz w:val="20"/>
                <w:szCs w:val="20"/>
              </w:rPr>
              <w:t>=|A7|</w:t>
            </w:r>
          </w:p>
          <w:p w:rsidR="009F53B0" w:rsidRPr="004D451D" w:rsidRDefault="009F53B0" w:rsidP="005545A5">
            <w:pPr>
              <w:rPr>
                <w:rFonts w:ascii="標楷體" w:eastAsia="標楷體" w:hAnsi="標楷體"/>
                <w:sz w:val="20"/>
                <w:szCs w:val="20"/>
              </w:rPr>
            </w:pPr>
          </w:p>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1.</w:t>
            </w:r>
            <w:r w:rsidRPr="004D451D">
              <w:rPr>
                <w:rFonts w:ascii="標楷體" w:eastAsia="標楷體" w:hAnsi="標楷體" w:hint="eastAsia"/>
                <w:sz w:val="20"/>
                <w:szCs w:val="20"/>
              </w:rPr>
              <w:t>第</w:t>
            </w:r>
            <w:r w:rsidRPr="004D451D">
              <w:rPr>
                <w:rFonts w:ascii="標楷體" w:eastAsia="標楷體" w:hAnsi="標楷體"/>
                <w:sz w:val="20"/>
                <w:szCs w:val="20"/>
              </w:rPr>
              <w:t>12</w:t>
            </w:r>
            <w:r w:rsidRPr="004D451D">
              <w:rPr>
                <w:rFonts w:ascii="標楷體" w:eastAsia="標楷體" w:hAnsi="標楷體" w:hint="eastAsia"/>
                <w:sz w:val="20"/>
                <w:szCs w:val="20"/>
              </w:rPr>
              <w:t>項</w:t>
            </w:r>
            <w:r w:rsidRPr="004D451D">
              <w:rPr>
                <w:rFonts w:ascii="標楷體" w:eastAsia="標楷體" w:hAnsi="標楷體"/>
                <w:sz w:val="20"/>
                <w:szCs w:val="20"/>
              </w:rPr>
              <w:t>&gt;0</w:t>
            </w:r>
            <w:r w:rsidRPr="004D451D">
              <w:rPr>
                <w:rFonts w:ascii="標楷體" w:eastAsia="標楷體" w:hAnsi="標楷體" w:hint="eastAsia"/>
                <w:sz w:val="20"/>
                <w:szCs w:val="20"/>
              </w:rPr>
              <w:t>，則本項</w:t>
            </w:r>
            <w:r w:rsidRPr="004D451D">
              <w:rPr>
                <w:rFonts w:ascii="標楷體" w:eastAsia="標楷體" w:hAnsi="標楷體"/>
                <w:sz w:val="20"/>
                <w:szCs w:val="20"/>
              </w:rPr>
              <w:t>=0</w:t>
            </w:r>
            <w:r w:rsidRPr="004D451D">
              <w:rPr>
                <w:rFonts w:ascii="標楷體" w:eastAsia="標楷體" w:hAnsi="標楷體"/>
                <w:sz w:val="20"/>
                <w:szCs w:val="20"/>
              </w:rPr>
              <w:br/>
              <w:t>2.</w:t>
            </w:r>
            <w:r w:rsidRPr="004D451D">
              <w:rPr>
                <w:rFonts w:ascii="標楷體" w:eastAsia="標楷體" w:hAnsi="標楷體" w:hint="eastAsia"/>
                <w:sz w:val="20"/>
                <w:szCs w:val="20"/>
              </w:rPr>
              <w:t>第</w:t>
            </w:r>
            <w:r w:rsidRPr="004D451D">
              <w:rPr>
                <w:rFonts w:ascii="標楷體" w:eastAsia="標楷體" w:hAnsi="標楷體"/>
                <w:sz w:val="20"/>
                <w:szCs w:val="20"/>
              </w:rPr>
              <w:t>12</w:t>
            </w:r>
            <w:r w:rsidRPr="004D451D">
              <w:rPr>
                <w:rFonts w:ascii="標楷體" w:eastAsia="標楷體" w:hAnsi="標楷體" w:hint="eastAsia"/>
                <w:sz w:val="20"/>
                <w:szCs w:val="20"/>
              </w:rPr>
              <w:t>項</w:t>
            </w:r>
            <w:r w:rsidRPr="004D451D">
              <w:rPr>
                <w:rFonts w:ascii="標楷體" w:eastAsia="標楷體" w:hAnsi="標楷體"/>
                <w:sz w:val="20"/>
                <w:szCs w:val="20"/>
              </w:rPr>
              <w:t>=0</w:t>
            </w:r>
            <w:r w:rsidRPr="004D451D">
              <w:rPr>
                <w:rFonts w:ascii="標楷體" w:eastAsia="標楷體" w:hAnsi="標楷體" w:hint="eastAsia"/>
                <w:sz w:val="20"/>
                <w:szCs w:val="20"/>
              </w:rPr>
              <w:t>，若第</w:t>
            </w:r>
            <w:r w:rsidRPr="004D451D">
              <w:rPr>
                <w:rFonts w:ascii="標楷體" w:eastAsia="標楷體" w:hAnsi="標楷體"/>
                <w:sz w:val="20"/>
                <w:szCs w:val="20"/>
              </w:rPr>
              <w:t>77</w:t>
            </w:r>
            <w:r w:rsidRPr="004D451D">
              <w:rPr>
                <w:rFonts w:ascii="標楷體" w:eastAsia="標楷體" w:hAnsi="標楷體" w:hint="eastAsia"/>
                <w:sz w:val="20"/>
                <w:szCs w:val="20"/>
              </w:rPr>
              <w:t>（或</w:t>
            </w:r>
            <w:r w:rsidRPr="004D451D">
              <w:rPr>
                <w:rFonts w:ascii="標楷體" w:eastAsia="標楷體" w:hAnsi="標楷體"/>
                <w:sz w:val="20"/>
                <w:szCs w:val="20"/>
              </w:rPr>
              <w:t>79</w:t>
            </w:r>
            <w:r w:rsidRPr="004D451D">
              <w:rPr>
                <w:rFonts w:ascii="標楷體" w:eastAsia="標楷體" w:hAnsi="標楷體" w:hint="eastAsia"/>
                <w:sz w:val="20"/>
                <w:szCs w:val="20"/>
              </w:rPr>
              <w:t>）項</w:t>
            </w:r>
            <w:r w:rsidRPr="004D451D">
              <w:rPr>
                <w:rFonts w:ascii="標楷體" w:eastAsia="標楷體" w:hAnsi="標楷體"/>
                <w:sz w:val="20"/>
                <w:szCs w:val="20"/>
              </w:rPr>
              <w:t>&gt;</w:t>
            </w:r>
            <w:r w:rsidRPr="004D451D">
              <w:rPr>
                <w:rFonts w:ascii="標楷體" w:eastAsia="標楷體" w:hAnsi="標楷體" w:hint="eastAsia"/>
                <w:sz w:val="20"/>
                <w:szCs w:val="20"/>
              </w:rPr>
              <w:t>第</w:t>
            </w:r>
            <w:r w:rsidRPr="004D451D">
              <w:rPr>
                <w:rFonts w:ascii="標楷體" w:eastAsia="標楷體" w:hAnsi="標楷體"/>
                <w:sz w:val="20"/>
                <w:szCs w:val="20"/>
              </w:rPr>
              <w:t>76</w:t>
            </w:r>
            <w:r w:rsidRPr="004D451D">
              <w:rPr>
                <w:rFonts w:ascii="標楷體" w:eastAsia="標楷體" w:hAnsi="標楷體" w:hint="eastAsia"/>
                <w:sz w:val="20"/>
                <w:szCs w:val="20"/>
              </w:rPr>
              <w:t>（或</w:t>
            </w:r>
            <w:r w:rsidRPr="004D451D">
              <w:rPr>
                <w:rFonts w:ascii="標楷體" w:eastAsia="標楷體" w:hAnsi="標楷體"/>
                <w:sz w:val="20"/>
                <w:szCs w:val="20"/>
              </w:rPr>
              <w:t>78</w:t>
            </w:r>
            <w:r w:rsidRPr="004D451D">
              <w:rPr>
                <w:rFonts w:ascii="標楷體" w:eastAsia="標楷體" w:hAnsi="標楷體" w:hint="eastAsia"/>
                <w:sz w:val="20"/>
                <w:szCs w:val="20"/>
              </w:rPr>
              <w:t>）項，則本項</w:t>
            </w:r>
            <w:r w:rsidRPr="004D451D">
              <w:rPr>
                <w:rFonts w:ascii="標楷體" w:eastAsia="標楷體" w:hAnsi="標楷體"/>
                <w:sz w:val="20"/>
                <w:szCs w:val="20"/>
              </w:rPr>
              <w:t>=76</w:t>
            </w:r>
            <w:r w:rsidRPr="004D451D">
              <w:rPr>
                <w:rFonts w:ascii="標楷體" w:eastAsia="標楷體" w:hAnsi="標楷體" w:hint="eastAsia"/>
                <w:sz w:val="20"/>
                <w:szCs w:val="20"/>
              </w:rPr>
              <w:t>（或</w:t>
            </w:r>
            <w:r w:rsidRPr="004D451D">
              <w:rPr>
                <w:rFonts w:ascii="標楷體" w:eastAsia="標楷體" w:hAnsi="標楷體"/>
                <w:sz w:val="20"/>
                <w:szCs w:val="20"/>
              </w:rPr>
              <w:t>78</w:t>
            </w:r>
            <w:r w:rsidRPr="004D451D">
              <w:rPr>
                <w:rFonts w:ascii="標楷體" w:eastAsia="標楷體" w:hAnsi="標楷體" w:hint="eastAsia"/>
                <w:sz w:val="20"/>
                <w:szCs w:val="20"/>
              </w:rPr>
              <w:t>）項；</w:t>
            </w:r>
            <w:r w:rsidRPr="004D451D">
              <w:rPr>
                <w:rFonts w:ascii="標楷體" w:eastAsia="標楷體" w:hAnsi="標楷體"/>
                <w:sz w:val="20"/>
                <w:szCs w:val="20"/>
              </w:rPr>
              <w:br/>
              <w:t xml:space="preserve">  </w:t>
            </w:r>
            <w:r w:rsidRPr="004D451D">
              <w:rPr>
                <w:rFonts w:ascii="標楷體" w:eastAsia="標楷體" w:hAnsi="標楷體" w:hint="eastAsia"/>
                <w:sz w:val="20"/>
                <w:szCs w:val="20"/>
              </w:rPr>
              <w:t>若第</w:t>
            </w:r>
            <w:r w:rsidRPr="004D451D">
              <w:rPr>
                <w:rFonts w:ascii="標楷體" w:eastAsia="標楷體" w:hAnsi="標楷體"/>
                <w:sz w:val="20"/>
                <w:szCs w:val="20"/>
              </w:rPr>
              <w:t>77</w:t>
            </w:r>
            <w:r w:rsidRPr="004D451D">
              <w:rPr>
                <w:rFonts w:ascii="標楷體" w:eastAsia="標楷體" w:hAnsi="標楷體" w:hint="eastAsia"/>
                <w:sz w:val="20"/>
                <w:szCs w:val="20"/>
              </w:rPr>
              <w:t>（或</w:t>
            </w:r>
            <w:r w:rsidRPr="004D451D">
              <w:rPr>
                <w:rFonts w:ascii="標楷體" w:eastAsia="標楷體" w:hAnsi="標楷體"/>
                <w:sz w:val="20"/>
                <w:szCs w:val="20"/>
              </w:rPr>
              <w:t>79</w:t>
            </w:r>
            <w:r w:rsidRPr="004D451D">
              <w:rPr>
                <w:rFonts w:ascii="標楷體" w:eastAsia="標楷體" w:hAnsi="標楷體" w:hint="eastAsia"/>
                <w:sz w:val="20"/>
                <w:szCs w:val="20"/>
              </w:rPr>
              <w:t>）項</w:t>
            </w:r>
            <w:r w:rsidRPr="004D451D">
              <w:rPr>
                <w:rFonts w:ascii="標楷體" w:eastAsia="標楷體" w:hAnsi="標楷體"/>
                <w:sz w:val="20"/>
                <w:szCs w:val="20"/>
              </w:rPr>
              <w:t>&lt;76</w:t>
            </w:r>
            <w:r w:rsidRPr="004D451D">
              <w:rPr>
                <w:rFonts w:ascii="標楷體" w:eastAsia="標楷體" w:hAnsi="標楷體" w:hint="eastAsia"/>
                <w:sz w:val="20"/>
                <w:szCs w:val="20"/>
              </w:rPr>
              <w:t>（或</w:t>
            </w:r>
            <w:r w:rsidRPr="004D451D">
              <w:rPr>
                <w:rFonts w:ascii="標楷體" w:eastAsia="標楷體" w:hAnsi="標楷體"/>
                <w:sz w:val="20"/>
                <w:szCs w:val="20"/>
              </w:rPr>
              <w:t>78</w:t>
            </w:r>
            <w:r w:rsidRPr="004D451D">
              <w:rPr>
                <w:rFonts w:ascii="標楷體" w:eastAsia="標楷體" w:hAnsi="標楷體" w:hint="eastAsia"/>
                <w:sz w:val="20"/>
                <w:szCs w:val="20"/>
              </w:rPr>
              <w:t>）項，則本項</w:t>
            </w:r>
            <w:r w:rsidRPr="004D451D">
              <w:rPr>
                <w:rFonts w:ascii="標楷體" w:eastAsia="標楷體" w:hAnsi="標楷體"/>
                <w:sz w:val="20"/>
                <w:szCs w:val="20"/>
              </w:rPr>
              <w:t>=77</w:t>
            </w:r>
            <w:r w:rsidRPr="004D451D">
              <w:rPr>
                <w:rFonts w:ascii="標楷體" w:eastAsia="標楷體" w:hAnsi="標楷體" w:hint="eastAsia"/>
                <w:sz w:val="20"/>
                <w:szCs w:val="20"/>
              </w:rPr>
              <w:t>（或</w:t>
            </w:r>
            <w:r w:rsidRPr="004D451D">
              <w:rPr>
                <w:rFonts w:ascii="標楷體" w:eastAsia="標楷體" w:hAnsi="標楷體"/>
                <w:sz w:val="20"/>
                <w:szCs w:val="20"/>
              </w:rPr>
              <w:t>79</w:t>
            </w:r>
            <w:r w:rsidRPr="004D451D">
              <w:rPr>
                <w:rFonts w:ascii="標楷體" w:eastAsia="標楷體" w:hAnsi="標楷體" w:hint="eastAsia"/>
                <w:sz w:val="20"/>
                <w:szCs w:val="20"/>
              </w:rPr>
              <w:t>）項</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51</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rPr>
                <w:rFonts w:ascii="標楷體" w:eastAsia="標楷體" w:hAnsi="標楷體" w:cs="新細明體"/>
                <w:b/>
                <w:bCs/>
                <w:sz w:val="20"/>
                <w:szCs w:val="20"/>
              </w:rPr>
            </w:pPr>
            <w:r w:rsidRPr="004D451D">
              <w:rPr>
                <w:rFonts w:ascii="標楷體" w:eastAsia="標楷體" w:hAnsi="標楷體" w:hint="eastAsia"/>
                <w:b/>
                <w:bCs/>
                <w:sz w:val="20"/>
                <w:szCs w:val="20"/>
              </w:rPr>
              <w:t>法定調整前第二類資本</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464,293</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464,293</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=sum(</w:t>
            </w:r>
            <w:r w:rsidRPr="004D451D">
              <w:rPr>
                <w:rFonts w:ascii="標楷體" w:eastAsia="標楷體" w:hAnsi="標楷體" w:hint="eastAsia"/>
                <w:sz w:val="20"/>
                <w:szCs w:val="20"/>
              </w:rPr>
              <w:t>第</w:t>
            </w:r>
            <w:r w:rsidRPr="004D451D">
              <w:rPr>
                <w:rFonts w:ascii="標楷體" w:eastAsia="標楷體" w:hAnsi="標楷體"/>
                <w:sz w:val="20"/>
                <w:szCs w:val="20"/>
              </w:rPr>
              <w:t>46</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48</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50</w:t>
            </w:r>
            <w:r w:rsidRPr="004D451D">
              <w:rPr>
                <w:rFonts w:ascii="標楷體" w:eastAsia="標楷體" w:hAnsi="標楷體" w:hint="eastAsia"/>
                <w:sz w:val="20"/>
                <w:szCs w:val="20"/>
              </w:rPr>
              <w:t>項</w:t>
            </w:r>
            <w:r w:rsidRPr="004D451D">
              <w:rPr>
                <w:rFonts w:ascii="標楷體" w:eastAsia="標楷體" w:hAnsi="標楷體"/>
                <w:sz w:val="20"/>
                <w:szCs w:val="20"/>
              </w:rPr>
              <w:t>)</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hint="eastAsia"/>
                <w:b/>
                <w:bCs/>
                <w:kern w:val="0"/>
                <w:sz w:val="20"/>
                <w:szCs w:val="20"/>
              </w:rPr>
              <w:t>第二類資本：法定調整項</w:t>
            </w: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 xml:space="preserve">　</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52</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銀行持有其所發行之第二類資本工具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53</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與銀行本身以外之金融相關事業交叉持有之第二類資本工具</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54</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jc w:val="both"/>
              <w:rPr>
                <w:rFonts w:ascii="標楷體" w:eastAsia="標楷體" w:hAnsi="標楷體" w:cs="新細明體"/>
                <w:sz w:val="20"/>
                <w:szCs w:val="20"/>
              </w:rPr>
            </w:pPr>
            <w:r w:rsidRPr="004D451D">
              <w:rPr>
                <w:rFonts w:ascii="標楷體" w:eastAsia="標楷體" w:hAnsi="標楷體" w:hint="eastAsia"/>
                <w:sz w:val="20"/>
                <w:szCs w:val="20"/>
              </w:rPr>
              <w:t>投資於未納入法定合併基礎下之銀行、金融及保險機構的資本</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且持有單一金融機構資本未超過該發行機構普通股的</w:t>
            </w:r>
            <w:r w:rsidRPr="004D451D">
              <w:rPr>
                <w:rFonts w:ascii="標楷體" w:eastAsia="標楷體" w:hAnsi="標楷體"/>
                <w:sz w:val="20"/>
                <w:szCs w:val="20"/>
              </w:rPr>
              <w:t>10%(</w:t>
            </w:r>
            <w:r w:rsidRPr="004D451D">
              <w:rPr>
                <w:rFonts w:ascii="標楷體" w:eastAsia="標楷體" w:hAnsi="標楷體" w:hint="eastAsia"/>
                <w:sz w:val="20"/>
                <w:szCs w:val="20"/>
              </w:rPr>
              <w:t>超過</w:t>
            </w:r>
            <w:r w:rsidRPr="004D451D">
              <w:rPr>
                <w:rFonts w:ascii="標楷體" w:eastAsia="標楷體" w:hAnsi="標楷體"/>
                <w:sz w:val="20"/>
                <w:szCs w:val="20"/>
              </w:rPr>
              <w:t>10%</w:t>
            </w:r>
            <w:r w:rsidRPr="004D451D">
              <w:rPr>
                <w:rFonts w:ascii="標楷體" w:eastAsia="標楷體" w:hAnsi="標楷體" w:hint="eastAsia"/>
                <w:sz w:val="20"/>
                <w:szCs w:val="20"/>
              </w:rPr>
              <w:t>限額的金額</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55</w:t>
            </w:r>
          </w:p>
        </w:tc>
        <w:tc>
          <w:tcPr>
            <w:tcW w:w="4860" w:type="dxa"/>
            <w:tcBorders>
              <w:top w:val="nil"/>
              <w:left w:val="nil"/>
              <w:bottom w:val="nil"/>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對於未納入法定合併基礎之銀行、金融及保險機構</w:t>
            </w:r>
            <w:r w:rsidRPr="004D451D">
              <w:rPr>
                <w:rFonts w:ascii="標楷體" w:eastAsia="標楷體" w:hAnsi="標楷體"/>
                <w:sz w:val="20"/>
                <w:szCs w:val="20"/>
              </w:rPr>
              <w:t>(</w:t>
            </w:r>
            <w:r w:rsidRPr="004D451D">
              <w:rPr>
                <w:rFonts w:ascii="標楷體" w:eastAsia="標楷體" w:hAnsi="標楷體" w:hint="eastAsia"/>
                <w:sz w:val="20"/>
                <w:szCs w:val="20"/>
              </w:rPr>
              <w:t>扣除</w:t>
            </w:r>
            <w:r w:rsidRPr="004D451D">
              <w:rPr>
                <w:rFonts w:ascii="標楷體" w:eastAsia="標楷體" w:hAnsi="標楷體" w:hint="eastAsia"/>
                <w:sz w:val="20"/>
                <w:szCs w:val="20"/>
              </w:rPr>
              <w:lastRenderedPageBreak/>
              <w:t>合格之短部位</w:t>
            </w:r>
            <w:r w:rsidRPr="004D451D">
              <w:rPr>
                <w:rFonts w:ascii="標楷體" w:eastAsia="標楷體" w:hAnsi="標楷體"/>
                <w:sz w:val="20"/>
                <w:szCs w:val="20"/>
              </w:rPr>
              <w:t>)</w:t>
            </w:r>
            <w:r w:rsidRPr="004D451D">
              <w:rPr>
                <w:rFonts w:ascii="標楷體" w:eastAsia="標楷體" w:hAnsi="標楷體" w:hint="eastAsia"/>
                <w:sz w:val="20"/>
                <w:szCs w:val="20"/>
              </w:rPr>
              <w:t>等之重大資本投資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lastRenderedPageBreak/>
              <w:t>56</w:t>
            </w:r>
          </w:p>
        </w:tc>
        <w:tc>
          <w:tcPr>
            <w:tcW w:w="4860" w:type="dxa"/>
            <w:tcBorders>
              <w:top w:val="single" w:sz="4" w:space="0" w:color="auto"/>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各國特有的法定調整項目</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 xml:space="preserve">　</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標楷體" w:cs="新細明體"/>
                <w:kern w:val="0"/>
                <w:sz w:val="20"/>
                <w:szCs w:val="20"/>
              </w:rPr>
              <w:t>56a</w:t>
            </w:r>
          </w:p>
        </w:tc>
        <w:tc>
          <w:tcPr>
            <w:tcW w:w="4860"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ind w:leftChars="90" w:left="216"/>
              <w:rPr>
                <w:rFonts w:ascii="標楷體" w:eastAsia="標楷體" w:hAnsi="標楷體" w:cs="新細明體"/>
                <w:sz w:val="20"/>
                <w:szCs w:val="20"/>
              </w:rPr>
            </w:pPr>
            <w:r w:rsidRPr="004D451D">
              <w:rPr>
                <w:rFonts w:ascii="標楷體" w:eastAsia="標楷體" w:hAnsi="標楷體" w:hint="eastAsia"/>
                <w:sz w:val="20"/>
                <w:szCs w:val="20"/>
              </w:rPr>
              <w:t>不動產首次適用國際會計準則時，以公允價值或重估價值作為認定成本產生之保留盈餘增加數</w:t>
            </w:r>
          </w:p>
        </w:tc>
        <w:tc>
          <w:tcPr>
            <w:tcW w:w="1198"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-A104</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標楷體" w:cs="新細明體"/>
                <w:kern w:val="0"/>
                <w:sz w:val="20"/>
                <w:szCs w:val="20"/>
              </w:rPr>
              <w:t>56b</w:t>
            </w:r>
          </w:p>
        </w:tc>
        <w:tc>
          <w:tcPr>
            <w:tcW w:w="4860"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ind w:leftChars="90" w:left="216"/>
              <w:rPr>
                <w:rFonts w:ascii="標楷體" w:eastAsia="標楷體" w:hAnsi="標楷體" w:cs="新細明體"/>
                <w:sz w:val="20"/>
                <w:szCs w:val="20"/>
              </w:rPr>
            </w:pPr>
            <w:r w:rsidRPr="004D451D">
              <w:rPr>
                <w:rFonts w:ascii="標楷體" w:eastAsia="標楷體" w:hAnsi="標楷體" w:hint="eastAsia"/>
                <w:sz w:val="20"/>
                <w:szCs w:val="20"/>
              </w:rPr>
              <w:t>透過其他綜合損益按公允價值衡量之權益工具及債務工具未實現評價利益之</w:t>
            </w:r>
            <w:r w:rsidRPr="004D451D">
              <w:rPr>
                <w:rFonts w:ascii="標楷體" w:eastAsia="標楷體" w:hAnsi="標楷體"/>
                <w:sz w:val="20"/>
                <w:szCs w:val="20"/>
              </w:rPr>
              <w:t>45</w:t>
            </w:r>
            <w:r w:rsidRPr="004D451D">
              <w:rPr>
                <w:rFonts w:ascii="標楷體" w:eastAsia="標楷體" w:hAnsi="標楷體" w:hint="eastAsia"/>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-726,055</w:t>
            </w:r>
          </w:p>
        </w:tc>
        <w:tc>
          <w:tcPr>
            <w:tcW w:w="1276"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-726,055</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 xml:space="preserve"> -A107*45%</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標楷體" w:cs="新細明體"/>
                <w:kern w:val="0"/>
                <w:sz w:val="20"/>
                <w:szCs w:val="20"/>
              </w:rPr>
              <w:t>56c</w:t>
            </w:r>
          </w:p>
        </w:tc>
        <w:tc>
          <w:tcPr>
            <w:tcW w:w="4860"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ind w:leftChars="90" w:left="216"/>
              <w:rPr>
                <w:rFonts w:ascii="標楷體" w:eastAsia="標楷體" w:hAnsi="標楷體" w:cs="新細明體"/>
                <w:sz w:val="20"/>
                <w:szCs w:val="20"/>
              </w:rPr>
            </w:pPr>
            <w:r w:rsidRPr="004D451D">
              <w:rPr>
                <w:rFonts w:ascii="標楷體" w:eastAsia="標楷體" w:hAnsi="標楷體" w:hint="eastAsia"/>
                <w:sz w:val="20"/>
                <w:szCs w:val="20"/>
              </w:rPr>
              <w:t>對金融相關事業之資本投資分類至銀行簿者</w:t>
            </w:r>
            <w:r w:rsidRPr="004D451D">
              <w:rPr>
                <w:rFonts w:ascii="標楷體" w:eastAsia="標楷體" w:hAnsi="標楷體"/>
                <w:sz w:val="20"/>
                <w:szCs w:val="20"/>
              </w:rPr>
              <w:t>(</w:t>
            </w:r>
            <w:r w:rsidRPr="004D451D">
              <w:rPr>
                <w:rFonts w:ascii="標楷體" w:eastAsia="標楷體" w:hAnsi="標楷體" w:hint="eastAsia"/>
                <w:sz w:val="20"/>
                <w:szCs w:val="20"/>
              </w:rPr>
              <w:t>或工業銀行之直接投資及投資不動產依規扣除數</w:t>
            </w:r>
            <w:r w:rsidRPr="004D451D">
              <w:rPr>
                <w:rFonts w:ascii="標楷體" w:eastAsia="標楷體" w:hAnsi="標楷體"/>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792,835</w:t>
            </w:r>
          </w:p>
        </w:tc>
        <w:tc>
          <w:tcPr>
            <w:tcW w:w="1276"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239,244</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A11 +A21 +A31 +A36 +A46(</w:t>
            </w:r>
            <w:r w:rsidRPr="004D451D">
              <w:rPr>
                <w:rFonts w:ascii="標楷體" w:eastAsia="標楷體" w:hAnsi="標楷體" w:hint="eastAsia"/>
                <w:sz w:val="20"/>
                <w:szCs w:val="20"/>
              </w:rPr>
              <w:t>適用於商業銀行；工業銀行應依步驟二實際展開項目進行對照</w:t>
            </w:r>
            <w:r w:rsidRPr="004D451D">
              <w:rPr>
                <w:rFonts w:ascii="標楷體" w:eastAsia="標楷體" w:hAnsi="標楷體"/>
                <w:sz w:val="20"/>
                <w:szCs w:val="20"/>
              </w:rPr>
              <w:t>)</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標楷體" w:cs="新細明體"/>
                <w:kern w:val="0"/>
                <w:sz w:val="20"/>
                <w:szCs w:val="20"/>
              </w:rPr>
            </w:pPr>
            <w:r w:rsidRPr="004D451D">
              <w:rPr>
                <w:rFonts w:ascii="Garamond" w:eastAsia="標楷體" w:hAnsi="標楷體" w:cs="新細明體"/>
                <w:kern w:val="0"/>
                <w:sz w:val="20"/>
                <w:szCs w:val="20"/>
              </w:rPr>
              <w:t>56d</w:t>
            </w:r>
          </w:p>
        </w:tc>
        <w:tc>
          <w:tcPr>
            <w:tcW w:w="4860"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ind w:leftChars="90" w:left="216"/>
              <w:rPr>
                <w:rFonts w:ascii="標楷體" w:eastAsia="標楷體" w:hAnsi="標楷體" w:cs="新細明體"/>
                <w:sz w:val="20"/>
                <w:szCs w:val="20"/>
              </w:rPr>
            </w:pPr>
            <w:r w:rsidRPr="004D451D">
              <w:rPr>
                <w:rFonts w:ascii="標楷體" w:eastAsia="標楷體" w:hAnsi="標楷體" w:hint="eastAsia"/>
                <w:sz w:val="20"/>
                <w:szCs w:val="20"/>
              </w:rPr>
              <w:t>投資證券化受益證券或資產基礎證券其資產池中具有金融相關事業所發行之資本工具之約當帳列金額</w:t>
            </w:r>
          </w:p>
        </w:tc>
        <w:tc>
          <w:tcPr>
            <w:tcW w:w="1198"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 xml:space="preserve">　</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A4 +A16 +A26 +A41 +A51</w:t>
            </w:r>
          </w:p>
        </w:tc>
      </w:tr>
      <w:tr w:rsidR="004D451D" w:rsidRPr="004D451D" w:rsidTr="009F53B0">
        <w:trPr>
          <w:trHeight w:val="20"/>
        </w:trPr>
        <w:tc>
          <w:tcPr>
            <w:tcW w:w="561"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標楷體" w:cs="新細明體"/>
                <w:kern w:val="0"/>
                <w:sz w:val="20"/>
                <w:szCs w:val="20"/>
              </w:rPr>
            </w:pPr>
            <w:r w:rsidRPr="004D451D">
              <w:rPr>
                <w:rFonts w:ascii="Garamond" w:eastAsia="標楷體" w:hAnsi="標楷體" w:cs="新細明體"/>
                <w:kern w:val="0"/>
                <w:sz w:val="20"/>
                <w:szCs w:val="20"/>
              </w:rPr>
              <w:t>56e</w:t>
            </w:r>
          </w:p>
        </w:tc>
        <w:tc>
          <w:tcPr>
            <w:tcW w:w="4860"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ind w:leftChars="90" w:left="216"/>
              <w:rPr>
                <w:rFonts w:ascii="標楷體" w:eastAsia="標楷體" w:hAnsi="標楷體"/>
                <w:sz w:val="20"/>
                <w:szCs w:val="20"/>
              </w:rPr>
            </w:pPr>
            <w:r w:rsidRPr="004D451D">
              <w:rPr>
                <w:rFonts w:ascii="標楷體" w:eastAsia="標楷體" w:hAnsi="標楷體" w:hint="eastAsia"/>
                <w:sz w:val="20"/>
                <w:szCs w:val="20"/>
              </w:rPr>
              <w:t>投資性不動產後續衡量採公允價值模式所認列增值利益之</w:t>
            </w:r>
            <w:r w:rsidRPr="004D451D">
              <w:rPr>
                <w:rFonts w:ascii="標楷體" w:eastAsia="標楷體" w:hAnsi="標楷體"/>
                <w:sz w:val="20"/>
                <w:szCs w:val="20"/>
              </w:rPr>
              <w:t>45</w:t>
            </w:r>
            <w:r w:rsidRPr="004D451D">
              <w:rPr>
                <w:rFonts w:ascii="標楷體" w:eastAsia="標楷體" w:hAnsi="標楷體" w:hint="eastAsia"/>
                <w:sz w:val="20"/>
                <w:szCs w:val="20"/>
              </w:rPr>
              <w:t>％</w:t>
            </w:r>
          </w:p>
        </w:tc>
        <w:tc>
          <w:tcPr>
            <w:tcW w:w="1198"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 xml:space="preserve">　</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sz w:val="20"/>
                <w:szCs w:val="20"/>
              </w:rPr>
            </w:pPr>
            <w:r w:rsidRPr="004D451D">
              <w:rPr>
                <w:rFonts w:ascii="標楷體" w:eastAsia="標楷體" w:hAnsi="標楷體"/>
                <w:sz w:val="20"/>
                <w:szCs w:val="20"/>
              </w:rPr>
              <w:t>-</w:t>
            </w:r>
            <w:r w:rsidRPr="004D451D">
              <w:rPr>
                <w:rFonts w:ascii="標楷體" w:eastAsia="標楷體" w:hAnsi="標楷體" w:hint="eastAsia"/>
                <w:sz w:val="20"/>
                <w:szCs w:val="20"/>
              </w:rPr>
              <w:t>(</w:t>
            </w:r>
            <w:r w:rsidRPr="004D451D">
              <w:rPr>
                <w:rFonts w:ascii="標楷體" w:eastAsia="標楷體" w:hAnsi="標楷體"/>
                <w:sz w:val="20"/>
                <w:szCs w:val="20"/>
              </w:rPr>
              <w:t>A104_1</w:t>
            </w:r>
            <w:r w:rsidRPr="004D451D">
              <w:rPr>
                <w:rFonts w:ascii="標楷體" w:eastAsia="標楷體" w:hAnsi="標楷體" w:hint="eastAsia"/>
                <w:sz w:val="20"/>
                <w:szCs w:val="20"/>
              </w:rPr>
              <w:t>+A108_1)</w:t>
            </w:r>
            <w:r w:rsidRPr="004D451D">
              <w:rPr>
                <w:rFonts w:ascii="標楷體" w:eastAsia="標楷體" w:hAnsi="標楷體"/>
                <w:sz w:val="20"/>
                <w:szCs w:val="20"/>
              </w:rPr>
              <w:t>*45%</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57</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第二類資本法定調整</w:t>
            </w:r>
            <w:r w:rsidRPr="004D451D">
              <w:rPr>
                <w:rFonts w:ascii="Garamond" w:eastAsia="標楷體" w:hAnsi="標楷體" w:cs="新細明體" w:hint="eastAsia"/>
                <w:bCs/>
                <w:kern w:val="0"/>
                <w:sz w:val="20"/>
                <w:szCs w:val="20"/>
              </w:rPr>
              <w:t>合計數</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66,780</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-486,812</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=sum(</w:t>
            </w:r>
            <w:r w:rsidRPr="004D451D">
              <w:rPr>
                <w:rFonts w:ascii="標楷體" w:eastAsia="標楷體" w:hAnsi="標楷體" w:hint="eastAsia"/>
                <w:sz w:val="20"/>
                <w:szCs w:val="20"/>
              </w:rPr>
              <w:t>第</w:t>
            </w:r>
            <w:r w:rsidRPr="004D451D">
              <w:rPr>
                <w:rFonts w:ascii="標楷體" w:eastAsia="標楷體" w:hAnsi="標楷體"/>
                <w:sz w:val="20"/>
                <w:szCs w:val="20"/>
              </w:rPr>
              <w:t>52</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56</w:t>
            </w:r>
            <w:r w:rsidRPr="004D451D">
              <w:rPr>
                <w:rFonts w:ascii="標楷體" w:eastAsia="標楷體" w:hAnsi="標楷體" w:hint="eastAsia"/>
                <w:sz w:val="20"/>
                <w:szCs w:val="20"/>
              </w:rPr>
              <w:t>項</w:t>
            </w:r>
            <w:r w:rsidRPr="004D451D">
              <w:rPr>
                <w:rFonts w:ascii="標楷體" w:eastAsia="標楷體" w:hAnsi="標楷體"/>
                <w:sz w:val="20"/>
                <w:szCs w:val="20"/>
              </w:rPr>
              <w:t>d)</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58</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第二類資本</w:t>
            </w:r>
            <w:r w:rsidRPr="004D451D">
              <w:rPr>
                <w:rFonts w:ascii="Garamond" w:eastAsia="標楷體" w:hAnsi="Garamond" w:cs="新細明體"/>
                <w:kern w:val="0"/>
                <w:sz w:val="20"/>
                <w:szCs w:val="20"/>
              </w:rPr>
              <w:t>(T2)</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397,513</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951,105</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51</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57</w:t>
            </w:r>
            <w:r w:rsidRPr="004D451D">
              <w:rPr>
                <w:rFonts w:ascii="標楷體" w:eastAsia="標楷體" w:hAnsi="標楷體" w:hint="eastAsia"/>
                <w:sz w:val="20"/>
                <w:szCs w:val="20"/>
              </w:rPr>
              <w:t>項</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59</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資本總額</w:t>
            </w:r>
            <w:r w:rsidRPr="004D451D">
              <w:rPr>
                <w:rFonts w:ascii="Garamond" w:eastAsia="標楷體" w:hAnsi="Garamond" w:cs="新細明體"/>
                <w:kern w:val="0"/>
                <w:sz w:val="20"/>
                <w:szCs w:val="20"/>
              </w:rPr>
              <w:t>(TC=T1+T2)</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34,196,921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35,304,105</w:t>
            </w:r>
          </w:p>
        </w:tc>
        <w:tc>
          <w:tcPr>
            <w:tcW w:w="850" w:type="dxa"/>
            <w:tcBorders>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本項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45</w:t>
            </w:r>
            <w:r w:rsidRPr="004D451D">
              <w:rPr>
                <w:rFonts w:ascii="標楷體" w:eastAsia="標楷體" w:hAnsi="標楷體" w:hint="eastAsia"/>
                <w:sz w:val="20"/>
                <w:szCs w:val="20"/>
              </w:rPr>
              <w:t>項</w:t>
            </w:r>
            <w:r w:rsidRPr="004D451D">
              <w:rPr>
                <w:rFonts w:ascii="標楷體" w:eastAsia="標楷體" w:hAnsi="標楷體"/>
                <w:sz w:val="20"/>
                <w:szCs w:val="20"/>
              </w:rPr>
              <w:t>+</w:t>
            </w:r>
            <w:r w:rsidRPr="004D451D">
              <w:rPr>
                <w:rFonts w:ascii="標楷體" w:eastAsia="標楷體" w:hAnsi="標楷體" w:hint="eastAsia"/>
                <w:sz w:val="20"/>
                <w:szCs w:val="20"/>
              </w:rPr>
              <w:t>第</w:t>
            </w:r>
            <w:r w:rsidRPr="004D451D">
              <w:rPr>
                <w:rFonts w:ascii="標楷體" w:eastAsia="標楷體" w:hAnsi="標楷體"/>
                <w:sz w:val="20"/>
                <w:szCs w:val="20"/>
              </w:rPr>
              <w:t>58</w:t>
            </w:r>
            <w:r w:rsidRPr="004D451D">
              <w:rPr>
                <w:rFonts w:ascii="標楷體" w:eastAsia="標楷體" w:hAnsi="標楷體" w:hint="eastAsia"/>
                <w:sz w:val="20"/>
                <w:szCs w:val="20"/>
              </w:rPr>
              <w:t>項</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60</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加權風險性資產總</w:t>
            </w:r>
            <w:r w:rsidRPr="004D451D">
              <w:rPr>
                <w:rFonts w:ascii="Garamond" w:eastAsia="標楷體" w:hAnsi="標楷體" w:cs="新細明體" w:hint="eastAsia"/>
                <w:bCs/>
                <w:kern w:val="0"/>
                <w:sz w:val="20"/>
                <w:szCs w:val="20"/>
              </w:rPr>
              <w:t>額</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231,576,282</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235,012,761</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hint="eastAsia"/>
                <w:b/>
                <w:bCs/>
                <w:kern w:val="0"/>
                <w:sz w:val="20"/>
                <w:szCs w:val="20"/>
              </w:rPr>
              <w:t>資本比率與緩衝</w:t>
            </w: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61</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普通股權益第一類資本比率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占加權風險性資產比率</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14.60%</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14.62%</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62</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第一類資本比率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占加權風險性資產比率</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14.60%</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14.62%</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63</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總資本比率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占加權風險性資產比率</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14.77%</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15.02%</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64</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機構特定緩衝資本比率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最低普通股權益第一類資本</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留存緩衝資本</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抗景氣循環緩衝資本</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全球型系統性重要銀行緩衝資本等，占加權風險性資產比率</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6.38%</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6.38%</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65</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Garamond" w:cs="新細明體"/>
                <w:kern w:val="0"/>
                <w:sz w:val="20"/>
                <w:szCs w:val="20"/>
              </w:rPr>
              <w:t xml:space="preserve">  </w:t>
            </w:r>
            <w:r w:rsidRPr="004D451D">
              <w:rPr>
                <w:rFonts w:ascii="Garamond" w:eastAsia="標楷體" w:hAnsi="標楷體" w:cs="新細明體" w:hint="eastAsia"/>
                <w:kern w:val="0"/>
                <w:sz w:val="20"/>
                <w:szCs w:val="20"/>
              </w:rPr>
              <w:t>其中</w:t>
            </w:r>
            <w:r w:rsidRPr="004D451D">
              <w:rPr>
                <w:rFonts w:ascii="Garamond" w:eastAsia="標楷體" w:hAnsi="Garamond" w:cs="新細明體" w:hint="eastAsia"/>
                <w:kern w:val="0"/>
                <w:sz w:val="20"/>
                <w:szCs w:val="20"/>
              </w:rPr>
              <w:t>：</w:t>
            </w:r>
            <w:r w:rsidRPr="004D451D">
              <w:rPr>
                <w:rFonts w:ascii="Garamond" w:eastAsia="標楷體" w:hAnsi="標楷體" w:cs="新細明體" w:hint="eastAsia"/>
                <w:kern w:val="0"/>
                <w:sz w:val="20"/>
                <w:szCs w:val="20"/>
              </w:rPr>
              <w:t>留存緩衝資本比率</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1.88%</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1.88%</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66</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Garamond" w:cs="新細明體"/>
                <w:kern w:val="0"/>
                <w:sz w:val="20"/>
                <w:szCs w:val="20"/>
              </w:rPr>
              <w:t xml:space="preserve">  </w:t>
            </w:r>
            <w:r w:rsidRPr="004D451D">
              <w:rPr>
                <w:rFonts w:ascii="Garamond" w:eastAsia="標楷體" w:hAnsi="標楷體" w:cs="新細明體" w:hint="eastAsia"/>
                <w:kern w:val="0"/>
                <w:sz w:val="20"/>
                <w:szCs w:val="20"/>
              </w:rPr>
              <w:t>其中</w:t>
            </w:r>
            <w:r w:rsidRPr="004D451D">
              <w:rPr>
                <w:rFonts w:ascii="Garamond" w:eastAsia="標楷體" w:hAnsi="Garamond" w:cs="新細明體" w:hint="eastAsia"/>
                <w:kern w:val="0"/>
                <w:sz w:val="20"/>
                <w:szCs w:val="20"/>
              </w:rPr>
              <w:t>：</w:t>
            </w:r>
            <w:r w:rsidRPr="004D451D">
              <w:rPr>
                <w:rFonts w:ascii="Garamond" w:eastAsia="標楷體" w:hAnsi="標楷體" w:cs="新細明體" w:hint="eastAsia"/>
                <w:kern w:val="0"/>
                <w:sz w:val="20"/>
                <w:szCs w:val="20"/>
              </w:rPr>
              <w:t>抗景氣循環緩衝資本比率</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rPr>
                <w:rFonts w:ascii="Garamond" w:hAnsi="Garamond" w:cs="新細明體"/>
                <w:sz w:val="20"/>
                <w:szCs w:val="20"/>
              </w:rPr>
            </w:pPr>
            <w:r w:rsidRPr="004D451D">
              <w:rPr>
                <w:rFonts w:ascii="Garamond" w:hAnsi="Garamond"/>
                <w:sz w:val="20"/>
                <w:szCs w:val="20"/>
              </w:rPr>
              <w:t xml:space="preserve">　</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rPr>
                <w:rFonts w:ascii="Garamond" w:hAnsi="Garamond" w:cs="新細明體"/>
                <w:sz w:val="20"/>
                <w:szCs w:val="20"/>
              </w:rPr>
            </w:pPr>
            <w:r w:rsidRPr="004D451D">
              <w:rPr>
                <w:rFonts w:ascii="Garamond" w:hAnsi="Garamond"/>
                <w:sz w:val="20"/>
                <w:szCs w:val="20"/>
              </w:rPr>
              <w:t xml:space="preserve">　</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67</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Garamond" w:cs="新細明體"/>
                <w:kern w:val="0"/>
                <w:sz w:val="20"/>
                <w:szCs w:val="20"/>
              </w:rPr>
              <w:t xml:space="preserve">  </w:t>
            </w:r>
            <w:r w:rsidRPr="004D451D">
              <w:rPr>
                <w:rFonts w:ascii="Garamond" w:eastAsia="標楷體" w:hAnsi="標楷體" w:cs="新細明體" w:hint="eastAsia"/>
                <w:kern w:val="0"/>
                <w:sz w:val="20"/>
                <w:szCs w:val="20"/>
              </w:rPr>
              <w:t>其中</w:t>
            </w:r>
            <w:r w:rsidRPr="004D451D">
              <w:rPr>
                <w:rFonts w:ascii="Garamond" w:eastAsia="標楷體" w:hAnsi="Garamond" w:cs="新細明體" w:hint="eastAsia"/>
                <w:kern w:val="0"/>
                <w:sz w:val="20"/>
                <w:szCs w:val="20"/>
              </w:rPr>
              <w:t>：</w:t>
            </w:r>
            <w:r w:rsidRPr="004D451D">
              <w:rPr>
                <w:rFonts w:ascii="Garamond" w:eastAsia="標楷體" w:hAnsi="標楷體" w:cs="新細明體" w:hint="eastAsia"/>
                <w:kern w:val="0"/>
                <w:sz w:val="20"/>
                <w:szCs w:val="20"/>
              </w:rPr>
              <w:t>全球型系統性重要銀行緩衝資本比率</w:t>
            </w:r>
          </w:p>
        </w:tc>
        <w:tc>
          <w:tcPr>
            <w:tcW w:w="1198" w:type="dxa"/>
            <w:tcBorders>
              <w:top w:val="single" w:sz="4" w:space="0" w:color="auto"/>
              <w:left w:val="nil"/>
              <w:bottom w:val="single" w:sz="4" w:space="0" w:color="auto"/>
              <w:right w:val="single" w:sz="4" w:space="0" w:color="auto"/>
            </w:tcBorders>
            <w:shd w:val="clear" w:color="auto" w:fill="C0C0C0"/>
            <w:noWrap/>
            <w:vAlign w:val="center"/>
          </w:tcPr>
          <w:p w:rsidR="009F53B0" w:rsidRPr="004D451D" w:rsidRDefault="009F53B0">
            <w:pPr>
              <w:rPr>
                <w:rFonts w:ascii="Garamond" w:hAnsi="Garamond" w:cs="新細明體"/>
                <w:sz w:val="20"/>
                <w:szCs w:val="20"/>
              </w:rPr>
            </w:pPr>
            <w:r w:rsidRPr="004D451D">
              <w:rPr>
                <w:rFonts w:ascii="Garamond" w:hAnsi="Garamond"/>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C0C0C0"/>
            <w:noWrap/>
            <w:vAlign w:val="center"/>
          </w:tcPr>
          <w:p w:rsidR="009F53B0" w:rsidRPr="004D451D" w:rsidRDefault="009F53B0">
            <w:pPr>
              <w:rPr>
                <w:rFonts w:ascii="Garamond" w:hAnsi="Garamond" w:cs="新細明體"/>
                <w:sz w:val="20"/>
                <w:szCs w:val="20"/>
              </w:rPr>
            </w:pPr>
            <w:r w:rsidRPr="004D451D">
              <w:rPr>
                <w:rFonts w:ascii="Garamond" w:hAnsi="Garamond"/>
                <w:sz w:val="20"/>
                <w:szCs w:val="20"/>
              </w:rPr>
              <w:t xml:space="preserve">　</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68</w:t>
            </w:r>
          </w:p>
        </w:tc>
        <w:tc>
          <w:tcPr>
            <w:tcW w:w="4860" w:type="dxa"/>
            <w:tcBorders>
              <w:top w:val="nil"/>
              <w:left w:val="nil"/>
              <w:bottom w:val="single" w:sz="4" w:space="0" w:color="auto"/>
              <w:right w:val="single" w:sz="4" w:space="0" w:color="auto"/>
            </w:tcBorders>
            <w:shd w:val="clear" w:color="000000" w:fill="C0C0C0"/>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普通股權益第一類資本用於留存緩衝比率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占加權風險性資產比率</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4.89%</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center"/>
              <w:rPr>
                <w:rFonts w:ascii="Arial" w:hAnsi="Arial" w:cs="Arial"/>
                <w:sz w:val="20"/>
                <w:szCs w:val="20"/>
              </w:rPr>
            </w:pPr>
            <w:r w:rsidRPr="004D451D">
              <w:rPr>
                <w:rFonts w:ascii="Arial" w:hAnsi="Arial" w:cs="Arial"/>
                <w:sz w:val="20"/>
                <w:szCs w:val="20"/>
              </w:rPr>
              <w:t>5.15%</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widowControl/>
              <w:rPr>
                <w:rFonts w:ascii="Garamond" w:eastAsia="標楷體" w:hAnsi="Garamond" w:cs="新細明體"/>
                <w:kern w:val="0"/>
                <w:sz w:val="20"/>
                <w:szCs w:val="20"/>
              </w:rPr>
            </w:pP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hint="eastAsia"/>
                <w:b/>
                <w:bCs/>
                <w:kern w:val="0"/>
                <w:sz w:val="20"/>
                <w:szCs w:val="20"/>
              </w:rPr>
              <w:t>國家最低比率</w:t>
            </w:r>
            <w:r w:rsidRPr="004D451D">
              <w:rPr>
                <w:rFonts w:ascii="Garamond" w:eastAsia="標楷體" w:hAnsi="Garamond" w:cs="新細明體"/>
                <w:b/>
                <w:bCs/>
                <w:kern w:val="0"/>
                <w:sz w:val="20"/>
                <w:szCs w:val="20"/>
              </w:rPr>
              <w:t>(</w:t>
            </w:r>
            <w:r w:rsidRPr="004D451D">
              <w:rPr>
                <w:rFonts w:ascii="Garamond" w:eastAsia="標楷體" w:hAnsi="標楷體" w:cs="新細明體" w:hint="eastAsia"/>
                <w:b/>
                <w:bCs/>
                <w:kern w:val="0"/>
                <w:sz w:val="20"/>
                <w:szCs w:val="20"/>
              </w:rPr>
              <w:t>假如不同於</w:t>
            </w:r>
            <w:r w:rsidRPr="004D451D">
              <w:rPr>
                <w:rFonts w:ascii="Garamond" w:eastAsia="標楷體" w:hAnsi="Garamond" w:cs="新細明體"/>
                <w:b/>
                <w:bCs/>
                <w:kern w:val="0"/>
                <w:sz w:val="20"/>
                <w:szCs w:val="20"/>
              </w:rPr>
              <w:t>Basel 3)</w:t>
            </w: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69</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普通股權益第一類資本最低比率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假如不同於</w:t>
            </w:r>
            <w:r w:rsidRPr="004D451D">
              <w:rPr>
                <w:rFonts w:ascii="Garamond" w:eastAsia="標楷體" w:hAnsi="Garamond" w:cs="新細明體"/>
                <w:kern w:val="0"/>
                <w:sz w:val="20"/>
                <w:szCs w:val="20"/>
              </w:rPr>
              <w:t>Basel 3)</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70</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第一類資本最低比率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假如不同於</w:t>
            </w:r>
            <w:r w:rsidRPr="004D451D">
              <w:rPr>
                <w:rFonts w:ascii="Garamond" w:eastAsia="標楷體" w:hAnsi="Garamond" w:cs="新細明體"/>
                <w:kern w:val="0"/>
                <w:sz w:val="20"/>
                <w:szCs w:val="20"/>
              </w:rPr>
              <w:t>Basel 3)</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71</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總資本最低比率</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假如不同於</w:t>
            </w:r>
            <w:r w:rsidRPr="004D451D">
              <w:rPr>
                <w:rFonts w:ascii="Garamond" w:eastAsia="標楷體" w:hAnsi="Garamond" w:cs="新細明體"/>
                <w:kern w:val="0"/>
                <w:sz w:val="20"/>
                <w:szCs w:val="20"/>
              </w:rPr>
              <w:t>Basel 3)</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2"/>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hint="eastAsia"/>
                <w:b/>
                <w:bCs/>
                <w:kern w:val="0"/>
                <w:sz w:val="20"/>
                <w:szCs w:val="20"/>
              </w:rPr>
              <w:t>低於扣除門檻金額</w:t>
            </w:r>
            <w:r w:rsidRPr="004D451D">
              <w:rPr>
                <w:rFonts w:ascii="Garamond" w:eastAsia="標楷體" w:hAnsi="Garamond" w:cs="新細明體"/>
                <w:b/>
                <w:bCs/>
                <w:kern w:val="0"/>
                <w:sz w:val="20"/>
                <w:szCs w:val="20"/>
              </w:rPr>
              <w:t>(</w:t>
            </w:r>
            <w:r w:rsidRPr="004D451D">
              <w:rPr>
                <w:rFonts w:ascii="Garamond" w:eastAsia="標楷體" w:hAnsi="標楷體" w:cs="新細明體" w:hint="eastAsia"/>
                <w:b/>
                <w:bCs/>
                <w:kern w:val="0"/>
                <w:sz w:val="20"/>
                <w:szCs w:val="20"/>
              </w:rPr>
              <w:t>風險加權前</w:t>
            </w:r>
            <w:r w:rsidRPr="004D451D">
              <w:rPr>
                <w:rFonts w:ascii="Garamond" w:eastAsia="標楷體" w:hAnsi="Garamond" w:cs="新細明體"/>
                <w:b/>
                <w:bCs/>
                <w:kern w:val="0"/>
                <w:sz w:val="20"/>
                <w:szCs w:val="20"/>
              </w:rPr>
              <w:t>)</w:t>
            </w: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標楷體"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72</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對金融相關事業非重大資本投資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73</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對金融相關事業重大普通股投資</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74</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房貸事務性服務權</w:t>
            </w:r>
            <w:r w:rsidRPr="004D451D">
              <w:rPr>
                <w:rFonts w:ascii="標楷體" w:eastAsia="標楷體" w:hAnsi="標楷體"/>
                <w:sz w:val="20"/>
                <w:szCs w:val="20"/>
              </w:rPr>
              <w:t>(</w:t>
            </w:r>
            <w:r w:rsidRPr="004D451D">
              <w:rPr>
                <w:rFonts w:ascii="標楷體" w:eastAsia="標楷體" w:hAnsi="標楷體" w:hint="eastAsia"/>
                <w:sz w:val="20"/>
                <w:szCs w:val="20"/>
              </w:rPr>
              <w:t>扣除相關所得稅負債</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A6A6A6"/>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本國不適用</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75</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因暫時性差異產生之遞延所得稅資產</w:t>
            </w:r>
            <w:r w:rsidRPr="004D451D">
              <w:rPr>
                <w:rFonts w:ascii="標楷體" w:eastAsia="標楷體" w:hAnsi="標楷體"/>
                <w:sz w:val="20"/>
                <w:szCs w:val="20"/>
              </w:rPr>
              <w:t>(</w:t>
            </w:r>
            <w:r w:rsidRPr="004D451D">
              <w:rPr>
                <w:rFonts w:ascii="標楷體" w:eastAsia="標楷體" w:hAnsi="標楷體" w:hint="eastAsia"/>
                <w:sz w:val="20"/>
                <w:szCs w:val="20"/>
              </w:rPr>
              <w:t>扣除相關所得稅負債</w:t>
            </w:r>
            <w:r w:rsidRPr="004D451D">
              <w:rPr>
                <w:rFonts w:ascii="標楷體" w:eastAsia="標楷體" w:hAnsi="標楷體"/>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287,606</w:t>
            </w:r>
          </w:p>
        </w:tc>
        <w:tc>
          <w:tcPr>
            <w:tcW w:w="1276"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288,797</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sz w:val="20"/>
                <w:szCs w:val="20"/>
              </w:rPr>
              <w:t>A59-A92</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hint="eastAsia"/>
                <w:b/>
                <w:bCs/>
                <w:kern w:val="0"/>
                <w:sz w:val="20"/>
                <w:szCs w:val="20"/>
              </w:rPr>
              <w:t>適用第二類資本的營業準備上限</w:t>
            </w:r>
          </w:p>
        </w:tc>
        <w:tc>
          <w:tcPr>
            <w:tcW w:w="850" w:type="dxa"/>
            <w:tcBorders>
              <w:top w:val="nil"/>
              <w:lef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76</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採信用風險標準法者合格納入第二類資本的營業準備</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適用限額前</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464,293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464,293</w:t>
            </w:r>
          </w:p>
        </w:tc>
        <w:tc>
          <w:tcPr>
            <w:tcW w:w="850" w:type="dxa"/>
            <w:tcBorders>
              <w:top w:val="nil"/>
              <w:lef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Garamond"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autoSpaceDE w:val="0"/>
              <w:autoSpaceDN w:val="0"/>
              <w:adjustRightInd w:val="0"/>
              <w:spacing w:after="50"/>
              <w:rPr>
                <w:rFonts w:ascii="標楷體" w:eastAsia="標楷體" w:hAnsi="標楷體"/>
                <w:sz w:val="20"/>
                <w:szCs w:val="20"/>
              </w:rPr>
            </w:pPr>
            <w:r w:rsidRPr="004D451D">
              <w:rPr>
                <w:rFonts w:ascii="標楷體" w:eastAsia="標楷體" w:hAnsi="標楷體" w:hint="eastAsia"/>
                <w:sz w:val="20"/>
                <w:szCs w:val="20"/>
              </w:rPr>
              <w:t>1.銀行所提備抵呆帳超過銀行依歷史損失經驗所估計預期損失部</w:t>
            </w:r>
            <w:r w:rsidRPr="004D451D">
              <w:rPr>
                <w:rFonts w:ascii="標楷體" w:eastAsia="標楷體" w:hAnsi="標楷體" w:hint="eastAsia"/>
                <w:sz w:val="20"/>
                <w:szCs w:val="20"/>
              </w:rPr>
              <w:lastRenderedPageBreak/>
              <w:t>分之金額</w:t>
            </w:r>
          </w:p>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2.當第</w:t>
            </w:r>
            <w:r w:rsidRPr="004D451D">
              <w:rPr>
                <w:rFonts w:ascii="標楷體" w:eastAsia="標楷體" w:hAnsi="標楷體"/>
                <w:sz w:val="20"/>
                <w:szCs w:val="20"/>
              </w:rPr>
              <w:t>12</w:t>
            </w:r>
            <w:r w:rsidRPr="004D451D">
              <w:rPr>
                <w:rFonts w:ascii="標楷體" w:eastAsia="標楷體" w:hAnsi="標楷體" w:hint="eastAsia"/>
                <w:sz w:val="20"/>
                <w:szCs w:val="20"/>
              </w:rPr>
              <w:t>項</w:t>
            </w:r>
            <w:r w:rsidRPr="004D451D">
              <w:rPr>
                <w:rFonts w:ascii="標楷體" w:eastAsia="標楷體" w:hAnsi="標楷體"/>
                <w:sz w:val="20"/>
                <w:szCs w:val="20"/>
              </w:rPr>
              <w:t>&gt;0</w:t>
            </w:r>
            <w:r w:rsidRPr="004D451D">
              <w:rPr>
                <w:rFonts w:ascii="標楷體" w:eastAsia="標楷體" w:hAnsi="標楷體" w:hint="eastAsia"/>
                <w:sz w:val="20"/>
                <w:szCs w:val="20"/>
              </w:rPr>
              <w:t>，則本項</w:t>
            </w:r>
            <w:r w:rsidRPr="004D451D">
              <w:rPr>
                <w:rFonts w:ascii="標楷體" w:eastAsia="標楷體" w:hAnsi="標楷體"/>
                <w:sz w:val="20"/>
                <w:szCs w:val="20"/>
              </w:rPr>
              <w:t>=0</w:t>
            </w:r>
            <w:r w:rsidRPr="004D451D">
              <w:rPr>
                <w:rFonts w:ascii="標楷體" w:eastAsia="標楷體" w:hAnsi="標楷體"/>
                <w:sz w:val="20"/>
                <w:szCs w:val="20"/>
              </w:rPr>
              <w:br/>
            </w:r>
            <w:r w:rsidRPr="004D451D">
              <w:rPr>
                <w:rFonts w:ascii="標楷體" w:eastAsia="標楷體" w:hAnsi="標楷體" w:hint="eastAsia"/>
                <w:sz w:val="20"/>
                <w:szCs w:val="20"/>
              </w:rPr>
              <w:t>。</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9F53B0" w:rsidRPr="004D451D" w:rsidRDefault="009F53B0"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lastRenderedPageBreak/>
              <w:t>77</w:t>
            </w:r>
          </w:p>
        </w:tc>
        <w:tc>
          <w:tcPr>
            <w:tcW w:w="4860" w:type="dxa"/>
            <w:tcBorders>
              <w:top w:val="nil"/>
              <w:left w:val="nil"/>
              <w:bottom w:val="single" w:sz="4" w:space="0" w:color="auto"/>
              <w:right w:val="single" w:sz="4" w:space="0" w:color="auto"/>
            </w:tcBorders>
            <w:vAlign w:val="center"/>
          </w:tcPr>
          <w:p w:rsidR="009F53B0" w:rsidRPr="004D451D" w:rsidRDefault="009F53B0"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採信用風險標準法者納入第二類資本的營業準備限額</w:t>
            </w:r>
          </w:p>
        </w:tc>
        <w:tc>
          <w:tcPr>
            <w:tcW w:w="1198" w:type="dxa"/>
            <w:tcBorders>
              <w:top w:val="single" w:sz="4" w:space="0" w:color="auto"/>
              <w:left w:val="nil"/>
              <w:bottom w:val="single" w:sz="4" w:space="0" w:color="auto"/>
              <w:right w:val="single" w:sz="4" w:space="0" w:color="auto"/>
            </w:tcBorders>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2,430,513</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9F53B0" w:rsidRPr="004D451D" w:rsidRDefault="009F53B0">
            <w:pPr>
              <w:jc w:val="right"/>
              <w:rPr>
                <w:rFonts w:ascii="Arial" w:hAnsi="Arial" w:cs="Arial"/>
                <w:sz w:val="20"/>
                <w:szCs w:val="20"/>
              </w:rPr>
            </w:pPr>
            <w:r w:rsidRPr="004D451D">
              <w:rPr>
                <w:rFonts w:ascii="Arial" w:hAnsi="Arial" w:cs="Arial"/>
                <w:sz w:val="20"/>
                <w:szCs w:val="20"/>
              </w:rPr>
              <w:t>2,461,638</w:t>
            </w:r>
          </w:p>
        </w:tc>
        <w:tc>
          <w:tcPr>
            <w:tcW w:w="850" w:type="dxa"/>
            <w:tcBorders>
              <w:top w:val="nil"/>
              <w:lef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9F53B0" w:rsidRPr="004D451D" w:rsidRDefault="009F53B0"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9F53B0" w:rsidRPr="004D451D" w:rsidRDefault="009F53B0" w:rsidP="005545A5">
            <w:pPr>
              <w:rPr>
                <w:rFonts w:ascii="標楷體" w:eastAsia="標楷體" w:hAnsi="標楷體" w:cs="新細明體"/>
                <w:sz w:val="20"/>
                <w:szCs w:val="20"/>
              </w:rPr>
            </w:pPr>
            <w:r w:rsidRPr="004D451D">
              <w:rPr>
                <w:rFonts w:ascii="標楷體" w:eastAsia="標楷體" w:hAnsi="標楷體" w:hint="eastAsia"/>
                <w:sz w:val="20"/>
                <w:szCs w:val="20"/>
              </w:rPr>
              <w:t>信用風險加權風險性資產總額</w:t>
            </w:r>
            <w:r w:rsidRPr="004D451D">
              <w:rPr>
                <w:rFonts w:ascii="標楷體" w:eastAsia="標楷體" w:hAnsi="標楷體"/>
                <w:sz w:val="20"/>
                <w:szCs w:val="20"/>
              </w:rPr>
              <w:t>*1.25%</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78</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採信用風險內部評等法者合格納入第二類資本的營業準備</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適用限額前</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rPr>
                <w:rFonts w:ascii="標楷體" w:eastAsia="標楷體" w:hAnsi="標楷體"/>
                <w:sz w:val="20"/>
                <w:szCs w:val="20"/>
              </w:rPr>
            </w:pPr>
            <w:r w:rsidRPr="004D451D">
              <w:rPr>
                <w:rFonts w:ascii="標楷體" w:eastAsia="標楷體" w:hAnsi="標楷體" w:hint="eastAsia"/>
                <w:sz w:val="20"/>
                <w:szCs w:val="20"/>
              </w:rPr>
              <w:t>1.銀行所提備抵呆帳超過銀行依歷史損失經驗所估計預期損失部分之金額</w:t>
            </w:r>
          </w:p>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2.當第</w:t>
            </w:r>
            <w:r w:rsidRPr="004D451D">
              <w:rPr>
                <w:rFonts w:ascii="標楷體" w:eastAsia="標楷體" w:hAnsi="標楷體"/>
                <w:sz w:val="20"/>
                <w:szCs w:val="20"/>
              </w:rPr>
              <w:t>12</w:t>
            </w:r>
            <w:r w:rsidRPr="004D451D">
              <w:rPr>
                <w:rFonts w:ascii="標楷體" w:eastAsia="標楷體" w:hAnsi="標楷體" w:hint="eastAsia"/>
                <w:sz w:val="20"/>
                <w:szCs w:val="20"/>
              </w:rPr>
              <w:t>項</w:t>
            </w:r>
            <w:r w:rsidRPr="004D451D">
              <w:rPr>
                <w:rFonts w:ascii="標楷體" w:eastAsia="標楷體" w:hAnsi="標楷體"/>
                <w:sz w:val="20"/>
                <w:szCs w:val="20"/>
              </w:rPr>
              <w:t>&gt;0</w:t>
            </w:r>
            <w:r w:rsidRPr="004D451D">
              <w:rPr>
                <w:rFonts w:ascii="標楷體" w:eastAsia="標楷體" w:hAnsi="標楷體" w:hint="eastAsia"/>
                <w:sz w:val="20"/>
                <w:szCs w:val="20"/>
              </w:rPr>
              <w:t>，則本項</w:t>
            </w:r>
            <w:r w:rsidRPr="004D451D">
              <w:rPr>
                <w:rFonts w:ascii="標楷體" w:eastAsia="標楷體" w:hAnsi="標楷體"/>
                <w:sz w:val="20"/>
                <w:szCs w:val="20"/>
              </w:rPr>
              <w:t>=0</w:t>
            </w:r>
            <w:r w:rsidRPr="004D451D">
              <w:rPr>
                <w:rFonts w:ascii="標楷體" w:eastAsia="標楷體" w:hAnsi="標楷體"/>
                <w:sz w:val="20"/>
                <w:szCs w:val="20"/>
              </w:rPr>
              <w:br/>
            </w:r>
            <w:r w:rsidRPr="004D451D">
              <w:rPr>
                <w:rFonts w:ascii="標楷體" w:eastAsia="標楷體" w:hAnsi="標楷體" w:hint="eastAsia"/>
                <w:sz w:val="20"/>
                <w:szCs w:val="20"/>
              </w:rPr>
              <w:t>。</w:t>
            </w: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79</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採信用風險內部評等法者納入第二類資本的營業準備限額</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信用風險加權風險性資產總額</w:t>
            </w:r>
            <w:r w:rsidRPr="004D451D">
              <w:rPr>
                <w:rFonts w:ascii="標楷體" w:eastAsia="標楷體" w:hAnsi="標楷體"/>
                <w:sz w:val="20"/>
                <w:szCs w:val="20"/>
              </w:rPr>
              <w:t>*0.6%</w:t>
            </w:r>
          </w:p>
        </w:tc>
      </w:tr>
      <w:tr w:rsidR="004D451D" w:rsidRPr="004D451D" w:rsidTr="009F53B0">
        <w:trPr>
          <w:trHeight w:val="20"/>
        </w:trPr>
        <w:tc>
          <w:tcPr>
            <w:tcW w:w="7895" w:type="dxa"/>
            <w:gridSpan w:val="4"/>
            <w:tcBorders>
              <w:top w:val="single" w:sz="4" w:space="0" w:color="auto"/>
              <w:left w:val="single" w:sz="4" w:space="0" w:color="auto"/>
              <w:bottom w:val="single" w:sz="4" w:space="0" w:color="auto"/>
              <w:right w:val="single" w:sz="4" w:space="0" w:color="auto"/>
            </w:tcBorders>
            <w:shd w:val="clear" w:color="auto" w:fill="808080"/>
            <w:noWrap/>
            <w:vAlign w:val="center"/>
          </w:tcPr>
          <w:p w:rsidR="005545A5" w:rsidRPr="004D451D" w:rsidRDefault="005545A5" w:rsidP="005545A5">
            <w:pPr>
              <w:widowControl/>
              <w:jc w:val="center"/>
              <w:rPr>
                <w:rFonts w:ascii="Garamond" w:eastAsia="標楷體" w:hAnsi="標楷體" w:cs="新細明體"/>
                <w:kern w:val="0"/>
                <w:sz w:val="20"/>
                <w:szCs w:val="20"/>
              </w:rPr>
            </w:pPr>
            <w:r w:rsidRPr="004D451D">
              <w:rPr>
                <w:rFonts w:ascii="Garamond" w:eastAsia="標楷體" w:hAnsi="標楷體" w:cs="新細明體" w:hint="eastAsia"/>
                <w:b/>
                <w:bCs/>
                <w:kern w:val="0"/>
                <w:sz w:val="20"/>
                <w:szCs w:val="20"/>
              </w:rPr>
              <w:t>資本工具適用分階段扣除規定</w:t>
            </w: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545A5" w:rsidRPr="004D451D" w:rsidRDefault="005545A5" w:rsidP="005545A5">
            <w:pPr>
              <w:widowControl/>
              <w:rPr>
                <w:rFonts w:ascii="Garamond" w:eastAsia="標楷體" w:hAnsi="標楷體"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80</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適用分階段扣除規定下，現有普通股權益第一類</w:t>
            </w:r>
            <w:r w:rsidRPr="004D451D">
              <w:rPr>
                <w:rFonts w:ascii="Garamond" w:eastAsia="標楷體" w:hAnsi="Garamond" w:cs="新細明體"/>
                <w:kern w:val="0"/>
                <w:sz w:val="20"/>
                <w:szCs w:val="20"/>
              </w:rPr>
              <w:t>(CET1)</w:t>
            </w:r>
            <w:r w:rsidRPr="004D451D">
              <w:rPr>
                <w:rFonts w:ascii="Garamond" w:eastAsia="標楷體" w:hAnsi="標楷體" w:cs="新細明體" w:hint="eastAsia"/>
                <w:kern w:val="0"/>
                <w:sz w:val="20"/>
                <w:szCs w:val="20"/>
              </w:rPr>
              <w:t>資本工具上限</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81</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因超限需自普通股權益第一類</w:t>
            </w:r>
            <w:r w:rsidRPr="004D451D">
              <w:rPr>
                <w:rFonts w:ascii="Garamond" w:eastAsia="標楷體" w:hAnsi="Garamond" w:cs="新細明體"/>
                <w:kern w:val="0"/>
                <w:sz w:val="20"/>
                <w:szCs w:val="20"/>
              </w:rPr>
              <w:t>(CET1)</w:t>
            </w:r>
            <w:r w:rsidRPr="004D451D">
              <w:rPr>
                <w:rFonts w:ascii="Garamond" w:eastAsia="標楷體" w:hAnsi="標楷體" w:cs="新細明體" w:hint="eastAsia"/>
                <w:kern w:val="0"/>
                <w:sz w:val="20"/>
                <w:szCs w:val="20"/>
              </w:rPr>
              <w:t>排除金額</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因贖回或到期而超限</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shd w:val="clear" w:color="auto" w:fill="B3B3B3"/>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82</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適用分階段扣除規定下，現有其他第一類</w:t>
            </w:r>
            <w:r w:rsidRPr="004D451D">
              <w:rPr>
                <w:rFonts w:ascii="Garamond" w:eastAsia="標楷體" w:hAnsi="Garamond" w:cs="新細明體"/>
                <w:kern w:val="0"/>
                <w:sz w:val="20"/>
                <w:szCs w:val="20"/>
              </w:rPr>
              <w:t>(AT1)</w:t>
            </w:r>
            <w:r w:rsidRPr="004D451D">
              <w:rPr>
                <w:rFonts w:ascii="Garamond" w:eastAsia="標楷體" w:hAnsi="標楷體" w:cs="新細明體" w:hint="eastAsia"/>
                <w:kern w:val="0"/>
                <w:sz w:val="20"/>
                <w:szCs w:val="20"/>
              </w:rPr>
              <w:t>資本工具上限</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83</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因超限需自其他第一類</w:t>
            </w:r>
            <w:r w:rsidRPr="004D451D">
              <w:rPr>
                <w:rFonts w:ascii="Garamond" w:eastAsia="標楷體" w:hAnsi="Garamond" w:cs="新細明體"/>
                <w:kern w:val="0"/>
                <w:sz w:val="20"/>
                <w:szCs w:val="20"/>
              </w:rPr>
              <w:t>(AT1)</w:t>
            </w:r>
            <w:r w:rsidRPr="004D451D">
              <w:rPr>
                <w:rFonts w:ascii="Garamond" w:eastAsia="標楷體" w:hAnsi="標楷體" w:cs="新細明體" w:hint="eastAsia"/>
                <w:kern w:val="0"/>
                <w:sz w:val="20"/>
                <w:szCs w:val="20"/>
              </w:rPr>
              <w:t>排除金額</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因贖回或到期而超限</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84</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適用分階段扣除規定下，現有第二類</w:t>
            </w:r>
            <w:r w:rsidRPr="004D451D">
              <w:rPr>
                <w:rFonts w:ascii="Garamond" w:eastAsia="標楷體" w:hAnsi="Garamond" w:cs="新細明體"/>
                <w:kern w:val="0"/>
                <w:sz w:val="20"/>
                <w:szCs w:val="20"/>
              </w:rPr>
              <w:t>(T2)</w:t>
            </w:r>
            <w:r w:rsidRPr="004D451D">
              <w:rPr>
                <w:rFonts w:ascii="Garamond" w:eastAsia="標楷體" w:hAnsi="標楷體" w:cs="新細明體" w:hint="eastAsia"/>
                <w:kern w:val="0"/>
                <w:sz w:val="20"/>
                <w:szCs w:val="20"/>
              </w:rPr>
              <w:t>資本工具上限</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r w:rsidR="004D451D" w:rsidRPr="004D451D" w:rsidTr="009F53B0">
        <w:trPr>
          <w:trHeight w:val="20"/>
        </w:trPr>
        <w:tc>
          <w:tcPr>
            <w:tcW w:w="561" w:type="dxa"/>
            <w:tcBorders>
              <w:top w:val="nil"/>
              <w:left w:val="single" w:sz="4" w:space="0" w:color="auto"/>
              <w:bottom w:val="single" w:sz="4" w:space="0" w:color="auto"/>
              <w:right w:val="single" w:sz="4" w:space="0" w:color="auto"/>
            </w:tcBorders>
            <w:noWrap/>
            <w:vAlign w:val="center"/>
          </w:tcPr>
          <w:p w:rsidR="005545A5" w:rsidRPr="004D451D" w:rsidRDefault="005545A5" w:rsidP="005545A5">
            <w:pPr>
              <w:widowControl/>
              <w:jc w:val="center"/>
              <w:rPr>
                <w:rFonts w:ascii="Garamond" w:eastAsia="標楷體" w:hAnsi="Garamond" w:cs="新細明體"/>
                <w:kern w:val="0"/>
                <w:sz w:val="20"/>
                <w:szCs w:val="20"/>
              </w:rPr>
            </w:pPr>
            <w:r w:rsidRPr="004D451D">
              <w:rPr>
                <w:rFonts w:ascii="Garamond" w:eastAsia="標楷體" w:hAnsi="Garamond" w:cs="新細明體"/>
                <w:kern w:val="0"/>
                <w:sz w:val="20"/>
                <w:szCs w:val="20"/>
              </w:rPr>
              <w:t>85</w:t>
            </w:r>
          </w:p>
        </w:tc>
        <w:tc>
          <w:tcPr>
            <w:tcW w:w="4860" w:type="dxa"/>
            <w:tcBorders>
              <w:top w:val="nil"/>
              <w:left w:val="nil"/>
              <w:bottom w:val="single" w:sz="4" w:space="0" w:color="auto"/>
              <w:right w:val="single" w:sz="4" w:space="0" w:color="auto"/>
            </w:tcBorders>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因超限自第二類</w:t>
            </w:r>
            <w:r w:rsidRPr="004D451D">
              <w:rPr>
                <w:rFonts w:ascii="Garamond" w:eastAsia="標楷體" w:hAnsi="Garamond" w:cs="新細明體"/>
                <w:kern w:val="0"/>
                <w:sz w:val="20"/>
                <w:szCs w:val="20"/>
              </w:rPr>
              <w:t>(T2)</w:t>
            </w:r>
            <w:r w:rsidRPr="004D451D">
              <w:rPr>
                <w:rFonts w:ascii="Garamond" w:eastAsia="標楷體" w:hAnsi="標楷體" w:cs="新細明體" w:hint="eastAsia"/>
                <w:kern w:val="0"/>
                <w:sz w:val="20"/>
                <w:szCs w:val="20"/>
              </w:rPr>
              <w:t>排除金額</w:t>
            </w:r>
            <w:r w:rsidRPr="004D451D">
              <w:rPr>
                <w:rFonts w:ascii="Garamond" w:eastAsia="標楷體" w:hAnsi="Garamond" w:cs="新細明體"/>
                <w:kern w:val="0"/>
                <w:sz w:val="20"/>
                <w:szCs w:val="20"/>
              </w:rPr>
              <w:t>(</w:t>
            </w:r>
            <w:r w:rsidRPr="004D451D">
              <w:rPr>
                <w:rFonts w:ascii="Garamond" w:eastAsia="標楷體" w:hAnsi="標楷體" w:cs="新細明體" w:hint="eastAsia"/>
                <w:kern w:val="0"/>
                <w:sz w:val="20"/>
                <w:szCs w:val="20"/>
              </w:rPr>
              <w:t>因贖回或到期而超限</w:t>
            </w:r>
            <w:r w:rsidRPr="004D451D">
              <w:rPr>
                <w:rFonts w:ascii="Garamond" w:eastAsia="標楷體" w:hAnsi="Garamond" w:cs="新細明體"/>
                <w:kern w:val="0"/>
                <w:sz w:val="20"/>
                <w:szCs w:val="20"/>
              </w:rPr>
              <w:t>)</w:t>
            </w:r>
          </w:p>
        </w:tc>
        <w:tc>
          <w:tcPr>
            <w:tcW w:w="1198"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c>
          <w:tcPr>
            <w:tcW w:w="850" w:type="dxa"/>
            <w:tcBorders>
              <w:top w:val="nil"/>
              <w:lef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851" w:type="dxa"/>
            <w:tcBorders>
              <w:top w:val="nil"/>
              <w:right w:val="single" w:sz="4" w:space="0" w:color="auto"/>
            </w:tcBorders>
          </w:tcPr>
          <w:p w:rsidR="005545A5" w:rsidRPr="004D451D" w:rsidRDefault="005545A5" w:rsidP="005545A5">
            <w:pPr>
              <w:widowControl/>
              <w:rPr>
                <w:rFonts w:ascii="Garamond" w:eastAsia="標楷體" w:hAnsi="標楷體" w:cs="新細明體"/>
                <w:kern w:val="0"/>
                <w:sz w:val="20"/>
                <w:szCs w:val="20"/>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5545A5" w:rsidRPr="004D451D" w:rsidRDefault="005545A5" w:rsidP="005545A5">
            <w:pPr>
              <w:widowControl/>
              <w:rPr>
                <w:rFonts w:ascii="Garamond" w:eastAsia="標楷體" w:hAnsi="Garamond" w:cs="新細明體"/>
                <w:kern w:val="0"/>
                <w:sz w:val="20"/>
                <w:szCs w:val="20"/>
              </w:rPr>
            </w:pPr>
          </w:p>
        </w:tc>
      </w:tr>
    </w:tbl>
    <w:p w:rsidR="005545A5" w:rsidRPr="004D451D" w:rsidRDefault="005545A5" w:rsidP="005545A5">
      <w:pPr>
        <w:jc w:val="both"/>
        <w:rPr>
          <w:rFonts w:eastAsia="標楷體" w:hAnsi="標楷體"/>
          <w:b/>
          <w:kern w:val="0"/>
          <w:sz w:val="20"/>
          <w:szCs w:val="20"/>
        </w:rPr>
      </w:pPr>
    </w:p>
    <w:p w:rsidR="005545A5" w:rsidRPr="004D451D" w:rsidRDefault="005545A5" w:rsidP="005545A5">
      <w:pPr>
        <w:jc w:val="both"/>
        <w:rPr>
          <w:rFonts w:eastAsia="標楷體"/>
          <w:b/>
          <w:kern w:val="0"/>
          <w:sz w:val="20"/>
          <w:szCs w:val="20"/>
        </w:rPr>
      </w:pPr>
      <w:r w:rsidRPr="004D451D">
        <w:rPr>
          <w:rFonts w:eastAsia="標楷體" w:hAnsi="標楷體" w:hint="eastAsia"/>
          <w:b/>
          <w:kern w:val="0"/>
          <w:sz w:val="20"/>
          <w:szCs w:val="20"/>
        </w:rPr>
        <w:t>填表說明</w:t>
      </w:r>
      <w:r w:rsidRPr="004D451D">
        <w:rPr>
          <w:rFonts w:eastAsia="標楷體" w:hint="eastAsia"/>
          <w:b/>
          <w:kern w:val="0"/>
          <w:sz w:val="20"/>
          <w:szCs w:val="20"/>
        </w:rPr>
        <w:t>：</w:t>
      </w:r>
    </w:p>
    <w:p w:rsidR="005545A5" w:rsidRPr="004D451D"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4D451D">
        <w:rPr>
          <w:rFonts w:eastAsia="標楷體" w:hint="eastAsia"/>
          <w:kern w:val="0"/>
          <w:sz w:val="20"/>
          <w:szCs w:val="20"/>
        </w:rPr>
        <w:t>本表更新頻率：半年。</w:t>
      </w:r>
    </w:p>
    <w:p w:rsidR="005545A5" w:rsidRPr="004D451D"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4D451D">
        <w:rPr>
          <w:rFonts w:eastAsia="標楷體" w:hAnsi="標楷體" w:hint="eastAsia"/>
          <w:kern w:val="0"/>
          <w:sz w:val="20"/>
          <w:szCs w:val="20"/>
        </w:rPr>
        <w:t>本表各類資本工具及法定調整項之金額均可依檢索碼對應至【附表四之二】，用以計算資本適足率之資產負債表之展開項目</w:t>
      </w:r>
      <w:r w:rsidRPr="004D451D">
        <w:rPr>
          <w:rFonts w:eastAsia="標楷體" w:hint="eastAsia"/>
          <w:kern w:val="0"/>
          <w:sz w:val="20"/>
          <w:szCs w:val="20"/>
        </w:rPr>
        <w:t>(</w:t>
      </w:r>
      <w:r w:rsidRPr="004D451D">
        <w:rPr>
          <w:rFonts w:eastAsia="標楷體" w:hAnsi="標楷體" w:hint="eastAsia"/>
          <w:kern w:val="0"/>
          <w:sz w:val="20"/>
          <w:szCs w:val="20"/>
        </w:rPr>
        <w:t>範例</w:t>
      </w:r>
      <w:r w:rsidRPr="004D451D">
        <w:rPr>
          <w:rFonts w:eastAsia="標楷體" w:hint="eastAsia"/>
          <w:kern w:val="0"/>
          <w:sz w:val="20"/>
          <w:szCs w:val="20"/>
        </w:rPr>
        <w:t>：</w:t>
      </w:r>
      <w:r w:rsidRPr="004D451D">
        <w:rPr>
          <w:rFonts w:eastAsia="標楷體" w:hAnsi="標楷體" w:hint="eastAsia"/>
          <w:kern w:val="0"/>
          <w:sz w:val="20"/>
          <w:szCs w:val="20"/>
        </w:rPr>
        <w:t>本表「合格發行之普通股加計股本溢價」之欄位，係【附表四之二】</w:t>
      </w:r>
      <w:r w:rsidRPr="004D451D">
        <w:rPr>
          <w:rFonts w:eastAsia="標楷體"/>
          <w:kern w:val="0"/>
          <w:sz w:val="20"/>
          <w:szCs w:val="20"/>
        </w:rPr>
        <w:t>A93</w:t>
      </w:r>
      <w:r w:rsidRPr="004D451D">
        <w:rPr>
          <w:rFonts w:eastAsia="標楷體" w:hAnsi="標楷體" w:hint="eastAsia"/>
          <w:kern w:val="0"/>
          <w:sz w:val="20"/>
          <w:szCs w:val="20"/>
        </w:rPr>
        <w:t>與</w:t>
      </w:r>
      <w:r w:rsidRPr="004D451D">
        <w:rPr>
          <w:rFonts w:eastAsia="標楷體"/>
          <w:kern w:val="0"/>
          <w:sz w:val="20"/>
          <w:szCs w:val="20"/>
        </w:rPr>
        <w:t>A96</w:t>
      </w:r>
      <w:r w:rsidRPr="004D451D">
        <w:rPr>
          <w:rFonts w:eastAsia="標楷體" w:hint="eastAsia"/>
          <w:kern w:val="0"/>
          <w:sz w:val="20"/>
          <w:szCs w:val="20"/>
        </w:rPr>
        <w:t>之</w:t>
      </w:r>
      <w:r w:rsidRPr="004D451D">
        <w:rPr>
          <w:rFonts w:eastAsia="標楷體" w:hAnsi="標楷體" w:hint="eastAsia"/>
          <w:kern w:val="0"/>
          <w:sz w:val="20"/>
          <w:szCs w:val="20"/>
        </w:rPr>
        <w:t>加總</w:t>
      </w:r>
      <w:r w:rsidRPr="004D451D">
        <w:rPr>
          <w:rFonts w:eastAsia="標楷體" w:hAnsi="標楷體" w:hint="eastAsia"/>
          <w:kern w:val="0"/>
          <w:sz w:val="20"/>
          <w:szCs w:val="20"/>
        </w:rPr>
        <w:t>)</w:t>
      </w:r>
      <w:r w:rsidRPr="004D451D">
        <w:rPr>
          <w:rFonts w:eastAsia="標楷體" w:hAnsi="標楷體" w:hint="eastAsia"/>
          <w:kern w:val="0"/>
          <w:sz w:val="20"/>
          <w:szCs w:val="20"/>
        </w:rPr>
        <w:t>。</w:t>
      </w:r>
    </w:p>
    <w:p w:rsidR="005545A5" w:rsidRPr="004D451D" w:rsidRDefault="005545A5" w:rsidP="005545A5">
      <w:pPr>
        <w:numPr>
          <w:ilvl w:val="0"/>
          <w:numId w:val="92"/>
        </w:numPr>
        <w:jc w:val="both"/>
        <w:rPr>
          <w:rFonts w:eastAsia="標楷體"/>
          <w:kern w:val="0"/>
          <w:sz w:val="20"/>
          <w:szCs w:val="20"/>
        </w:rPr>
      </w:pPr>
      <w:r w:rsidRPr="004D451D">
        <w:rPr>
          <w:rFonts w:eastAsia="標楷體" w:hAnsi="標楷體" w:hint="eastAsia"/>
          <w:kern w:val="0"/>
          <w:sz w:val="20"/>
          <w:szCs w:val="20"/>
        </w:rPr>
        <w:t>法定調整項目，若作為資本工具之減項請以正值填列，若作為資本工具之加項，例如</w:t>
      </w:r>
      <w:r w:rsidRPr="004D451D">
        <w:rPr>
          <w:rFonts w:eastAsia="標楷體"/>
          <w:kern w:val="0"/>
          <w:sz w:val="20"/>
          <w:szCs w:val="20"/>
        </w:rPr>
        <w:t>56a</w:t>
      </w:r>
      <w:r w:rsidRPr="004D451D">
        <w:rPr>
          <w:rFonts w:eastAsia="標楷體" w:hAnsi="標楷體" w:hint="eastAsia"/>
          <w:kern w:val="0"/>
          <w:sz w:val="20"/>
          <w:szCs w:val="20"/>
        </w:rPr>
        <w:t>項</w:t>
      </w:r>
      <w:r w:rsidRPr="004D451D">
        <w:rPr>
          <w:rFonts w:eastAsia="標楷體" w:hint="eastAsia"/>
          <w:kern w:val="0"/>
          <w:sz w:val="20"/>
          <w:szCs w:val="20"/>
        </w:rPr>
        <w:t>(</w:t>
      </w:r>
      <w:r w:rsidRPr="004D451D">
        <w:rPr>
          <w:rFonts w:eastAsia="標楷體" w:hAnsi="標楷體" w:hint="eastAsia"/>
          <w:kern w:val="0"/>
          <w:sz w:val="20"/>
          <w:szCs w:val="20"/>
        </w:rPr>
        <w:t>不動產首次適用國際會計準則時，以公允價值或重估價值作為認定成本產生之保留盈餘增加數</w:t>
      </w:r>
      <w:r w:rsidRPr="004D451D">
        <w:rPr>
          <w:rFonts w:eastAsia="標楷體" w:hint="eastAsia"/>
          <w:kern w:val="0"/>
          <w:sz w:val="20"/>
          <w:szCs w:val="20"/>
        </w:rPr>
        <w:t>)</w:t>
      </w:r>
      <w:r w:rsidRPr="004D451D">
        <w:rPr>
          <w:rFonts w:eastAsia="標楷體" w:hAnsi="標楷體" w:hint="eastAsia"/>
          <w:kern w:val="0"/>
          <w:sz w:val="20"/>
          <w:szCs w:val="20"/>
        </w:rPr>
        <w:t>及</w:t>
      </w:r>
      <w:r w:rsidRPr="004D451D">
        <w:rPr>
          <w:rFonts w:eastAsia="標楷體"/>
          <w:kern w:val="0"/>
          <w:sz w:val="20"/>
          <w:szCs w:val="20"/>
        </w:rPr>
        <w:t>56b</w:t>
      </w:r>
      <w:r w:rsidRPr="004D451D">
        <w:rPr>
          <w:rFonts w:eastAsia="標楷體" w:hAnsi="標楷體" w:hint="eastAsia"/>
          <w:kern w:val="0"/>
          <w:sz w:val="20"/>
          <w:szCs w:val="20"/>
        </w:rPr>
        <w:t>項</w:t>
      </w:r>
      <w:r w:rsidRPr="004D451D">
        <w:rPr>
          <w:rFonts w:eastAsia="標楷體" w:hint="eastAsia"/>
          <w:kern w:val="0"/>
          <w:sz w:val="20"/>
          <w:szCs w:val="20"/>
        </w:rPr>
        <w:t>(</w:t>
      </w:r>
      <w:r w:rsidRPr="004D451D">
        <w:rPr>
          <w:rFonts w:eastAsia="標楷體" w:hint="eastAsia"/>
          <w:kern w:val="0"/>
          <w:sz w:val="20"/>
          <w:szCs w:val="20"/>
        </w:rPr>
        <w:t>透過其他綜合損益按公允價值衡量之權益工具及債務工具未實現評價利益之</w:t>
      </w:r>
      <w:r w:rsidRPr="004D451D">
        <w:rPr>
          <w:rFonts w:eastAsia="標楷體" w:hint="eastAsia"/>
          <w:kern w:val="0"/>
          <w:sz w:val="20"/>
          <w:szCs w:val="20"/>
        </w:rPr>
        <w:t>45</w:t>
      </w:r>
      <w:r w:rsidRPr="004D451D">
        <w:rPr>
          <w:rFonts w:eastAsia="標楷體" w:hint="eastAsia"/>
          <w:kern w:val="0"/>
          <w:sz w:val="20"/>
          <w:szCs w:val="20"/>
        </w:rPr>
        <w:t>％</w:t>
      </w:r>
      <w:r w:rsidRPr="004D451D">
        <w:rPr>
          <w:rFonts w:eastAsia="標楷體" w:hint="eastAsia"/>
          <w:kern w:val="0"/>
          <w:sz w:val="20"/>
          <w:szCs w:val="20"/>
        </w:rPr>
        <w:t>)</w:t>
      </w:r>
      <w:r w:rsidRPr="004D451D">
        <w:rPr>
          <w:rFonts w:eastAsia="標楷體" w:hAnsi="標楷體" w:hint="eastAsia"/>
          <w:kern w:val="0"/>
          <w:sz w:val="20"/>
          <w:szCs w:val="20"/>
        </w:rPr>
        <w:t>，填列時請以括號表示負值。</w:t>
      </w:r>
    </w:p>
    <w:p w:rsidR="005545A5" w:rsidRPr="004D451D"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4D451D">
        <w:rPr>
          <w:rFonts w:eastAsia="標楷體" w:hAnsi="標楷體" w:hint="eastAsia"/>
          <w:kern w:val="0"/>
          <w:sz w:val="20"/>
          <w:szCs w:val="20"/>
        </w:rPr>
        <w:t>編號</w:t>
      </w:r>
      <w:r w:rsidRPr="004D451D">
        <w:rPr>
          <w:rFonts w:eastAsia="標楷體"/>
          <w:kern w:val="0"/>
          <w:sz w:val="20"/>
          <w:szCs w:val="20"/>
        </w:rPr>
        <w:t>80-85</w:t>
      </w:r>
      <w:r w:rsidRPr="004D451D">
        <w:rPr>
          <w:rFonts w:eastAsia="標楷體" w:hAnsi="標楷體" w:hint="eastAsia"/>
          <w:kern w:val="0"/>
          <w:sz w:val="20"/>
          <w:szCs w:val="20"/>
        </w:rPr>
        <w:t>項適用於</w:t>
      </w:r>
      <w:r w:rsidRPr="004D451D">
        <w:rPr>
          <w:rFonts w:eastAsia="標楷體" w:hAnsi="標楷體"/>
          <w:kern w:val="0"/>
          <w:sz w:val="20"/>
          <w:szCs w:val="20"/>
        </w:rPr>
        <w:t>102</w:t>
      </w:r>
      <w:r w:rsidRPr="004D451D">
        <w:rPr>
          <w:rFonts w:eastAsia="標楷體" w:hAnsi="標楷體" w:hint="eastAsia"/>
          <w:kern w:val="0"/>
          <w:sz w:val="20"/>
          <w:szCs w:val="20"/>
        </w:rPr>
        <w:t>年</w:t>
      </w:r>
      <w:r w:rsidRPr="004D451D">
        <w:rPr>
          <w:rFonts w:eastAsia="標楷體"/>
          <w:kern w:val="0"/>
          <w:sz w:val="20"/>
          <w:szCs w:val="20"/>
        </w:rPr>
        <w:t>1</w:t>
      </w:r>
      <w:r w:rsidRPr="004D451D">
        <w:rPr>
          <w:rFonts w:eastAsia="標楷體" w:hAnsi="標楷體" w:hint="eastAsia"/>
          <w:kern w:val="0"/>
          <w:sz w:val="20"/>
          <w:szCs w:val="20"/>
        </w:rPr>
        <w:t>月</w:t>
      </w:r>
      <w:r w:rsidRPr="004D451D">
        <w:rPr>
          <w:rFonts w:eastAsia="標楷體"/>
          <w:kern w:val="0"/>
          <w:sz w:val="20"/>
          <w:szCs w:val="20"/>
        </w:rPr>
        <w:t>1</w:t>
      </w:r>
      <w:r w:rsidRPr="004D451D">
        <w:rPr>
          <w:rFonts w:eastAsia="標楷體" w:hAnsi="標楷體" w:hint="eastAsia"/>
          <w:kern w:val="0"/>
          <w:sz w:val="20"/>
          <w:szCs w:val="20"/>
        </w:rPr>
        <w:t>日至</w:t>
      </w:r>
      <w:r w:rsidRPr="004D451D">
        <w:rPr>
          <w:rFonts w:eastAsia="標楷體" w:hAnsi="標楷體"/>
          <w:kern w:val="0"/>
          <w:sz w:val="20"/>
          <w:szCs w:val="20"/>
        </w:rPr>
        <w:t>111</w:t>
      </w:r>
      <w:r w:rsidRPr="004D451D">
        <w:rPr>
          <w:rFonts w:eastAsia="標楷體" w:hAnsi="標楷體" w:hint="eastAsia"/>
          <w:kern w:val="0"/>
          <w:sz w:val="20"/>
          <w:szCs w:val="20"/>
        </w:rPr>
        <w:t>年</w:t>
      </w:r>
      <w:r w:rsidRPr="004D451D">
        <w:rPr>
          <w:rFonts w:eastAsia="標楷體"/>
          <w:kern w:val="0"/>
          <w:sz w:val="20"/>
          <w:szCs w:val="20"/>
        </w:rPr>
        <w:t>1</w:t>
      </w:r>
      <w:r w:rsidRPr="004D451D">
        <w:rPr>
          <w:rFonts w:eastAsia="標楷體" w:hAnsi="標楷體" w:hint="eastAsia"/>
          <w:kern w:val="0"/>
          <w:sz w:val="20"/>
          <w:szCs w:val="20"/>
        </w:rPr>
        <w:t>月</w:t>
      </w:r>
      <w:r w:rsidRPr="004D451D">
        <w:rPr>
          <w:rFonts w:eastAsia="標楷體"/>
          <w:kern w:val="0"/>
          <w:sz w:val="20"/>
          <w:szCs w:val="20"/>
        </w:rPr>
        <w:t>1</w:t>
      </w:r>
      <w:r w:rsidRPr="004D451D">
        <w:rPr>
          <w:rFonts w:eastAsia="標楷體" w:hAnsi="標楷體" w:hint="eastAsia"/>
          <w:kern w:val="0"/>
          <w:sz w:val="20"/>
          <w:szCs w:val="20"/>
        </w:rPr>
        <w:t>日，即銀行依管理辦法第</w:t>
      </w:r>
      <w:r w:rsidRPr="004D451D">
        <w:rPr>
          <w:rFonts w:eastAsia="標楷體"/>
          <w:kern w:val="0"/>
          <w:sz w:val="20"/>
          <w:szCs w:val="20"/>
        </w:rPr>
        <w:t>11</w:t>
      </w:r>
      <w:r w:rsidRPr="004D451D">
        <w:rPr>
          <w:rFonts w:eastAsia="標楷體" w:hAnsi="標楷體" w:hint="eastAsia"/>
          <w:kern w:val="0"/>
          <w:sz w:val="20"/>
          <w:szCs w:val="20"/>
        </w:rPr>
        <w:t>條規定於計算自有資本時，將</w:t>
      </w:r>
      <w:r w:rsidRPr="004D451D">
        <w:rPr>
          <w:rFonts w:eastAsia="標楷體" w:hAnsi="標楷體"/>
          <w:kern w:val="0"/>
          <w:sz w:val="20"/>
          <w:szCs w:val="20"/>
        </w:rPr>
        <w:t>101</w:t>
      </w:r>
      <w:r w:rsidRPr="004D451D">
        <w:rPr>
          <w:rFonts w:eastAsia="標楷體" w:hAnsi="標楷體" w:hint="eastAsia"/>
          <w:kern w:val="0"/>
          <w:sz w:val="20"/>
          <w:szCs w:val="20"/>
        </w:rPr>
        <w:t>年底前已發行之資本工具適用過渡期間逐年遞減之規定者；該等資本工具於</w:t>
      </w:r>
      <w:r w:rsidRPr="004D451D">
        <w:rPr>
          <w:rFonts w:eastAsia="標楷體" w:hAnsi="標楷體"/>
          <w:kern w:val="0"/>
          <w:sz w:val="20"/>
          <w:szCs w:val="20"/>
        </w:rPr>
        <w:t>111</w:t>
      </w:r>
      <w:r w:rsidRPr="004D451D">
        <w:rPr>
          <w:rFonts w:eastAsia="標楷體" w:hAnsi="標楷體" w:hint="eastAsia"/>
          <w:kern w:val="0"/>
          <w:sz w:val="20"/>
          <w:szCs w:val="20"/>
        </w:rPr>
        <w:t>年全數扣除後，該等欄位可無須再揭露。</w:t>
      </w:r>
    </w:p>
    <w:p w:rsidR="005545A5" w:rsidRPr="004D451D"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4D451D">
        <w:rPr>
          <w:rFonts w:eastAsia="標楷體" w:hAnsi="標楷體" w:hint="eastAsia"/>
          <w:kern w:val="0"/>
          <w:sz w:val="20"/>
          <w:szCs w:val="20"/>
        </w:rPr>
        <w:t>「</w:t>
      </w:r>
      <w:r w:rsidRPr="004D451D">
        <w:rPr>
          <w:rFonts w:eastAsia="標楷體" w:hAnsi="標楷體"/>
          <w:kern w:val="0"/>
          <w:sz w:val="20"/>
          <w:szCs w:val="20"/>
        </w:rPr>
        <w:t>101.11.26</w:t>
      </w:r>
      <w:r w:rsidRPr="004D451D">
        <w:rPr>
          <w:rFonts w:eastAsia="標楷體" w:hAnsi="標楷體" w:hint="eastAsia"/>
          <w:kern w:val="0"/>
          <w:sz w:val="20"/>
          <w:szCs w:val="20"/>
        </w:rPr>
        <w:t>管理辦法修正規定施行前之金額」</w:t>
      </w:r>
      <w:r w:rsidRPr="004D451D">
        <w:rPr>
          <w:rFonts w:eastAsia="標楷體" w:hint="eastAsia"/>
          <w:kern w:val="0"/>
          <w:sz w:val="20"/>
          <w:szCs w:val="20"/>
        </w:rPr>
        <w:t>(</w:t>
      </w:r>
      <w:r w:rsidRPr="004D451D">
        <w:rPr>
          <w:rFonts w:eastAsia="標楷體" w:hAnsi="標楷體" w:hint="eastAsia"/>
          <w:kern w:val="0"/>
          <w:sz w:val="20"/>
          <w:szCs w:val="20"/>
        </w:rPr>
        <w:t>虛線欄位</w:t>
      </w:r>
      <w:r w:rsidRPr="004D451D">
        <w:rPr>
          <w:rFonts w:eastAsia="標楷體" w:hint="eastAsia"/>
          <w:kern w:val="0"/>
          <w:sz w:val="20"/>
          <w:szCs w:val="20"/>
        </w:rPr>
        <w:t>)</w:t>
      </w:r>
      <w:r w:rsidRPr="004D451D">
        <w:rPr>
          <w:rFonts w:eastAsia="標楷體" w:hint="eastAsia"/>
          <w:kern w:val="0"/>
          <w:sz w:val="20"/>
          <w:szCs w:val="20"/>
        </w:rPr>
        <w:t>應揭露</w:t>
      </w:r>
      <w:r w:rsidRPr="004D451D">
        <w:rPr>
          <w:rFonts w:eastAsia="標楷體" w:hAnsi="標楷體" w:hint="eastAsia"/>
          <w:kern w:val="0"/>
          <w:sz w:val="20"/>
          <w:szCs w:val="20"/>
        </w:rPr>
        <w:t>銀行於過渡期間依主管機關規定之資本調整金額。以編號第</w:t>
      </w:r>
      <w:r w:rsidRPr="004D451D">
        <w:rPr>
          <w:rFonts w:eastAsia="標楷體" w:hAnsi="標楷體"/>
          <w:kern w:val="0"/>
          <w:sz w:val="20"/>
          <w:szCs w:val="20"/>
        </w:rPr>
        <w:t>10</w:t>
      </w:r>
      <w:r w:rsidRPr="004D451D">
        <w:rPr>
          <w:rFonts w:eastAsia="標楷體" w:hAnsi="標楷體" w:hint="eastAsia"/>
          <w:kern w:val="0"/>
          <w:sz w:val="20"/>
          <w:szCs w:val="20"/>
        </w:rPr>
        <w:t>項「排除由暫時差額所產生之視銀行未來獲利狀況而定之遞延所得稅資產</w:t>
      </w:r>
      <w:r w:rsidRPr="004D451D">
        <w:rPr>
          <w:rFonts w:eastAsia="標楷體" w:hint="eastAsia"/>
          <w:kern w:val="0"/>
          <w:sz w:val="20"/>
          <w:szCs w:val="20"/>
        </w:rPr>
        <w:t>(</w:t>
      </w:r>
      <w:r w:rsidRPr="004D451D">
        <w:rPr>
          <w:rFonts w:eastAsia="標楷體" w:hAnsi="標楷體" w:hint="eastAsia"/>
          <w:kern w:val="0"/>
          <w:sz w:val="20"/>
          <w:szCs w:val="20"/>
        </w:rPr>
        <w:t>扣除相關所得稅負債</w:t>
      </w:r>
      <w:r w:rsidRPr="004D451D">
        <w:rPr>
          <w:rFonts w:eastAsia="標楷體" w:hint="eastAsia"/>
          <w:kern w:val="0"/>
          <w:sz w:val="20"/>
          <w:szCs w:val="20"/>
        </w:rPr>
        <w:t>)</w:t>
      </w:r>
      <w:r w:rsidRPr="004D451D">
        <w:rPr>
          <w:rFonts w:eastAsia="標楷體" w:hAnsi="標楷體" w:hint="eastAsia"/>
          <w:kern w:val="0"/>
          <w:sz w:val="20"/>
          <w:szCs w:val="20"/>
        </w:rPr>
        <w:t>」需填入金額為例，若銀行視銀行未來獲利狀況而定之遞延所得稅資產為</w:t>
      </w:r>
      <w:r w:rsidRPr="004D451D">
        <w:rPr>
          <w:rFonts w:eastAsia="標楷體"/>
          <w:kern w:val="0"/>
          <w:sz w:val="20"/>
          <w:szCs w:val="20"/>
        </w:rPr>
        <w:t>100</w:t>
      </w:r>
      <w:r w:rsidRPr="004D451D">
        <w:rPr>
          <w:rFonts w:eastAsia="標楷體" w:hAnsi="標楷體" w:hint="eastAsia"/>
          <w:kern w:val="0"/>
          <w:sz w:val="20"/>
          <w:szCs w:val="20"/>
        </w:rPr>
        <w:t>萬，依管理辦法修正條文第</w:t>
      </w:r>
      <w:r w:rsidRPr="004D451D">
        <w:rPr>
          <w:rFonts w:eastAsia="標楷體"/>
          <w:kern w:val="0"/>
          <w:sz w:val="20"/>
          <w:szCs w:val="20"/>
        </w:rPr>
        <w:t>7</w:t>
      </w:r>
      <w:r w:rsidRPr="004D451D">
        <w:rPr>
          <w:rFonts w:eastAsia="標楷體" w:hAnsi="標楷體" w:hint="eastAsia"/>
          <w:kern w:val="0"/>
          <w:sz w:val="20"/>
          <w:szCs w:val="20"/>
        </w:rPr>
        <w:t>條，</w:t>
      </w:r>
      <w:r w:rsidRPr="004D451D">
        <w:rPr>
          <w:rFonts w:eastAsia="標楷體"/>
          <w:kern w:val="0"/>
          <w:sz w:val="20"/>
          <w:szCs w:val="20"/>
        </w:rPr>
        <w:t>102</w:t>
      </w:r>
      <w:r w:rsidRPr="004D451D">
        <w:rPr>
          <w:rFonts w:eastAsia="標楷體" w:hAnsi="標楷體" w:hint="eastAsia"/>
          <w:kern w:val="0"/>
          <w:sz w:val="20"/>
          <w:szCs w:val="20"/>
        </w:rPr>
        <w:t>年扣</w:t>
      </w:r>
      <w:r w:rsidRPr="004D451D">
        <w:rPr>
          <w:rFonts w:eastAsia="標楷體"/>
          <w:kern w:val="0"/>
          <w:sz w:val="20"/>
          <w:szCs w:val="20"/>
        </w:rPr>
        <w:t>20</w:t>
      </w:r>
      <w:r w:rsidRPr="004D451D">
        <w:rPr>
          <w:rFonts w:eastAsia="標楷體" w:hAnsi="標楷體" w:hint="eastAsia"/>
          <w:kern w:val="0"/>
          <w:sz w:val="20"/>
          <w:szCs w:val="20"/>
        </w:rPr>
        <w:t>萬</w:t>
      </w:r>
      <w:r w:rsidRPr="004D451D">
        <w:rPr>
          <w:rFonts w:eastAsia="標楷體" w:hint="eastAsia"/>
          <w:kern w:val="0"/>
          <w:sz w:val="20"/>
          <w:szCs w:val="20"/>
        </w:rPr>
        <w:t>(</w:t>
      </w:r>
      <w:r w:rsidRPr="004D451D">
        <w:rPr>
          <w:rFonts w:eastAsia="標楷體" w:hAnsi="標楷體" w:hint="eastAsia"/>
          <w:kern w:val="0"/>
          <w:sz w:val="20"/>
          <w:szCs w:val="20"/>
        </w:rPr>
        <w:t>填入左邊實線欄位</w:t>
      </w:r>
      <w:r w:rsidRPr="004D451D">
        <w:rPr>
          <w:rFonts w:eastAsia="標楷體" w:hint="eastAsia"/>
          <w:kern w:val="0"/>
          <w:sz w:val="20"/>
          <w:szCs w:val="20"/>
        </w:rPr>
        <w:t>)</w:t>
      </w:r>
      <w:r w:rsidRPr="004D451D">
        <w:rPr>
          <w:rFonts w:eastAsia="標楷體" w:hAnsi="標楷體" w:hint="eastAsia"/>
          <w:kern w:val="0"/>
          <w:sz w:val="20"/>
          <w:szCs w:val="20"/>
        </w:rPr>
        <w:t>，未扣除</w:t>
      </w:r>
      <w:r w:rsidRPr="004D451D">
        <w:rPr>
          <w:rFonts w:eastAsia="標楷體"/>
          <w:kern w:val="0"/>
          <w:sz w:val="20"/>
          <w:szCs w:val="20"/>
        </w:rPr>
        <w:t>80</w:t>
      </w:r>
      <w:r w:rsidRPr="004D451D">
        <w:rPr>
          <w:rFonts w:eastAsia="標楷體" w:hAnsi="標楷體" w:hint="eastAsia"/>
          <w:kern w:val="0"/>
          <w:sz w:val="20"/>
          <w:szCs w:val="20"/>
        </w:rPr>
        <w:t>萬則填入右邊虛線欄位。</w:t>
      </w:r>
    </w:p>
    <w:p w:rsidR="005545A5" w:rsidRPr="004D451D"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pPr>
      <w:r w:rsidRPr="004D451D">
        <w:rPr>
          <w:rFonts w:eastAsia="標楷體" w:hAnsi="標楷體" w:hint="eastAsia"/>
          <w:kern w:val="0"/>
          <w:sz w:val="20"/>
          <w:szCs w:val="20"/>
        </w:rPr>
        <w:t>編號</w:t>
      </w:r>
      <w:r w:rsidRPr="004D451D">
        <w:rPr>
          <w:rFonts w:eastAsia="標楷體"/>
          <w:kern w:val="0"/>
          <w:sz w:val="20"/>
          <w:szCs w:val="20"/>
        </w:rPr>
        <w:t>37</w:t>
      </w:r>
      <w:r w:rsidRPr="004D451D">
        <w:rPr>
          <w:rFonts w:eastAsia="標楷體" w:hAnsi="標楷體" w:hint="eastAsia"/>
          <w:kern w:val="0"/>
          <w:sz w:val="20"/>
          <w:szCs w:val="20"/>
        </w:rPr>
        <w:t>、</w:t>
      </w:r>
      <w:r w:rsidRPr="004D451D">
        <w:rPr>
          <w:rFonts w:eastAsia="標楷體"/>
          <w:kern w:val="0"/>
          <w:sz w:val="20"/>
          <w:szCs w:val="20"/>
        </w:rPr>
        <w:t>52</w:t>
      </w:r>
      <w:r w:rsidRPr="004D451D">
        <w:rPr>
          <w:rFonts w:eastAsia="標楷體" w:hAnsi="標楷體" w:hint="eastAsia"/>
          <w:kern w:val="0"/>
          <w:sz w:val="20"/>
          <w:szCs w:val="20"/>
        </w:rPr>
        <w:t>項於本國無適用，不需填報；係因本國實務上贖回第一類資本工具</w:t>
      </w:r>
      <w:r w:rsidRPr="004D451D">
        <w:rPr>
          <w:rFonts w:eastAsia="標楷體" w:hint="eastAsia"/>
          <w:kern w:val="0"/>
          <w:sz w:val="20"/>
          <w:szCs w:val="20"/>
        </w:rPr>
        <w:t>(</w:t>
      </w:r>
      <w:r w:rsidRPr="004D451D">
        <w:rPr>
          <w:rFonts w:eastAsia="標楷體" w:hAnsi="標楷體" w:hint="eastAsia"/>
          <w:kern w:val="0"/>
          <w:sz w:val="20"/>
          <w:szCs w:val="20"/>
        </w:rPr>
        <w:t>如永續非累積特別股</w:t>
      </w:r>
      <w:r w:rsidRPr="004D451D">
        <w:rPr>
          <w:rFonts w:eastAsia="標楷體" w:hint="eastAsia"/>
          <w:kern w:val="0"/>
          <w:sz w:val="20"/>
          <w:szCs w:val="20"/>
        </w:rPr>
        <w:t>)</w:t>
      </w:r>
      <w:r w:rsidRPr="004D451D">
        <w:rPr>
          <w:rFonts w:eastAsia="標楷體" w:hAnsi="標楷體" w:hint="eastAsia"/>
          <w:kern w:val="0"/>
          <w:sz w:val="20"/>
          <w:szCs w:val="20"/>
        </w:rPr>
        <w:t>或第二類資本工具</w:t>
      </w:r>
      <w:r w:rsidRPr="004D451D">
        <w:rPr>
          <w:rFonts w:eastAsia="標楷體" w:hint="eastAsia"/>
          <w:kern w:val="0"/>
          <w:sz w:val="20"/>
          <w:szCs w:val="20"/>
        </w:rPr>
        <w:t>(</w:t>
      </w:r>
      <w:r w:rsidRPr="004D451D">
        <w:rPr>
          <w:rFonts w:eastAsia="標楷體" w:hAnsi="標楷體" w:hint="eastAsia"/>
          <w:kern w:val="0"/>
          <w:sz w:val="20"/>
          <w:szCs w:val="20"/>
        </w:rPr>
        <w:t>如長期次順位債</w:t>
      </w:r>
      <w:r w:rsidRPr="004D451D">
        <w:rPr>
          <w:rFonts w:eastAsia="標楷體" w:hint="eastAsia"/>
          <w:kern w:val="0"/>
          <w:sz w:val="20"/>
          <w:szCs w:val="20"/>
        </w:rPr>
        <w:t>)</w:t>
      </w:r>
      <w:r w:rsidRPr="004D451D">
        <w:rPr>
          <w:rFonts w:eastAsia="標楷體" w:hAnsi="標楷體" w:hint="eastAsia"/>
          <w:kern w:val="0"/>
          <w:sz w:val="20"/>
          <w:szCs w:val="20"/>
        </w:rPr>
        <w:t>即辦理註銷，無買回後掛帳之情形。</w:t>
      </w:r>
    </w:p>
    <w:p w:rsidR="005545A5" w:rsidRPr="004D451D" w:rsidRDefault="005545A5" w:rsidP="005545A5">
      <w:pPr>
        <w:numPr>
          <w:ilvl w:val="0"/>
          <w:numId w:val="92"/>
        </w:numPr>
        <w:tabs>
          <w:tab w:val="clear" w:pos="360"/>
          <w:tab w:val="num" w:pos="-180"/>
        </w:tabs>
        <w:ind w:leftChars="150" w:left="660" w:hangingChars="150" w:hanging="300"/>
        <w:jc w:val="both"/>
        <w:rPr>
          <w:rFonts w:eastAsia="標楷體"/>
          <w:kern w:val="0"/>
          <w:sz w:val="20"/>
          <w:szCs w:val="20"/>
        </w:rPr>
        <w:sectPr w:rsidR="005545A5" w:rsidRPr="004D451D" w:rsidSect="006A2EB6">
          <w:footnotePr>
            <w:numStart w:val="222"/>
          </w:footnotePr>
          <w:pgSz w:w="11906" w:h="16838"/>
          <w:pgMar w:top="902" w:right="1259" w:bottom="720" w:left="1259" w:header="851" w:footer="357" w:gutter="0"/>
          <w:cols w:space="425"/>
          <w:docGrid w:linePitch="360"/>
        </w:sectPr>
      </w:pPr>
      <w:r w:rsidRPr="004D451D">
        <w:rPr>
          <w:rFonts w:eastAsia="標楷體" w:hAnsi="標楷體" w:hint="eastAsia"/>
          <w:kern w:val="0"/>
          <w:sz w:val="20"/>
          <w:szCs w:val="20"/>
        </w:rPr>
        <w:t>資本組成項目揭露表可與自有資本計算表</w:t>
      </w:r>
      <w:r w:rsidRPr="004D451D">
        <w:rPr>
          <w:rFonts w:eastAsia="標楷體" w:hint="eastAsia"/>
          <w:kern w:val="0"/>
          <w:sz w:val="20"/>
          <w:szCs w:val="20"/>
        </w:rPr>
        <w:t>【表</w:t>
      </w:r>
      <w:r w:rsidRPr="004D451D">
        <w:rPr>
          <w:rFonts w:eastAsia="標楷體"/>
          <w:kern w:val="0"/>
          <w:sz w:val="20"/>
          <w:szCs w:val="20"/>
        </w:rPr>
        <w:t>1-B</w:t>
      </w:r>
      <w:r w:rsidRPr="004D451D">
        <w:rPr>
          <w:rFonts w:eastAsia="標楷體" w:hint="eastAsia"/>
          <w:kern w:val="0"/>
          <w:sz w:val="20"/>
          <w:szCs w:val="20"/>
        </w:rPr>
        <w:t>】</w:t>
      </w:r>
      <w:r w:rsidRPr="004D451D">
        <w:rPr>
          <w:rFonts w:eastAsia="標楷體" w:hAnsi="標楷體" w:hint="eastAsia"/>
          <w:kern w:val="0"/>
          <w:sz w:val="20"/>
          <w:szCs w:val="20"/>
        </w:rPr>
        <w:t>相互勾稽，其對應項目整理如表</w:t>
      </w:r>
      <w:r w:rsidRPr="004D451D">
        <w:rPr>
          <w:rFonts w:eastAsia="標楷體" w:hAnsi="標楷體"/>
          <w:kern w:val="0"/>
          <w:sz w:val="20"/>
          <w:szCs w:val="20"/>
        </w:rPr>
        <w:t>1</w:t>
      </w:r>
      <w:r w:rsidRPr="004D451D">
        <w:rPr>
          <w:rFonts w:eastAsia="標楷體" w:hAnsi="標楷體" w:hint="eastAsia"/>
          <w:kern w:val="0"/>
          <w:sz w:val="20"/>
          <w:szCs w:val="20"/>
        </w:rPr>
        <w:t>。</w:t>
      </w:r>
    </w:p>
    <w:p w:rsidR="005545A5" w:rsidRPr="004D451D" w:rsidRDefault="005545A5" w:rsidP="005545A5">
      <w:pPr>
        <w:jc w:val="center"/>
        <w:rPr>
          <w:rFonts w:eastAsia="標楷體"/>
          <w:b/>
          <w:sz w:val="28"/>
          <w:szCs w:val="28"/>
        </w:rPr>
      </w:pPr>
      <w:r w:rsidRPr="004D451D">
        <w:rPr>
          <w:rFonts w:eastAsia="標楷體" w:hAnsi="標楷體" w:hint="eastAsia"/>
          <w:b/>
          <w:sz w:val="28"/>
          <w:szCs w:val="28"/>
        </w:rPr>
        <w:lastRenderedPageBreak/>
        <w:t>表</w:t>
      </w:r>
      <w:r w:rsidRPr="004D451D">
        <w:rPr>
          <w:rFonts w:eastAsia="標楷體" w:hAnsi="標楷體"/>
          <w:b/>
          <w:sz w:val="28"/>
          <w:szCs w:val="28"/>
        </w:rPr>
        <w:t>1</w:t>
      </w:r>
      <w:r w:rsidRPr="004D451D">
        <w:rPr>
          <w:rFonts w:eastAsia="標楷體" w:hAnsi="標楷體" w:hint="eastAsia"/>
          <w:b/>
          <w:sz w:val="28"/>
          <w:szCs w:val="28"/>
        </w:rPr>
        <w:t>：</w:t>
      </w:r>
      <w:r w:rsidRPr="004D451D">
        <w:rPr>
          <w:rFonts w:ascii="標楷體" w:eastAsia="標楷體" w:hAnsi="標楷體" w:hint="eastAsia"/>
          <w:b/>
          <w:bCs/>
          <w:sz w:val="28"/>
          <w:szCs w:val="28"/>
        </w:rPr>
        <w:t>資本組成項目揭露表</w:t>
      </w:r>
      <w:r w:rsidRPr="004D451D">
        <w:rPr>
          <w:rFonts w:eastAsia="標楷體" w:hAnsi="標楷體" w:hint="eastAsia"/>
          <w:b/>
          <w:sz w:val="28"/>
          <w:szCs w:val="28"/>
        </w:rPr>
        <w:t>與自有資本計算表</w:t>
      </w:r>
      <w:r w:rsidRPr="004D451D">
        <w:rPr>
          <w:rFonts w:eastAsia="標楷體"/>
          <w:b/>
          <w:sz w:val="28"/>
          <w:szCs w:val="28"/>
        </w:rPr>
        <w:t>(1-B)</w:t>
      </w:r>
      <w:r w:rsidRPr="004D451D">
        <w:rPr>
          <w:rFonts w:eastAsia="標楷體" w:hAnsi="標楷體" w:hint="eastAsia"/>
          <w:b/>
          <w:sz w:val="28"/>
          <w:szCs w:val="28"/>
        </w:rPr>
        <w:t>項目對照</w:t>
      </w:r>
    </w:p>
    <w:tbl>
      <w:tblPr>
        <w:tblW w:w="111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A0" w:firstRow="1" w:lastRow="0" w:firstColumn="1" w:lastColumn="0" w:noHBand="0" w:noVBand="0"/>
      </w:tblPr>
      <w:tblGrid>
        <w:gridCol w:w="612"/>
        <w:gridCol w:w="4253"/>
        <w:gridCol w:w="6281"/>
      </w:tblGrid>
      <w:tr w:rsidR="004D451D" w:rsidRPr="004D451D" w:rsidTr="005545A5">
        <w:trPr>
          <w:trHeight w:val="331"/>
          <w:tblHeader/>
          <w:jc w:val="center"/>
        </w:trPr>
        <w:tc>
          <w:tcPr>
            <w:tcW w:w="612" w:type="dxa"/>
            <w:vAlign w:val="center"/>
          </w:tcPr>
          <w:p w:rsidR="005545A5" w:rsidRPr="004D451D" w:rsidRDefault="005545A5" w:rsidP="005545A5">
            <w:pPr>
              <w:widowControl/>
              <w:jc w:val="center"/>
              <w:rPr>
                <w:rFonts w:eastAsia="標楷體"/>
                <w:b/>
                <w:kern w:val="0"/>
                <w:sz w:val="20"/>
                <w:szCs w:val="20"/>
              </w:rPr>
            </w:pPr>
            <w:r w:rsidRPr="004D451D">
              <w:rPr>
                <w:rFonts w:eastAsia="標楷體" w:hAnsi="標楷體" w:hint="eastAsia"/>
                <w:b/>
                <w:kern w:val="0"/>
                <w:sz w:val="20"/>
                <w:szCs w:val="20"/>
              </w:rPr>
              <w:t>編號</w:t>
            </w:r>
          </w:p>
        </w:tc>
        <w:tc>
          <w:tcPr>
            <w:tcW w:w="4253" w:type="dxa"/>
            <w:vAlign w:val="center"/>
          </w:tcPr>
          <w:p w:rsidR="005545A5" w:rsidRPr="004D451D" w:rsidRDefault="005545A5" w:rsidP="005545A5">
            <w:pPr>
              <w:widowControl/>
              <w:jc w:val="center"/>
              <w:rPr>
                <w:rFonts w:eastAsia="標楷體"/>
                <w:b/>
                <w:kern w:val="0"/>
                <w:sz w:val="20"/>
                <w:szCs w:val="20"/>
              </w:rPr>
            </w:pPr>
            <w:r w:rsidRPr="004D451D">
              <w:rPr>
                <w:rFonts w:eastAsia="標楷體" w:hAnsi="標楷體" w:hint="eastAsia"/>
                <w:b/>
                <w:kern w:val="0"/>
                <w:sz w:val="20"/>
                <w:szCs w:val="20"/>
              </w:rPr>
              <w:t>項目</w:t>
            </w:r>
          </w:p>
        </w:tc>
        <w:tc>
          <w:tcPr>
            <w:tcW w:w="6281" w:type="dxa"/>
            <w:vAlign w:val="center"/>
          </w:tcPr>
          <w:p w:rsidR="005545A5" w:rsidRPr="004D451D" w:rsidRDefault="005545A5" w:rsidP="005545A5">
            <w:pPr>
              <w:widowControl/>
              <w:jc w:val="center"/>
              <w:rPr>
                <w:rFonts w:eastAsia="標楷體"/>
                <w:b/>
                <w:bCs/>
                <w:kern w:val="0"/>
                <w:sz w:val="20"/>
                <w:szCs w:val="20"/>
              </w:rPr>
            </w:pPr>
            <w:r w:rsidRPr="004D451D">
              <w:rPr>
                <w:rFonts w:eastAsia="標楷體" w:hAnsi="標楷體" w:hint="eastAsia"/>
                <w:b/>
                <w:bCs/>
                <w:kern w:val="0"/>
                <w:sz w:val="20"/>
                <w:szCs w:val="20"/>
              </w:rPr>
              <w:t>項目說明</w:t>
            </w:r>
            <w:r w:rsidRPr="004D451D">
              <w:rPr>
                <w:rFonts w:eastAsia="標楷體" w:hint="eastAsia"/>
                <w:b/>
                <w:bCs/>
                <w:kern w:val="0"/>
                <w:sz w:val="20"/>
                <w:szCs w:val="20"/>
              </w:rPr>
              <w:t>（</w:t>
            </w:r>
            <w:r w:rsidRPr="004D451D">
              <w:rPr>
                <w:rFonts w:eastAsia="標楷體" w:hAnsi="標楷體" w:hint="eastAsia"/>
                <w:b/>
                <w:bCs/>
                <w:kern w:val="0"/>
                <w:sz w:val="20"/>
                <w:szCs w:val="20"/>
              </w:rPr>
              <w:t>與【自有資本計算表</w:t>
            </w:r>
            <w:r w:rsidRPr="004D451D">
              <w:rPr>
                <w:rFonts w:eastAsia="標楷體"/>
                <w:b/>
                <w:bCs/>
                <w:kern w:val="0"/>
                <w:sz w:val="20"/>
                <w:szCs w:val="20"/>
              </w:rPr>
              <w:t>1-B</w:t>
            </w:r>
            <w:r w:rsidRPr="004D451D">
              <w:rPr>
                <w:rFonts w:eastAsia="標楷體" w:hAnsi="標楷體" w:hint="eastAsia"/>
                <w:b/>
                <w:bCs/>
                <w:kern w:val="0"/>
                <w:sz w:val="20"/>
                <w:szCs w:val="20"/>
              </w:rPr>
              <w:t>】相對應項目</w:t>
            </w:r>
            <w:r w:rsidRPr="004D451D">
              <w:rPr>
                <w:rFonts w:eastAsia="標楷體" w:hint="eastAsia"/>
                <w:b/>
                <w:bCs/>
                <w:kern w:val="0"/>
                <w:sz w:val="20"/>
                <w:szCs w:val="20"/>
              </w:rPr>
              <w:t>）</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普通股權益第一類資本：資本工具與準備</w:t>
            </w:r>
          </w:p>
        </w:tc>
        <w:tc>
          <w:tcPr>
            <w:tcW w:w="6281" w:type="dxa"/>
            <w:shd w:val="clear" w:color="auto" w:fill="D9D9D9"/>
            <w:vAlign w:val="center"/>
          </w:tcPr>
          <w:p w:rsidR="005545A5" w:rsidRPr="004D451D" w:rsidRDefault="005545A5" w:rsidP="005545A5">
            <w:pPr>
              <w:widowControl/>
              <w:rPr>
                <w:rFonts w:eastAsia="標楷體"/>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w:t>
            </w:r>
          </w:p>
        </w:tc>
        <w:tc>
          <w:tcPr>
            <w:tcW w:w="4253" w:type="dxa"/>
            <w:vAlign w:val="center"/>
          </w:tcPr>
          <w:p w:rsidR="005545A5" w:rsidRPr="004D451D" w:rsidRDefault="005545A5" w:rsidP="005545A5">
            <w:pPr>
              <w:widowControl/>
              <w:rPr>
                <w:rFonts w:eastAsia="標楷體"/>
                <w:kern w:val="0"/>
                <w:sz w:val="20"/>
                <w:szCs w:val="20"/>
              </w:rPr>
            </w:pPr>
            <w:r w:rsidRPr="004D451D">
              <w:rPr>
                <w:rFonts w:ascii="標楷體" w:eastAsia="標楷體" w:hAnsi="標楷體" w:hint="eastAsia"/>
                <w:sz w:val="20"/>
                <w:szCs w:val="20"/>
              </w:rPr>
              <w:t>合格發行之普通股</w:t>
            </w:r>
            <w:r w:rsidRPr="004D451D">
              <w:rPr>
                <w:rFonts w:ascii="標楷體" w:eastAsia="標楷體" w:hAnsi="標楷體"/>
                <w:sz w:val="20"/>
                <w:szCs w:val="20"/>
              </w:rPr>
              <w:t>(</w:t>
            </w:r>
            <w:r w:rsidRPr="004D451D">
              <w:rPr>
                <w:rFonts w:ascii="標楷體" w:eastAsia="標楷體" w:hAnsi="標楷體" w:hint="eastAsia"/>
                <w:sz w:val="20"/>
                <w:szCs w:val="20"/>
              </w:rPr>
              <w:t>或非股份制公司相對應之工具</w:t>
            </w:r>
            <w:r w:rsidRPr="004D451D">
              <w:rPr>
                <w:rFonts w:ascii="標楷體" w:eastAsia="標楷體" w:hAnsi="標楷體"/>
                <w:sz w:val="20"/>
                <w:szCs w:val="20"/>
              </w:rPr>
              <w:t>)</w:t>
            </w:r>
            <w:r w:rsidRPr="004D451D">
              <w:rPr>
                <w:rFonts w:ascii="標楷體" w:eastAsia="標楷體" w:hAnsi="標楷體" w:hint="eastAsia"/>
                <w:sz w:val="20"/>
                <w:szCs w:val="20"/>
              </w:rPr>
              <w:t>加計股本溢價</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【普通股股本】</w:t>
            </w:r>
            <w:r w:rsidRPr="004D451D">
              <w:rPr>
                <w:rFonts w:eastAsia="標楷體"/>
                <w:bCs/>
                <w:kern w:val="0"/>
                <w:sz w:val="20"/>
                <w:szCs w:val="20"/>
              </w:rPr>
              <w:br/>
              <w:t>+</w:t>
            </w:r>
            <w:r w:rsidRPr="004D451D">
              <w:rPr>
                <w:rFonts w:eastAsia="標楷體" w:hAnsi="標楷體" w:hint="eastAsia"/>
                <w:bCs/>
                <w:kern w:val="0"/>
                <w:sz w:val="20"/>
                <w:szCs w:val="20"/>
              </w:rPr>
              <w:t>【資本公積</w:t>
            </w:r>
            <w:r w:rsidRPr="004D451D">
              <w:rPr>
                <w:rFonts w:eastAsia="標楷體"/>
                <w:bCs/>
                <w:kern w:val="0"/>
                <w:sz w:val="20"/>
                <w:szCs w:val="20"/>
              </w:rPr>
              <w:t>—</w:t>
            </w:r>
            <w:r w:rsidRPr="004D451D">
              <w:rPr>
                <w:rFonts w:eastAsia="標楷體" w:hAnsi="標楷體" w:hint="eastAsia"/>
                <w:bCs/>
                <w:kern w:val="0"/>
                <w:sz w:val="20"/>
                <w:szCs w:val="20"/>
              </w:rPr>
              <w:t>普通股股本溢價】</w:t>
            </w:r>
            <w:r w:rsidRPr="004D451D">
              <w:rPr>
                <w:rFonts w:eastAsia="標楷體"/>
                <w:bCs/>
                <w:kern w:val="0"/>
                <w:sz w:val="20"/>
                <w:szCs w:val="20"/>
              </w:rPr>
              <w:br/>
              <w:t>+</w:t>
            </w:r>
            <w:r w:rsidRPr="004D451D">
              <w:rPr>
                <w:rFonts w:eastAsia="標楷體" w:hAnsi="標楷體" w:hint="eastAsia"/>
                <w:bCs/>
                <w:kern w:val="0"/>
                <w:sz w:val="20"/>
                <w:szCs w:val="20"/>
              </w:rPr>
              <w:t>【預收普通股股本】</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保留盈餘（含股本溢價以外之資本公積）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【資本公積</w:t>
            </w:r>
            <w:r w:rsidRPr="004D451D">
              <w:rPr>
                <w:rFonts w:eastAsia="標楷體"/>
                <w:bCs/>
                <w:kern w:val="0"/>
                <w:sz w:val="20"/>
                <w:szCs w:val="20"/>
              </w:rPr>
              <w:t>—</w:t>
            </w:r>
            <w:r w:rsidRPr="004D451D">
              <w:rPr>
                <w:rFonts w:eastAsia="標楷體" w:hAnsi="標楷體" w:hint="eastAsia"/>
                <w:bCs/>
                <w:kern w:val="0"/>
                <w:sz w:val="20"/>
                <w:szCs w:val="20"/>
              </w:rPr>
              <w:t>其他】</w:t>
            </w:r>
            <w:r w:rsidRPr="004D451D">
              <w:rPr>
                <w:rFonts w:eastAsia="標楷體"/>
                <w:bCs/>
                <w:kern w:val="0"/>
                <w:sz w:val="20"/>
                <w:szCs w:val="20"/>
              </w:rPr>
              <w:br/>
              <w:t>+</w:t>
            </w:r>
            <w:r w:rsidRPr="004D451D">
              <w:rPr>
                <w:rFonts w:eastAsia="標楷體" w:hAnsi="標楷體" w:hint="eastAsia"/>
                <w:bCs/>
                <w:kern w:val="0"/>
                <w:sz w:val="20"/>
                <w:szCs w:val="20"/>
              </w:rPr>
              <w:t>【法定盈餘公積】</w:t>
            </w:r>
            <w:r w:rsidRPr="004D451D">
              <w:rPr>
                <w:rFonts w:eastAsia="標楷體"/>
                <w:bCs/>
                <w:kern w:val="0"/>
                <w:sz w:val="20"/>
                <w:szCs w:val="20"/>
              </w:rPr>
              <w:br/>
              <w:t>+</w:t>
            </w:r>
            <w:r w:rsidRPr="004D451D">
              <w:rPr>
                <w:rFonts w:eastAsia="標楷體" w:hAnsi="標楷體" w:hint="eastAsia"/>
                <w:bCs/>
                <w:kern w:val="0"/>
                <w:sz w:val="20"/>
                <w:szCs w:val="20"/>
              </w:rPr>
              <w:t>【特別盈餘公積】</w:t>
            </w:r>
            <w:r w:rsidRPr="004D451D">
              <w:rPr>
                <w:rFonts w:eastAsia="標楷體"/>
                <w:bCs/>
                <w:kern w:val="0"/>
                <w:sz w:val="20"/>
                <w:szCs w:val="20"/>
              </w:rPr>
              <w:br/>
              <w:t>+</w:t>
            </w:r>
            <w:r w:rsidRPr="004D451D">
              <w:rPr>
                <w:rFonts w:eastAsia="標楷體" w:hAnsi="標楷體" w:hint="eastAsia"/>
                <w:bCs/>
                <w:kern w:val="0"/>
                <w:sz w:val="20"/>
                <w:szCs w:val="20"/>
              </w:rPr>
              <w:t>【累積盈餘】</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累積其他綜合淨利及其他準備（即其他權益項目）</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【其他權益項目】</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自普通股權益第一類資本分階段扣除之直接發行資本</w:t>
            </w:r>
            <w:r w:rsidRPr="004D451D">
              <w:rPr>
                <w:rFonts w:ascii="標楷體" w:eastAsia="標楷體" w:hAnsi="標楷體"/>
                <w:sz w:val="20"/>
                <w:szCs w:val="20"/>
              </w:rPr>
              <w:t>(</w:t>
            </w:r>
            <w:r w:rsidRPr="004D451D">
              <w:rPr>
                <w:rFonts w:ascii="標楷體" w:eastAsia="標楷體" w:hAnsi="標楷體" w:hint="eastAsia"/>
                <w:sz w:val="20"/>
                <w:szCs w:val="20"/>
              </w:rPr>
              <w:t>僅適用於非股份制公司</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仍可繼續認列為資本至</w:t>
            </w:r>
            <w:r w:rsidRPr="004D451D">
              <w:rPr>
                <w:rFonts w:eastAsia="標楷體"/>
                <w:sz w:val="20"/>
                <w:szCs w:val="20"/>
              </w:rPr>
              <w:t>2018</w:t>
            </w:r>
            <w:r w:rsidRPr="004D451D">
              <w:rPr>
                <w:rFonts w:eastAsia="標楷體"/>
                <w:sz w:val="20"/>
                <w:szCs w:val="20"/>
              </w:rPr>
              <w:t>年</w:t>
            </w:r>
            <w:r w:rsidRPr="004D451D">
              <w:rPr>
                <w:rFonts w:eastAsia="標楷體"/>
                <w:sz w:val="20"/>
                <w:szCs w:val="20"/>
              </w:rPr>
              <w:t>1</w:t>
            </w:r>
            <w:r w:rsidRPr="004D451D">
              <w:rPr>
                <w:rFonts w:eastAsia="標楷體"/>
                <w:sz w:val="20"/>
                <w:szCs w:val="20"/>
              </w:rPr>
              <w:t>月</w:t>
            </w:r>
            <w:r w:rsidRPr="004D451D">
              <w:rPr>
                <w:rFonts w:eastAsia="標楷體"/>
                <w:sz w:val="20"/>
                <w:szCs w:val="20"/>
              </w:rPr>
              <w:t>1</w:t>
            </w:r>
            <w:r w:rsidRPr="004D451D">
              <w:rPr>
                <w:rFonts w:ascii="標楷體" w:eastAsia="標楷體" w:hAnsi="標楷體" w:hint="eastAsia"/>
                <w:sz w:val="20"/>
                <w:szCs w:val="20"/>
              </w:rPr>
              <w:t>日前之公部門資本挹注</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子公司發行非由母公司持有之普通股</w:t>
            </w:r>
            <w:r w:rsidRPr="004D451D">
              <w:rPr>
                <w:rFonts w:ascii="標楷體" w:eastAsia="標楷體" w:hAnsi="標楷體"/>
                <w:sz w:val="20"/>
                <w:szCs w:val="20"/>
              </w:rPr>
              <w:t xml:space="preserve"> (</w:t>
            </w:r>
            <w:r w:rsidRPr="004D451D">
              <w:rPr>
                <w:rFonts w:ascii="標楷體" w:eastAsia="標楷體" w:hAnsi="標楷體" w:hint="eastAsia"/>
                <w:sz w:val="20"/>
                <w:szCs w:val="20"/>
              </w:rPr>
              <w:t>即符合普通股權益第一類資本標準之非控制權益</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【非控制權益】</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w:t>
            </w:r>
          </w:p>
        </w:tc>
        <w:tc>
          <w:tcPr>
            <w:tcW w:w="4253" w:type="dxa"/>
            <w:vAlign w:val="center"/>
          </w:tcPr>
          <w:p w:rsidR="005545A5" w:rsidRPr="004D451D" w:rsidRDefault="005545A5" w:rsidP="005545A5">
            <w:pPr>
              <w:widowControl/>
              <w:rPr>
                <w:rFonts w:eastAsia="標楷體"/>
                <w:kern w:val="0"/>
                <w:sz w:val="20"/>
                <w:szCs w:val="20"/>
              </w:rPr>
            </w:pPr>
            <w:r w:rsidRPr="004D451D">
              <w:rPr>
                <w:rFonts w:ascii="標楷體" w:eastAsia="標楷體" w:hAnsi="標楷體" w:hint="eastAsia"/>
                <w:bCs/>
                <w:sz w:val="20"/>
                <w:szCs w:val="20"/>
              </w:rPr>
              <w:t>法定調整前之普通股權益第一類資本</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1</w:t>
            </w:r>
            <w:r w:rsidRPr="004D451D">
              <w:rPr>
                <w:rFonts w:eastAsia="標楷體" w:hAnsi="標楷體" w:hint="eastAsia"/>
                <w:bCs/>
                <w:kern w:val="0"/>
                <w:sz w:val="20"/>
                <w:szCs w:val="20"/>
              </w:rPr>
              <w:t>至</w:t>
            </w:r>
            <w:r w:rsidRPr="004D451D">
              <w:rPr>
                <w:rFonts w:eastAsia="標楷體"/>
                <w:bCs/>
                <w:kern w:val="0"/>
                <w:sz w:val="20"/>
                <w:szCs w:val="20"/>
              </w:rPr>
              <w:t>5</w:t>
            </w:r>
            <w:r w:rsidRPr="004D451D">
              <w:rPr>
                <w:rFonts w:eastAsia="標楷體" w:hAnsi="標楷體" w:hint="eastAsia"/>
                <w:bCs/>
                <w:kern w:val="0"/>
                <w:sz w:val="20"/>
                <w:szCs w:val="20"/>
              </w:rPr>
              <w:t>列之合計數</w:t>
            </w:r>
            <w:r w:rsidRPr="004D451D">
              <w:rPr>
                <w:rFonts w:eastAsia="標楷體"/>
                <w:bCs/>
                <w:kern w:val="0"/>
                <w:sz w:val="20"/>
                <w:szCs w:val="20"/>
              </w:rPr>
              <w:t xml:space="preserve">   </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普通股權益第一類資本：法定調整項</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w:t>
            </w:r>
          </w:p>
        </w:tc>
        <w:tc>
          <w:tcPr>
            <w:tcW w:w="4253" w:type="dxa"/>
            <w:vAlign w:val="center"/>
          </w:tcPr>
          <w:p w:rsidR="005545A5" w:rsidRPr="004D451D" w:rsidRDefault="005545A5" w:rsidP="005545A5">
            <w:pPr>
              <w:rPr>
                <w:rFonts w:ascii="標楷體" w:eastAsia="標楷體" w:hAnsi="標楷體" w:cs="新細明體"/>
                <w:strike/>
                <w:sz w:val="20"/>
                <w:szCs w:val="20"/>
              </w:rPr>
            </w:pPr>
            <w:r w:rsidRPr="004D451D">
              <w:rPr>
                <w:rFonts w:ascii="標楷體" w:eastAsia="標楷體" w:hAnsi="標楷體" w:hint="eastAsia"/>
                <w:sz w:val="20"/>
                <w:szCs w:val="20"/>
              </w:rPr>
              <w:t>評價準備提列不足數（市場風險）</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【評價準備提列不足數（市場風險）】</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商譽</w:t>
            </w:r>
            <w:r w:rsidRPr="004D451D">
              <w:rPr>
                <w:rFonts w:ascii="標楷體" w:eastAsia="標楷體" w:hAnsi="標楷體"/>
                <w:sz w:val="20"/>
                <w:szCs w:val="20"/>
              </w:rPr>
              <w:t>(</w:t>
            </w:r>
            <w:r w:rsidRPr="004D451D">
              <w:rPr>
                <w:rFonts w:ascii="標楷體" w:eastAsia="標楷體" w:hAnsi="標楷體" w:hint="eastAsia"/>
                <w:sz w:val="20"/>
                <w:szCs w:val="20"/>
              </w:rPr>
              <w:t>扣除相關所得稅負債</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【商譽及其他無形資產：商譽】</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9</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其他無形資產</w:t>
            </w:r>
            <w:r w:rsidRPr="004D451D">
              <w:rPr>
                <w:rFonts w:ascii="標楷體" w:eastAsia="標楷體" w:hAnsi="標楷體"/>
                <w:sz w:val="20"/>
                <w:szCs w:val="20"/>
              </w:rPr>
              <w:t>(</w:t>
            </w:r>
            <w:r w:rsidRPr="004D451D">
              <w:rPr>
                <w:rFonts w:ascii="標楷體" w:eastAsia="標楷體" w:hAnsi="標楷體" w:hint="eastAsia"/>
                <w:sz w:val="20"/>
                <w:szCs w:val="20"/>
              </w:rPr>
              <w:t>扣除相關所得稅負債</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【商譽及其他無形資產：其他無形資產】</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10</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視銀行未來獲利狀況而定之遞延所得稅資產</w:t>
            </w:r>
            <w:r w:rsidRPr="004D451D">
              <w:rPr>
                <w:rFonts w:ascii="標楷體" w:eastAsia="標楷體" w:hAnsi="標楷體"/>
                <w:sz w:val="20"/>
                <w:szCs w:val="20"/>
              </w:rPr>
              <w:t>(</w:t>
            </w:r>
            <w:r w:rsidRPr="004D451D">
              <w:rPr>
                <w:rFonts w:ascii="標楷體" w:eastAsia="標楷體" w:hAnsi="標楷體" w:hint="eastAsia"/>
                <w:sz w:val="20"/>
                <w:szCs w:val="20"/>
              </w:rPr>
              <w:t>扣除相關所得稅負債</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【視銀行未來獲利狀況而定之遞延所得稅資產】</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11</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避險工具之利益及損失（利益應扣除，損失應加回）</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【避險工具之利益及損失（利益應扣除，損失應加回）】</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12</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預期損失提存不足數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【營業準備及備抵呆帳提列不足數】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13</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證券化交易銷售獲利</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【證券化交易應扣除數：未來預期收益之資產出售利益】</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14</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以公允價值衡量之負債，因銀行自身信用風險改變而產生的利益</w:t>
            </w:r>
            <w:r w:rsidRPr="004D451D">
              <w:rPr>
                <w:rFonts w:ascii="標楷體" w:eastAsia="標楷體" w:hAnsi="標楷體"/>
                <w:sz w:val="20"/>
                <w:szCs w:val="20"/>
              </w:rPr>
              <w:t>/</w:t>
            </w:r>
            <w:r w:rsidRPr="004D451D">
              <w:rPr>
                <w:rFonts w:ascii="標楷體" w:eastAsia="標楷體" w:hAnsi="標楷體" w:hint="eastAsia"/>
                <w:sz w:val="20"/>
                <w:szCs w:val="20"/>
              </w:rPr>
              <w:t>損失（利益應扣除，損失應加回）</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【銀行之負債因其本身信用風險之變動所認列之未實現損失或利益（利益應扣除，損失應加回）】</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15</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確定福利負債提列不足數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【預付退休金及員工福利負債準備中屬確定福利計畫所提列之確定福利負債之提列不足數】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16</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銀行持有其所發行之資本工具（如庫藏股）</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【庫藏股】</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17</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交叉持股</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18</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投資於未納入法定合併基礎下之銀行、金融及保險機構的資本</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且持有單一金融機構資本未超過該發行機構股本的</w:t>
            </w:r>
            <w:r w:rsidRPr="004D451D">
              <w:rPr>
                <w:rFonts w:eastAsia="標楷體"/>
                <w:sz w:val="20"/>
                <w:szCs w:val="20"/>
              </w:rPr>
              <w:t>10%</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eastAsia="標楷體"/>
                <w:sz w:val="20"/>
                <w:szCs w:val="20"/>
              </w:rPr>
              <w:t>10%</w:t>
            </w:r>
            <w:r w:rsidRPr="004D451D">
              <w:rPr>
                <w:rFonts w:ascii="標楷體" w:eastAsia="標楷體" w:hAnsi="標楷體" w:hint="eastAsia"/>
                <w:sz w:val="20"/>
                <w:szCs w:val="20"/>
              </w:rPr>
              <w:t>限額者</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19</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對於未納入法定合併基礎之銀行、金融及保險機構</w:t>
            </w:r>
            <w:r w:rsidRPr="004D451D">
              <w:rPr>
                <w:rFonts w:ascii="標楷體" w:eastAsia="標楷體" w:hAnsi="標楷體"/>
                <w:sz w:val="20"/>
                <w:szCs w:val="20"/>
              </w:rPr>
              <w:t>(</w:t>
            </w:r>
            <w:r w:rsidRPr="004D451D">
              <w:rPr>
                <w:rFonts w:ascii="標楷體" w:eastAsia="標楷體" w:hAnsi="標楷體" w:hint="eastAsia"/>
                <w:sz w:val="20"/>
                <w:szCs w:val="20"/>
              </w:rPr>
              <w:t>扣除合格之短部位</w:t>
            </w:r>
            <w:r w:rsidRPr="004D451D">
              <w:rPr>
                <w:rFonts w:ascii="標楷體" w:eastAsia="標楷體" w:hAnsi="標楷體"/>
                <w:sz w:val="20"/>
                <w:szCs w:val="20"/>
              </w:rPr>
              <w:t>)</w:t>
            </w:r>
            <w:r w:rsidRPr="004D451D">
              <w:rPr>
                <w:rFonts w:ascii="標楷體" w:eastAsia="標楷體" w:hAnsi="標楷體" w:hint="eastAsia"/>
                <w:sz w:val="20"/>
                <w:szCs w:val="20"/>
              </w:rPr>
              <w:t>等之重大普通股投資</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eastAsia="標楷體"/>
                <w:sz w:val="20"/>
                <w:szCs w:val="20"/>
              </w:rPr>
              <w:t>10%</w:t>
            </w:r>
            <w:r w:rsidRPr="004D451D">
              <w:rPr>
                <w:rFonts w:ascii="標楷體" w:eastAsia="標楷體" w:hAnsi="標楷體" w:hint="eastAsia"/>
                <w:sz w:val="20"/>
                <w:szCs w:val="20"/>
              </w:rPr>
              <w:t>限額者</w:t>
            </w:r>
            <w:r w:rsidRPr="004D451D">
              <w:rPr>
                <w:rFonts w:ascii="標楷體" w:eastAsia="標楷體" w:hAnsi="標楷體"/>
                <w:sz w:val="20"/>
                <w:szCs w:val="20"/>
              </w:rPr>
              <w:t>)</w:t>
            </w:r>
            <w:r w:rsidRPr="004D451D">
              <w:rPr>
                <w:rFonts w:ascii="標楷體" w:eastAsia="標楷體" w:hAnsi="標楷體" w:hint="eastAsia"/>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20</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房貸事務性服務權</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eastAsia="標楷體"/>
                <w:sz w:val="20"/>
                <w:szCs w:val="20"/>
              </w:rPr>
              <w:t>10%</w:t>
            </w:r>
            <w:r w:rsidRPr="004D451D">
              <w:rPr>
                <w:rFonts w:ascii="標楷體" w:eastAsia="標楷體" w:hAnsi="標楷體" w:hint="eastAsia"/>
                <w:sz w:val="20"/>
                <w:szCs w:val="20"/>
              </w:rPr>
              <w:t>限額者</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21</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因暫時性差異所產生之遞延所得稅資產</w:t>
            </w:r>
            <w:r w:rsidRPr="004D451D">
              <w:rPr>
                <w:rFonts w:ascii="標楷體" w:eastAsia="標楷體" w:hAnsi="標楷體"/>
                <w:sz w:val="20"/>
                <w:szCs w:val="20"/>
              </w:rPr>
              <w:t>(</w:t>
            </w:r>
            <w:r w:rsidRPr="004D451D">
              <w:rPr>
                <w:rFonts w:ascii="標楷體" w:eastAsia="標楷體" w:hAnsi="標楷體" w:hint="eastAsia"/>
                <w:sz w:val="20"/>
                <w:szCs w:val="20"/>
              </w:rPr>
              <w:t>超過</w:t>
            </w:r>
            <w:r w:rsidRPr="004D451D">
              <w:rPr>
                <w:rFonts w:eastAsia="標楷體"/>
                <w:sz w:val="20"/>
                <w:szCs w:val="20"/>
              </w:rPr>
              <w:t>10%</w:t>
            </w:r>
            <w:r w:rsidRPr="004D451D">
              <w:rPr>
                <w:rFonts w:ascii="標楷體" w:eastAsia="標楷體" w:hAnsi="標楷體" w:hint="eastAsia"/>
                <w:sz w:val="20"/>
                <w:szCs w:val="20"/>
              </w:rPr>
              <w:t>限額者，扣除相關所得稅負債</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【對暫時性差異產生之遞延所得稅資產</w:t>
            </w:r>
            <w:r w:rsidRPr="004D451D">
              <w:rPr>
                <w:rFonts w:eastAsia="標楷體"/>
                <w:bCs/>
                <w:kern w:val="0"/>
                <w:sz w:val="20"/>
                <w:szCs w:val="20"/>
              </w:rPr>
              <w:t>10%</w:t>
            </w:r>
            <w:r w:rsidRPr="004D451D">
              <w:rPr>
                <w:rFonts w:eastAsia="標楷體" w:hAnsi="標楷體" w:hint="eastAsia"/>
                <w:bCs/>
                <w:kern w:val="0"/>
                <w:sz w:val="20"/>
                <w:szCs w:val="20"/>
              </w:rPr>
              <w:t>超限數】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22</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超過</w:t>
            </w:r>
            <w:r w:rsidRPr="004D451D">
              <w:rPr>
                <w:rFonts w:eastAsia="標楷體"/>
                <w:kern w:val="0"/>
                <w:sz w:val="20"/>
                <w:szCs w:val="20"/>
              </w:rPr>
              <w:t>15%</w:t>
            </w:r>
            <w:r w:rsidRPr="004D451D">
              <w:rPr>
                <w:rFonts w:eastAsia="標楷體" w:hAnsi="標楷體" w:hint="eastAsia"/>
                <w:kern w:val="0"/>
                <w:sz w:val="20"/>
                <w:szCs w:val="20"/>
              </w:rPr>
              <w:t>門檻的金額</w:t>
            </w:r>
          </w:p>
        </w:tc>
        <w:tc>
          <w:tcPr>
            <w:tcW w:w="6281" w:type="dxa"/>
            <w:vAlign w:val="center"/>
          </w:tcPr>
          <w:p w:rsidR="005545A5" w:rsidRPr="004D451D" w:rsidRDefault="005545A5" w:rsidP="005545A5">
            <w:pPr>
              <w:widowControl/>
              <w:rPr>
                <w:rFonts w:eastAsia="標楷體"/>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23</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kern w:val="0"/>
                <w:sz w:val="20"/>
                <w:szCs w:val="20"/>
              </w:rPr>
              <w:t xml:space="preserve">  </w:t>
            </w:r>
            <w:r w:rsidRPr="004D451D">
              <w:rPr>
                <w:rFonts w:eastAsia="標楷體" w:hAnsi="標楷體" w:hint="eastAsia"/>
                <w:kern w:val="0"/>
                <w:sz w:val="20"/>
                <w:szCs w:val="20"/>
              </w:rPr>
              <w:t>其中</w:t>
            </w:r>
            <w:r w:rsidRPr="004D451D">
              <w:rPr>
                <w:rFonts w:eastAsia="標楷體" w:hint="eastAsia"/>
                <w:kern w:val="0"/>
                <w:sz w:val="20"/>
                <w:szCs w:val="20"/>
              </w:rPr>
              <w:t>：</w:t>
            </w:r>
            <w:r w:rsidRPr="004D451D">
              <w:rPr>
                <w:rFonts w:eastAsia="標楷體" w:hAnsi="標楷體" w:hint="eastAsia"/>
                <w:kern w:val="0"/>
                <w:sz w:val="20"/>
                <w:szCs w:val="20"/>
              </w:rPr>
              <w:t>重大投資於金融公司的普通股</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24</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kern w:val="0"/>
                <w:sz w:val="20"/>
                <w:szCs w:val="20"/>
              </w:rPr>
              <w:t xml:space="preserve">  </w:t>
            </w:r>
            <w:r w:rsidRPr="004D451D">
              <w:rPr>
                <w:rFonts w:eastAsia="標楷體" w:hAnsi="標楷體" w:hint="eastAsia"/>
                <w:kern w:val="0"/>
                <w:sz w:val="20"/>
                <w:szCs w:val="20"/>
              </w:rPr>
              <w:t>其中</w:t>
            </w:r>
            <w:r w:rsidRPr="004D451D">
              <w:rPr>
                <w:rFonts w:eastAsia="標楷體" w:hint="eastAsia"/>
                <w:kern w:val="0"/>
                <w:sz w:val="20"/>
                <w:szCs w:val="20"/>
              </w:rPr>
              <w:t>：</w:t>
            </w:r>
            <w:r w:rsidRPr="004D451D">
              <w:rPr>
                <w:rFonts w:eastAsia="標楷體" w:hAnsi="標楷體" w:hint="eastAsia"/>
                <w:kern w:val="0"/>
                <w:sz w:val="20"/>
                <w:szCs w:val="20"/>
              </w:rPr>
              <w:t>房貸事務性服務權</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25</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kern w:val="0"/>
                <w:sz w:val="20"/>
                <w:szCs w:val="20"/>
              </w:rPr>
              <w:t xml:space="preserve">  </w:t>
            </w:r>
            <w:r w:rsidRPr="004D451D">
              <w:rPr>
                <w:rFonts w:eastAsia="標楷體" w:hAnsi="標楷體" w:hint="eastAsia"/>
                <w:kern w:val="0"/>
                <w:sz w:val="20"/>
                <w:szCs w:val="20"/>
              </w:rPr>
              <w:t>其中</w:t>
            </w:r>
            <w:r w:rsidRPr="004D451D">
              <w:rPr>
                <w:rFonts w:eastAsia="標楷體" w:hint="eastAsia"/>
                <w:kern w:val="0"/>
                <w:sz w:val="20"/>
                <w:szCs w:val="20"/>
              </w:rPr>
              <w:t>：</w:t>
            </w:r>
            <w:r w:rsidRPr="004D451D">
              <w:rPr>
                <w:rFonts w:eastAsia="標楷體" w:hAnsi="標楷體" w:hint="eastAsia"/>
                <w:kern w:val="0"/>
                <w:sz w:val="20"/>
                <w:szCs w:val="20"/>
              </w:rPr>
              <w:t>由暫時性差異所產生的遞延所得稅資產</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【暫時性差異產生之遞延所得稅資產超過扣除門檻</w:t>
            </w:r>
            <w:r w:rsidRPr="004D451D">
              <w:rPr>
                <w:rFonts w:eastAsia="標楷體"/>
                <w:bCs/>
                <w:kern w:val="0"/>
                <w:sz w:val="20"/>
                <w:szCs w:val="20"/>
              </w:rPr>
              <w:t>15%</w:t>
            </w:r>
            <w:r w:rsidRPr="004D451D">
              <w:rPr>
                <w:rFonts w:eastAsia="標楷體" w:hAnsi="標楷體" w:hint="eastAsia"/>
                <w:bCs/>
                <w:kern w:val="0"/>
                <w:sz w:val="20"/>
                <w:szCs w:val="20"/>
              </w:rPr>
              <w:t>之應扣除數】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各國特有的法定調整項目</w:t>
            </w:r>
          </w:p>
        </w:tc>
        <w:tc>
          <w:tcPr>
            <w:tcW w:w="6281" w:type="dxa"/>
            <w:vAlign w:val="center"/>
          </w:tcPr>
          <w:p w:rsidR="005545A5" w:rsidRPr="004D451D" w:rsidRDefault="005545A5" w:rsidP="005545A5">
            <w:pPr>
              <w:widowControl/>
              <w:rPr>
                <w:rFonts w:eastAsia="標楷體"/>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lastRenderedPageBreak/>
              <w:t>26a</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不動產首次適用國際會計準則時，以公允價值或重估價值作為認定成本產生之保留盈餘增加數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【不動產首次適用國際會計準則時，以公允價值或重估價值作為認定成本產生之保留盈餘增加數】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26b</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透過其他綜合損益按公允價值衡量之權益工具及債務工具未實現評價利益</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【透過其他綜合損益按公允價值衡量之權益工具及債務工具未實現評價利益】</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26c</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對金融相關事業之投資分類至銀行簿者（或工業銀行之直接投資及投資不動產依規扣除數）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【對金融相關事業之投資分類至銀行簿者】</w:t>
            </w:r>
            <w:r w:rsidRPr="004D451D">
              <w:rPr>
                <w:rFonts w:eastAsia="標楷體"/>
                <w:bCs/>
                <w:kern w:val="0"/>
                <w:sz w:val="20"/>
                <w:szCs w:val="20"/>
              </w:rPr>
              <w:t>or</w:t>
            </w:r>
            <w:r w:rsidRPr="004D451D">
              <w:rPr>
                <w:rFonts w:eastAsia="標楷體" w:hAnsi="標楷體" w:hint="eastAsia"/>
                <w:bCs/>
                <w:kern w:val="0"/>
                <w:sz w:val="20"/>
                <w:szCs w:val="20"/>
              </w:rPr>
              <w:t>【直接投資及投資不動產依規扣除數】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26d</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投資證券化受益證券或資產基礎證券其資產池中具有金融相關事業所發行之資本工具之約當帳列金額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資產池中具有金融相關事業所發行之資本工具之約當帳列金額</w:t>
            </w:r>
            <w:r w:rsidRPr="004D451D">
              <w:rPr>
                <w:rFonts w:eastAsia="標楷體"/>
                <w:bCs/>
                <w:kern w:val="0"/>
                <w:sz w:val="20"/>
                <w:szCs w:val="20"/>
              </w:rPr>
              <w:t>(4-H)+</w:t>
            </w:r>
            <w:r w:rsidRPr="004D451D">
              <w:rPr>
                <w:rFonts w:eastAsia="標楷體" w:hAnsi="標楷體" w:hint="eastAsia"/>
                <w:bCs/>
                <w:kern w:val="0"/>
                <w:sz w:val="20"/>
                <w:szCs w:val="20"/>
              </w:rPr>
              <w:t>資產池中具有金融相關事業所發行之資本工具之約當帳列金額</w:t>
            </w:r>
            <w:r w:rsidRPr="004D451D">
              <w:rPr>
                <w:rFonts w:eastAsia="標楷體"/>
                <w:bCs/>
                <w:kern w:val="0"/>
                <w:sz w:val="20"/>
                <w:szCs w:val="20"/>
              </w:rPr>
              <w:t>(6-G)</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26e</w:t>
            </w:r>
          </w:p>
        </w:tc>
        <w:tc>
          <w:tcPr>
            <w:tcW w:w="4253" w:type="dxa"/>
            <w:vAlign w:val="center"/>
          </w:tcPr>
          <w:p w:rsidR="005545A5" w:rsidRPr="004D451D" w:rsidRDefault="005545A5" w:rsidP="005545A5">
            <w:pPr>
              <w:ind w:leftChars="90" w:left="216"/>
              <w:rPr>
                <w:rFonts w:ascii="標楷體" w:eastAsia="標楷體" w:hAnsi="標楷體"/>
                <w:sz w:val="20"/>
                <w:szCs w:val="20"/>
              </w:rPr>
            </w:pPr>
            <w:r w:rsidRPr="004D451D">
              <w:rPr>
                <w:rFonts w:ascii="標楷體" w:eastAsia="標楷體" w:hAnsi="標楷體" w:hint="eastAsia"/>
                <w:sz w:val="20"/>
                <w:szCs w:val="20"/>
              </w:rPr>
              <w:t>投資性不動產後續衡量採公允價值模式所認列之增值利益</w:t>
            </w:r>
          </w:p>
        </w:tc>
        <w:tc>
          <w:tcPr>
            <w:tcW w:w="6281" w:type="dxa"/>
            <w:vAlign w:val="center"/>
          </w:tcPr>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w:t>
            </w:r>
            <w:r w:rsidRPr="004D451D">
              <w:rPr>
                <w:rFonts w:ascii="標楷體" w:eastAsia="標楷體" w:hAnsi="標楷體" w:hint="eastAsia"/>
                <w:sz w:val="20"/>
                <w:szCs w:val="20"/>
              </w:rPr>
              <w:t>投資性不動產後續衡量採公允價值模式所認列之增值利益</w:t>
            </w:r>
            <w:r w:rsidRPr="004D451D">
              <w:rPr>
                <w:rFonts w:eastAsia="標楷體" w:hAnsi="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26f</w:t>
            </w:r>
          </w:p>
        </w:tc>
        <w:tc>
          <w:tcPr>
            <w:tcW w:w="4253" w:type="dxa"/>
            <w:vAlign w:val="center"/>
          </w:tcPr>
          <w:p w:rsidR="005545A5" w:rsidRPr="004D451D" w:rsidRDefault="005545A5" w:rsidP="005545A5">
            <w:pPr>
              <w:rPr>
                <w:rFonts w:eastAsia="標楷體"/>
                <w:sz w:val="20"/>
                <w:szCs w:val="20"/>
              </w:rPr>
            </w:pPr>
            <w:r w:rsidRPr="004D451D">
              <w:rPr>
                <w:rFonts w:ascii="標楷體" w:eastAsia="標楷體" w:hAnsi="標楷體"/>
                <w:sz w:val="20"/>
                <w:szCs w:val="20"/>
              </w:rPr>
              <w:t xml:space="preserve">  </w:t>
            </w:r>
            <w:r w:rsidRPr="004D451D">
              <w:rPr>
                <w:rFonts w:eastAsia="標楷體"/>
                <w:sz w:val="20"/>
                <w:szCs w:val="20"/>
              </w:rPr>
              <w:t>101</w:t>
            </w:r>
            <w:r w:rsidRPr="004D451D">
              <w:rPr>
                <w:rFonts w:eastAsia="標楷體" w:hint="eastAsia"/>
                <w:sz w:val="20"/>
                <w:szCs w:val="20"/>
              </w:rPr>
              <w:t>年</w:t>
            </w:r>
            <w:r w:rsidRPr="004D451D">
              <w:rPr>
                <w:rFonts w:eastAsia="標楷體"/>
                <w:sz w:val="20"/>
                <w:szCs w:val="20"/>
              </w:rPr>
              <w:t>1</w:t>
            </w:r>
            <w:r w:rsidRPr="004D451D">
              <w:rPr>
                <w:rFonts w:eastAsia="標楷體" w:hint="eastAsia"/>
                <w:sz w:val="20"/>
                <w:szCs w:val="20"/>
              </w:rPr>
              <w:t>月</w:t>
            </w:r>
            <w:r w:rsidRPr="004D451D">
              <w:rPr>
                <w:rFonts w:eastAsia="標楷體"/>
                <w:sz w:val="20"/>
                <w:szCs w:val="20"/>
              </w:rPr>
              <w:t>1</w:t>
            </w:r>
            <w:r w:rsidRPr="004D451D">
              <w:rPr>
                <w:rFonts w:eastAsia="標楷體" w:hint="eastAsia"/>
                <w:sz w:val="20"/>
                <w:szCs w:val="20"/>
              </w:rPr>
              <w:t>日後不動產售後租回利益</w:t>
            </w:r>
          </w:p>
        </w:tc>
        <w:tc>
          <w:tcPr>
            <w:tcW w:w="6281" w:type="dxa"/>
            <w:vAlign w:val="center"/>
          </w:tcPr>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w:t>
            </w:r>
            <w:r w:rsidRPr="004D451D">
              <w:rPr>
                <w:rFonts w:eastAsia="標楷體"/>
                <w:sz w:val="20"/>
                <w:szCs w:val="20"/>
              </w:rPr>
              <w:t>101</w:t>
            </w:r>
            <w:r w:rsidRPr="004D451D">
              <w:rPr>
                <w:rFonts w:eastAsia="標楷體" w:hint="eastAsia"/>
                <w:sz w:val="20"/>
                <w:szCs w:val="20"/>
              </w:rPr>
              <w:t>年</w:t>
            </w:r>
            <w:r w:rsidRPr="004D451D">
              <w:rPr>
                <w:rFonts w:eastAsia="標楷體"/>
                <w:sz w:val="20"/>
                <w:szCs w:val="20"/>
              </w:rPr>
              <w:t>1</w:t>
            </w:r>
            <w:r w:rsidRPr="004D451D">
              <w:rPr>
                <w:rFonts w:eastAsia="標楷體" w:hint="eastAsia"/>
                <w:sz w:val="20"/>
                <w:szCs w:val="20"/>
              </w:rPr>
              <w:t>月</w:t>
            </w:r>
            <w:r w:rsidRPr="004D451D">
              <w:rPr>
                <w:rFonts w:eastAsia="標楷體"/>
                <w:sz w:val="20"/>
                <w:szCs w:val="20"/>
              </w:rPr>
              <w:t>1</w:t>
            </w:r>
            <w:r w:rsidRPr="004D451D">
              <w:rPr>
                <w:rFonts w:eastAsia="標楷體" w:hint="eastAsia"/>
                <w:sz w:val="20"/>
                <w:szCs w:val="20"/>
              </w:rPr>
              <w:t>日後不動產售後租回利益</w:t>
            </w:r>
            <w:r w:rsidRPr="004D451D">
              <w:rPr>
                <w:rFonts w:eastAsia="標楷體" w:hAnsi="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26g</w:t>
            </w:r>
          </w:p>
        </w:tc>
        <w:tc>
          <w:tcPr>
            <w:tcW w:w="4253" w:type="dxa"/>
            <w:vAlign w:val="center"/>
          </w:tcPr>
          <w:p w:rsidR="005545A5" w:rsidRPr="004D451D" w:rsidRDefault="005545A5" w:rsidP="005545A5">
            <w:pPr>
              <w:ind w:leftChars="76" w:left="182"/>
              <w:rPr>
                <w:rFonts w:ascii="標楷體" w:eastAsia="標楷體" w:hAnsi="標楷體"/>
                <w:sz w:val="20"/>
                <w:szCs w:val="20"/>
              </w:rPr>
            </w:pPr>
            <w:r w:rsidRPr="004D451D">
              <w:rPr>
                <w:rFonts w:ascii="標楷體" w:eastAsia="標楷體" w:hAnsi="標楷體" w:hint="eastAsia"/>
                <w:sz w:val="20"/>
                <w:szCs w:val="20"/>
              </w:rPr>
              <w:t>其他依規定或監理要求不得列入普通股權益第一類資本之保留盈餘數</w:t>
            </w:r>
          </w:p>
        </w:tc>
        <w:tc>
          <w:tcPr>
            <w:tcW w:w="6281" w:type="dxa"/>
            <w:vAlign w:val="center"/>
          </w:tcPr>
          <w:p w:rsidR="005545A5" w:rsidRPr="004D451D" w:rsidRDefault="005545A5" w:rsidP="005545A5">
            <w:pPr>
              <w:widowControl/>
              <w:rPr>
                <w:rFonts w:eastAsia="標楷體" w:hAnsi="標楷體"/>
                <w:bCs/>
                <w:kern w:val="0"/>
                <w:sz w:val="20"/>
                <w:szCs w:val="20"/>
              </w:rPr>
            </w:pPr>
            <w:r w:rsidRPr="004D451D">
              <w:rPr>
                <w:rFonts w:ascii="標楷體" w:eastAsia="標楷體" w:hAnsi="標楷體" w:hint="eastAsia"/>
                <w:bCs/>
                <w:kern w:val="0"/>
                <w:sz w:val="20"/>
                <w:szCs w:val="20"/>
              </w:rPr>
              <w:t>【</w:t>
            </w:r>
            <w:r w:rsidRPr="004D451D">
              <w:rPr>
                <w:rFonts w:eastAsia="標楷體" w:hAnsi="標楷體" w:hint="eastAsia"/>
                <w:bCs/>
                <w:kern w:val="0"/>
                <w:sz w:val="20"/>
                <w:szCs w:val="20"/>
              </w:rPr>
              <w:t>其他依規定或監理要求應調整數</w:t>
            </w:r>
            <w:r w:rsidRPr="004D451D">
              <w:rPr>
                <w:rFonts w:ascii="標楷體" w:eastAsia="標楷體" w:hAnsi="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27</w:t>
            </w:r>
          </w:p>
        </w:tc>
        <w:tc>
          <w:tcPr>
            <w:tcW w:w="4253" w:type="dxa"/>
            <w:vAlign w:val="center"/>
          </w:tcPr>
          <w:p w:rsidR="005545A5" w:rsidRPr="004D451D" w:rsidRDefault="005545A5" w:rsidP="005545A5">
            <w:pPr>
              <w:widowControl/>
              <w:rPr>
                <w:rFonts w:eastAsia="標楷體"/>
                <w:kern w:val="0"/>
                <w:sz w:val="20"/>
                <w:szCs w:val="20"/>
              </w:rPr>
            </w:pPr>
            <w:r w:rsidRPr="004D451D">
              <w:rPr>
                <w:rFonts w:ascii="標楷體" w:eastAsia="標楷體" w:hAnsi="標楷體" w:hint="eastAsia"/>
                <w:sz w:val="20"/>
                <w:szCs w:val="20"/>
              </w:rPr>
              <w:t>其他第一類及第二類資本扣除不足數而自普通股權益扣除金額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【其他第一類及第二類資本不足扣除數】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28</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普通股權益第一類資本的法定調整合計數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7</w:t>
            </w:r>
            <w:r w:rsidRPr="004D451D">
              <w:rPr>
                <w:rFonts w:eastAsia="標楷體" w:hAnsi="標楷體" w:hint="eastAsia"/>
                <w:bCs/>
                <w:kern w:val="0"/>
                <w:sz w:val="20"/>
                <w:szCs w:val="20"/>
              </w:rPr>
              <w:t>至</w:t>
            </w:r>
            <w:r w:rsidRPr="004D451D">
              <w:rPr>
                <w:rFonts w:eastAsia="標楷體"/>
                <w:bCs/>
                <w:kern w:val="0"/>
                <w:sz w:val="20"/>
                <w:szCs w:val="20"/>
              </w:rPr>
              <w:t>22</w:t>
            </w:r>
            <w:r w:rsidRPr="004D451D">
              <w:rPr>
                <w:rFonts w:eastAsia="標楷體" w:hAnsi="標楷體" w:hint="eastAsia"/>
                <w:bCs/>
                <w:kern w:val="0"/>
                <w:sz w:val="20"/>
                <w:szCs w:val="20"/>
              </w:rPr>
              <w:t>列加上第</w:t>
            </w:r>
            <w:r w:rsidRPr="004D451D">
              <w:rPr>
                <w:rFonts w:eastAsia="標楷體"/>
                <w:bCs/>
                <w:kern w:val="0"/>
                <w:sz w:val="20"/>
                <w:szCs w:val="20"/>
              </w:rPr>
              <w:t>26</w:t>
            </w:r>
            <w:r w:rsidRPr="004D451D">
              <w:rPr>
                <w:rFonts w:eastAsia="標楷體" w:hAnsi="標楷體" w:hint="eastAsia"/>
                <w:bCs/>
                <w:kern w:val="0"/>
                <w:sz w:val="20"/>
                <w:szCs w:val="20"/>
              </w:rPr>
              <w:t>、</w:t>
            </w:r>
            <w:r w:rsidRPr="004D451D">
              <w:rPr>
                <w:rFonts w:eastAsia="標楷體"/>
                <w:bCs/>
                <w:kern w:val="0"/>
                <w:sz w:val="20"/>
                <w:szCs w:val="20"/>
              </w:rPr>
              <w:t>27</w:t>
            </w:r>
            <w:r w:rsidRPr="004D451D">
              <w:rPr>
                <w:rFonts w:eastAsia="標楷體" w:hAnsi="標楷體" w:hint="eastAsia"/>
                <w:bCs/>
                <w:kern w:val="0"/>
                <w:sz w:val="20"/>
                <w:szCs w:val="20"/>
              </w:rPr>
              <w:t>列之合計數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29</w:t>
            </w:r>
          </w:p>
        </w:tc>
        <w:tc>
          <w:tcPr>
            <w:tcW w:w="4253" w:type="dxa"/>
            <w:vAlign w:val="center"/>
          </w:tcPr>
          <w:p w:rsidR="005545A5" w:rsidRPr="004D451D" w:rsidRDefault="005545A5" w:rsidP="005545A5">
            <w:pPr>
              <w:widowControl/>
              <w:rPr>
                <w:rFonts w:eastAsia="標楷體" w:hAnsi="標楷體"/>
                <w:kern w:val="0"/>
                <w:sz w:val="20"/>
                <w:szCs w:val="20"/>
              </w:rPr>
            </w:pPr>
            <w:r w:rsidRPr="004D451D">
              <w:rPr>
                <w:rFonts w:eastAsia="標楷體" w:hAnsi="標楷體" w:hint="eastAsia"/>
                <w:kern w:val="0"/>
                <w:sz w:val="20"/>
                <w:szCs w:val="20"/>
              </w:rPr>
              <w:t>普通股權益第一類資本</w:t>
            </w:r>
            <w:r w:rsidRPr="004D451D">
              <w:rPr>
                <w:rFonts w:eastAsia="標楷體" w:hAnsi="標楷體" w:hint="eastAsia"/>
                <w:kern w:val="0"/>
                <w:sz w:val="20"/>
                <w:szCs w:val="20"/>
              </w:rPr>
              <w:t>(</w:t>
            </w:r>
            <w:r w:rsidRPr="004D451D">
              <w:rPr>
                <w:rFonts w:eastAsia="標楷體" w:hAnsi="標楷體"/>
                <w:kern w:val="0"/>
                <w:sz w:val="20"/>
                <w:szCs w:val="20"/>
              </w:rPr>
              <w:t>CET1</w:t>
            </w:r>
            <w:r w:rsidRPr="004D451D">
              <w:rPr>
                <w:rFonts w:eastAsia="標楷體" w:hAnsi="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6</w:t>
            </w:r>
            <w:r w:rsidRPr="004D451D">
              <w:rPr>
                <w:rFonts w:eastAsia="標楷體" w:hAnsi="標楷體" w:hint="eastAsia"/>
                <w:bCs/>
                <w:kern w:val="0"/>
                <w:sz w:val="20"/>
                <w:szCs w:val="20"/>
              </w:rPr>
              <w:t>列減第</w:t>
            </w:r>
            <w:r w:rsidRPr="004D451D">
              <w:rPr>
                <w:rFonts w:eastAsia="標楷體"/>
                <w:bCs/>
                <w:kern w:val="0"/>
                <w:sz w:val="20"/>
                <w:szCs w:val="20"/>
              </w:rPr>
              <w:t>28</w:t>
            </w:r>
            <w:r w:rsidRPr="004D451D">
              <w:rPr>
                <w:rFonts w:eastAsia="標楷體" w:hAnsi="標楷體" w:hint="eastAsia"/>
                <w:bCs/>
                <w:kern w:val="0"/>
                <w:sz w:val="20"/>
                <w:szCs w:val="20"/>
              </w:rPr>
              <w:t>列</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其他第一類資本：資本工具</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30</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直接發行的合格其他第一類資本工具</w:t>
            </w:r>
            <w:r w:rsidRPr="004D451D">
              <w:rPr>
                <w:rFonts w:ascii="標楷體" w:eastAsia="標楷體" w:hAnsi="標楷體"/>
                <w:sz w:val="20"/>
                <w:szCs w:val="20"/>
              </w:rPr>
              <w:t>(</w:t>
            </w:r>
            <w:r w:rsidRPr="004D451D">
              <w:rPr>
                <w:rFonts w:ascii="標楷體" w:eastAsia="標楷體" w:hAnsi="標楷體" w:hint="eastAsia"/>
                <w:sz w:val="20"/>
                <w:szCs w:val="20"/>
              </w:rPr>
              <w:t>含相關股本溢價</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【永續非累積特別股（含其股本溢價）：</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r w:rsidRPr="004D451D">
              <w:rPr>
                <w:rFonts w:eastAsia="標楷體"/>
                <w:bCs/>
                <w:kern w:val="0"/>
                <w:sz w:val="20"/>
                <w:szCs w:val="20"/>
              </w:rPr>
              <w:br/>
              <w:t>+</w:t>
            </w:r>
            <w:r w:rsidRPr="004D451D">
              <w:rPr>
                <w:rFonts w:eastAsia="標楷體" w:hAnsi="標楷體" w:hint="eastAsia"/>
                <w:bCs/>
                <w:kern w:val="0"/>
                <w:sz w:val="20"/>
                <w:szCs w:val="20"/>
              </w:rPr>
              <w:t>【無到期日非累積次順位債券：</w:t>
            </w:r>
            <w:r w:rsidRPr="004D451D">
              <w:rPr>
                <w:rFonts w:eastAsia="標楷體"/>
                <w:bCs/>
                <w:kern w:val="0"/>
                <w:sz w:val="20"/>
                <w:szCs w:val="20"/>
              </w:rPr>
              <w:t>(2) 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31</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其中：現行的會計準則分類為股東權益</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【永續非累積特別股（含其股本溢價）：</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32</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其中：現行的會計準則分類為負債</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【無到期日非累積次順位債券：</w:t>
            </w:r>
            <w:r w:rsidRPr="004D451D">
              <w:rPr>
                <w:rFonts w:eastAsia="標楷體"/>
                <w:bCs/>
                <w:kern w:val="0"/>
                <w:sz w:val="20"/>
                <w:szCs w:val="20"/>
              </w:rPr>
              <w:t>(2) 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33</w:t>
            </w:r>
          </w:p>
        </w:tc>
        <w:tc>
          <w:tcPr>
            <w:tcW w:w="4253" w:type="dxa"/>
            <w:vAlign w:val="center"/>
          </w:tcPr>
          <w:p w:rsidR="005545A5" w:rsidRPr="004D451D" w:rsidRDefault="005545A5" w:rsidP="005545A5">
            <w:pPr>
              <w:jc w:val="both"/>
              <w:rPr>
                <w:rFonts w:ascii="標楷體" w:eastAsia="標楷體" w:hAnsi="標楷體" w:cs="新細明體"/>
                <w:sz w:val="20"/>
                <w:szCs w:val="20"/>
              </w:rPr>
            </w:pPr>
            <w:r w:rsidRPr="004D451D">
              <w:rPr>
                <w:rFonts w:ascii="標楷體" w:eastAsia="標楷體" w:hAnsi="標楷體" w:hint="eastAsia"/>
                <w:sz w:val="20"/>
                <w:szCs w:val="20"/>
              </w:rPr>
              <w:t>從其他第一類資本分階段扣除的直接發行資本工具（即自</w:t>
            </w:r>
            <w:r w:rsidRPr="004D451D">
              <w:rPr>
                <w:rFonts w:eastAsia="標楷體"/>
                <w:sz w:val="20"/>
                <w:szCs w:val="20"/>
              </w:rPr>
              <w:t>102</w:t>
            </w:r>
            <w:r w:rsidRPr="004D451D">
              <w:rPr>
                <w:rFonts w:ascii="標楷體" w:eastAsia="標楷體" w:hAnsi="標楷體" w:hint="eastAsia"/>
                <w:sz w:val="20"/>
                <w:szCs w:val="20"/>
              </w:rPr>
              <w:t>年起需每年至少遞減</w:t>
            </w:r>
            <w:r w:rsidRPr="004D451D">
              <w:rPr>
                <w:rFonts w:eastAsia="標楷體"/>
                <w:sz w:val="20"/>
                <w:szCs w:val="20"/>
              </w:rPr>
              <w:t>10%</w:t>
            </w:r>
            <w:r w:rsidRPr="004D451D">
              <w:rPr>
                <w:rFonts w:ascii="標楷體" w:eastAsia="標楷體" w:hAnsi="標楷體" w:hint="eastAsia"/>
                <w:sz w:val="20"/>
                <w:szCs w:val="20"/>
              </w:rPr>
              <w:t>之母公司發行之其他第一類資本工具）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【永續非累積特別股（含其股本溢價）：</w:t>
            </w:r>
            <w:r w:rsidRPr="004D451D">
              <w:rPr>
                <w:rFonts w:eastAsia="標楷體"/>
                <w:bCs/>
                <w:kern w:val="0"/>
                <w:sz w:val="20"/>
                <w:szCs w:val="20"/>
              </w:rPr>
              <w:t>(1)101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日前發行不符合其他第一類資本條件者】</w:t>
            </w:r>
            <w:r w:rsidRPr="004D451D">
              <w:rPr>
                <w:rFonts w:eastAsia="標楷體"/>
                <w:bCs/>
                <w:kern w:val="0"/>
                <w:sz w:val="20"/>
                <w:szCs w:val="20"/>
              </w:rPr>
              <w:br/>
              <w:t>+</w:t>
            </w:r>
            <w:r w:rsidRPr="004D451D">
              <w:rPr>
                <w:rFonts w:eastAsia="標楷體" w:hAnsi="標楷體" w:hint="eastAsia"/>
                <w:bCs/>
                <w:kern w:val="0"/>
                <w:sz w:val="20"/>
                <w:szCs w:val="20"/>
              </w:rPr>
              <w:t>【無到期日非累積次順位債券：</w:t>
            </w:r>
            <w:r w:rsidRPr="004D451D">
              <w:rPr>
                <w:rFonts w:eastAsia="標楷體"/>
                <w:bCs/>
                <w:kern w:val="0"/>
                <w:sz w:val="20"/>
                <w:szCs w:val="20"/>
              </w:rPr>
              <w:t>(1) 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日前發行不符合其他第一類資本條件者】</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34</w:t>
            </w:r>
          </w:p>
        </w:tc>
        <w:tc>
          <w:tcPr>
            <w:tcW w:w="4253" w:type="dxa"/>
            <w:vAlign w:val="center"/>
          </w:tcPr>
          <w:p w:rsidR="005545A5" w:rsidRPr="004D451D" w:rsidRDefault="005545A5" w:rsidP="005545A5">
            <w:pPr>
              <w:jc w:val="both"/>
              <w:rPr>
                <w:rFonts w:ascii="標楷體" w:eastAsia="標楷體" w:hAnsi="標楷體" w:cs="新細明體"/>
                <w:sz w:val="20"/>
                <w:szCs w:val="20"/>
              </w:rPr>
            </w:pPr>
            <w:r w:rsidRPr="004D451D">
              <w:rPr>
                <w:rFonts w:ascii="標楷體" w:eastAsia="標楷體" w:hAnsi="標楷體" w:hint="eastAsia"/>
                <w:sz w:val="20"/>
                <w:szCs w:val="20"/>
              </w:rPr>
              <w:t>子公司發行非由母公司持有之其他第一類資本</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【其他合併子公司發行非由母公司持有之資本合計數】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35</w:t>
            </w:r>
          </w:p>
        </w:tc>
        <w:tc>
          <w:tcPr>
            <w:tcW w:w="4253" w:type="dxa"/>
            <w:vAlign w:val="center"/>
          </w:tcPr>
          <w:p w:rsidR="005545A5" w:rsidRPr="004D451D" w:rsidRDefault="005545A5" w:rsidP="005545A5">
            <w:pPr>
              <w:ind w:left="800" w:hangingChars="400" w:hanging="800"/>
              <w:rPr>
                <w:rFonts w:ascii="標楷體" w:eastAsia="標楷體" w:hAnsi="標楷體" w:cs="新細明體"/>
                <w:sz w:val="20"/>
                <w:szCs w:val="20"/>
              </w:rPr>
            </w:pPr>
            <w:r w:rsidRPr="004D451D">
              <w:rPr>
                <w:rFonts w:ascii="標楷體" w:eastAsia="標楷體" w:hAnsi="標楷體"/>
                <w:sz w:val="20"/>
                <w:szCs w:val="20"/>
              </w:rPr>
              <w:t xml:space="preserve">  </w:t>
            </w:r>
            <w:r w:rsidRPr="004D451D">
              <w:rPr>
                <w:rFonts w:ascii="標楷體" w:eastAsia="標楷體" w:hAnsi="標楷體" w:hint="eastAsia"/>
                <w:sz w:val="20"/>
                <w:szCs w:val="20"/>
              </w:rPr>
              <w:t>其中：由子公司發行分階段扣除的資本工具（即自</w:t>
            </w:r>
            <w:r w:rsidRPr="004D451D">
              <w:rPr>
                <w:rFonts w:eastAsia="標楷體"/>
                <w:sz w:val="20"/>
                <w:szCs w:val="20"/>
              </w:rPr>
              <w:t>102</w:t>
            </w:r>
            <w:r w:rsidRPr="004D451D">
              <w:rPr>
                <w:rFonts w:ascii="標楷體" w:eastAsia="標楷體" w:hAnsi="標楷體" w:hint="eastAsia"/>
                <w:sz w:val="20"/>
                <w:szCs w:val="20"/>
              </w:rPr>
              <w:t>年起需每年至少遞減</w:t>
            </w:r>
            <w:r w:rsidRPr="004D451D">
              <w:rPr>
                <w:rFonts w:eastAsia="標楷體"/>
                <w:sz w:val="20"/>
                <w:szCs w:val="20"/>
              </w:rPr>
              <w:t>10%</w:t>
            </w:r>
            <w:r w:rsidRPr="004D451D">
              <w:rPr>
                <w:rFonts w:ascii="標楷體" w:eastAsia="標楷體" w:hAnsi="標楷體" w:hint="eastAsia"/>
                <w:sz w:val="20"/>
                <w:szCs w:val="20"/>
              </w:rPr>
              <w:t>之子公司發行非由母公司持有之其他第一類資本工具）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36</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直接發行的合格其他第一類資本工具</w:t>
            </w:r>
            <w:r w:rsidRPr="004D451D">
              <w:rPr>
                <w:rFonts w:ascii="標楷體" w:eastAsia="標楷體" w:hAnsi="標楷體"/>
                <w:sz w:val="20"/>
                <w:szCs w:val="20"/>
              </w:rPr>
              <w:t>(</w:t>
            </w:r>
            <w:r w:rsidRPr="004D451D">
              <w:rPr>
                <w:rFonts w:ascii="標楷體" w:eastAsia="標楷體" w:hAnsi="標楷體" w:hint="eastAsia"/>
                <w:sz w:val="20"/>
                <w:szCs w:val="20"/>
              </w:rPr>
              <w:t>含相關股本溢價</w:t>
            </w:r>
            <w:r w:rsidRPr="004D451D">
              <w:rPr>
                <w:rFonts w:ascii="標楷體" w:eastAsia="標楷體" w:hAnsi="標楷體"/>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第</w:t>
            </w:r>
            <w:r w:rsidRPr="004D451D">
              <w:rPr>
                <w:rFonts w:eastAsia="標楷體"/>
                <w:bCs/>
                <w:kern w:val="0"/>
                <w:sz w:val="20"/>
                <w:szCs w:val="20"/>
              </w:rPr>
              <w:t>30</w:t>
            </w:r>
            <w:r w:rsidRPr="004D451D">
              <w:rPr>
                <w:rFonts w:eastAsia="標楷體" w:hAnsi="標楷體" w:hint="eastAsia"/>
                <w:bCs/>
                <w:kern w:val="0"/>
                <w:sz w:val="20"/>
                <w:szCs w:val="20"/>
              </w:rPr>
              <w:t>、</w:t>
            </w:r>
            <w:r w:rsidRPr="004D451D">
              <w:rPr>
                <w:rFonts w:eastAsia="標楷體"/>
                <w:bCs/>
                <w:kern w:val="0"/>
                <w:sz w:val="20"/>
                <w:szCs w:val="20"/>
              </w:rPr>
              <w:t>33</w:t>
            </w:r>
            <w:r w:rsidRPr="004D451D">
              <w:rPr>
                <w:rFonts w:eastAsia="標楷體" w:hAnsi="標楷體" w:hint="eastAsia"/>
                <w:bCs/>
                <w:kern w:val="0"/>
                <w:sz w:val="20"/>
                <w:szCs w:val="20"/>
              </w:rPr>
              <w:t>和</w:t>
            </w:r>
            <w:r w:rsidRPr="004D451D">
              <w:rPr>
                <w:rFonts w:eastAsia="標楷體"/>
                <w:bCs/>
                <w:kern w:val="0"/>
                <w:sz w:val="20"/>
                <w:szCs w:val="20"/>
              </w:rPr>
              <w:t>34</w:t>
            </w:r>
            <w:r w:rsidRPr="004D451D">
              <w:rPr>
                <w:rFonts w:eastAsia="標楷體" w:hAnsi="標楷體" w:hint="eastAsia"/>
                <w:bCs/>
                <w:kern w:val="0"/>
                <w:sz w:val="20"/>
                <w:szCs w:val="20"/>
              </w:rPr>
              <w:t>列之合計數</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其他第一類資本</w:t>
            </w:r>
            <w:r w:rsidRPr="004D451D">
              <w:rPr>
                <w:rFonts w:eastAsia="標楷體" w:hint="eastAsia"/>
                <w:b/>
                <w:kern w:val="0"/>
                <w:sz w:val="20"/>
                <w:szCs w:val="20"/>
              </w:rPr>
              <w:t>：</w:t>
            </w:r>
            <w:r w:rsidRPr="004D451D">
              <w:rPr>
                <w:rFonts w:eastAsia="標楷體" w:hAnsi="標楷體" w:hint="eastAsia"/>
                <w:b/>
                <w:kern w:val="0"/>
                <w:sz w:val="20"/>
                <w:szCs w:val="20"/>
              </w:rPr>
              <w:t>法定調整</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37</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銀行持有其所發行之其他第一類資本工具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不適用，係因本國實務上贖回第一類資本工具</w:t>
            </w:r>
            <w:r w:rsidRPr="004D451D">
              <w:rPr>
                <w:rFonts w:eastAsia="標楷體" w:hint="eastAsia"/>
                <w:bCs/>
                <w:kern w:val="0"/>
                <w:sz w:val="20"/>
                <w:szCs w:val="20"/>
              </w:rPr>
              <w:t>（</w:t>
            </w:r>
            <w:r w:rsidRPr="004D451D">
              <w:rPr>
                <w:rFonts w:eastAsia="標楷體" w:hAnsi="標楷體" w:hint="eastAsia"/>
                <w:bCs/>
                <w:kern w:val="0"/>
                <w:sz w:val="20"/>
                <w:szCs w:val="20"/>
              </w:rPr>
              <w:t>如永續非累積特別股</w:t>
            </w:r>
            <w:r w:rsidRPr="004D451D">
              <w:rPr>
                <w:rFonts w:eastAsia="標楷體" w:hint="eastAsia"/>
                <w:bCs/>
                <w:kern w:val="0"/>
                <w:sz w:val="20"/>
                <w:szCs w:val="20"/>
              </w:rPr>
              <w:t>）</w:t>
            </w:r>
            <w:r w:rsidRPr="004D451D">
              <w:rPr>
                <w:rFonts w:eastAsia="標楷體" w:hAnsi="標楷體" w:hint="eastAsia"/>
                <w:bCs/>
                <w:kern w:val="0"/>
                <w:sz w:val="20"/>
                <w:szCs w:val="20"/>
              </w:rPr>
              <w:t>或第二類資本工具</w:t>
            </w:r>
            <w:r w:rsidRPr="004D451D">
              <w:rPr>
                <w:rFonts w:eastAsia="標楷體" w:hint="eastAsia"/>
                <w:bCs/>
                <w:kern w:val="0"/>
                <w:sz w:val="20"/>
                <w:szCs w:val="20"/>
              </w:rPr>
              <w:t>（</w:t>
            </w:r>
            <w:r w:rsidRPr="004D451D">
              <w:rPr>
                <w:rFonts w:eastAsia="標楷體" w:hAnsi="標楷體" w:hint="eastAsia"/>
                <w:bCs/>
                <w:kern w:val="0"/>
                <w:sz w:val="20"/>
                <w:szCs w:val="20"/>
              </w:rPr>
              <w:t>如長期次順位債</w:t>
            </w:r>
            <w:r w:rsidRPr="004D451D">
              <w:rPr>
                <w:rFonts w:eastAsia="標楷體" w:hint="eastAsia"/>
                <w:bCs/>
                <w:kern w:val="0"/>
                <w:sz w:val="20"/>
                <w:szCs w:val="20"/>
              </w:rPr>
              <w:t>）</w:t>
            </w:r>
            <w:r w:rsidRPr="004D451D">
              <w:rPr>
                <w:rFonts w:eastAsia="標楷體" w:hAnsi="標楷體" w:hint="eastAsia"/>
                <w:bCs/>
                <w:kern w:val="0"/>
                <w:sz w:val="20"/>
                <w:szCs w:val="20"/>
              </w:rPr>
              <w:t>即辦理註銷，無買回後掛帳之情形。</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38</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與銀行本身以外之金融相關事業交叉持有之其他第一類資本工具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39</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投資於未納入法定合併基礎下之銀行、金融及保險機構的資本</w:t>
            </w:r>
            <w:r w:rsidRPr="004D451D">
              <w:rPr>
                <w:rFonts w:eastAsia="標楷體" w:hint="eastAsia"/>
                <w:kern w:val="0"/>
                <w:sz w:val="20"/>
                <w:szCs w:val="20"/>
              </w:rPr>
              <w:t>（</w:t>
            </w:r>
            <w:r w:rsidRPr="004D451D">
              <w:rPr>
                <w:rFonts w:eastAsia="標楷體" w:hAnsi="標楷體" w:hint="eastAsia"/>
                <w:kern w:val="0"/>
                <w:sz w:val="20"/>
                <w:szCs w:val="20"/>
              </w:rPr>
              <w:t>扣除合格之短部位</w:t>
            </w:r>
            <w:r w:rsidRPr="004D451D">
              <w:rPr>
                <w:rFonts w:eastAsia="標楷體" w:hint="eastAsia"/>
                <w:kern w:val="0"/>
                <w:sz w:val="20"/>
                <w:szCs w:val="20"/>
              </w:rPr>
              <w:t>）</w:t>
            </w:r>
            <w:r w:rsidRPr="004D451D">
              <w:rPr>
                <w:rFonts w:eastAsia="標楷體" w:hAnsi="標楷體" w:hint="eastAsia"/>
                <w:kern w:val="0"/>
                <w:sz w:val="20"/>
                <w:szCs w:val="20"/>
              </w:rPr>
              <w:t>且持有單一金融機構資本未超過該發行機構普通股的</w:t>
            </w:r>
            <w:r w:rsidRPr="004D451D">
              <w:rPr>
                <w:rFonts w:eastAsia="標楷體"/>
                <w:kern w:val="0"/>
                <w:sz w:val="20"/>
                <w:szCs w:val="20"/>
              </w:rPr>
              <w:t>10%</w:t>
            </w:r>
            <w:r w:rsidRPr="004D451D">
              <w:rPr>
                <w:rFonts w:eastAsia="標楷體" w:hint="eastAsia"/>
                <w:kern w:val="0"/>
                <w:sz w:val="20"/>
                <w:szCs w:val="20"/>
              </w:rPr>
              <w:t>（</w:t>
            </w:r>
            <w:r w:rsidRPr="004D451D">
              <w:rPr>
                <w:rFonts w:eastAsia="標楷體" w:hAnsi="標楷體" w:hint="eastAsia"/>
                <w:kern w:val="0"/>
                <w:sz w:val="20"/>
                <w:szCs w:val="20"/>
              </w:rPr>
              <w:t>超過</w:t>
            </w:r>
            <w:r w:rsidRPr="004D451D">
              <w:rPr>
                <w:rFonts w:eastAsia="標楷體"/>
                <w:kern w:val="0"/>
                <w:sz w:val="20"/>
                <w:szCs w:val="20"/>
              </w:rPr>
              <w:t>10%</w:t>
            </w:r>
            <w:r w:rsidRPr="004D451D">
              <w:rPr>
                <w:rFonts w:eastAsia="標楷體" w:hAnsi="標楷體" w:hint="eastAsia"/>
                <w:kern w:val="0"/>
                <w:sz w:val="20"/>
                <w:szCs w:val="20"/>
              </w:rPr>
              <w:t>限額的金額</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40</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對於未納入法定合併基礎之銀行、金融及保險機構</w:t>
            </w:r>
            <w:r w:rsidRPr="004D451D">
              <w:rPr>
                <w:rFonts w:eastAsia="標楷體" w:hint="eastAsia"/>
                <w:kern w:val="0"/>
                <w:sz w:val="20"/>
                <w:szCs w:val="20"/>
              </w:rPr>
              <w:t>（</w:t>
            </w:r>
            <w:r w:rsidRPr="004D451D">
              <w:rPr>
                <w:rFonts w:eastAsia="標楷體" w:hAnsi="標楷體" w:hint="eastAsia"/>
                <w:kern w:val="0"/>
                <w:sz w:val="20"/>
                <w:szCs w:val="20"/>
              </w:rPr>
              <w:t>扣除合格之短部位</w:t>
            </w:r>
            <w:r w:rsidRPr="004D451D">
              <w:rPr>
                <w:rFonts w:eastAsia="標楷體" w:hint="eastAsia"/>
                <w:kern w:val="0"/>
                <w:sz w:val="20"/>
                <w:szCs w:val="20"/>
              </w:rPr>
              <w:t>）</w:t>
            </w:r>
            <w:r w:rsidRPr="004D451D">
              <w:rPr>
                <w:rFonts w:eastAsia="標楷體" w:hAnsi="標楷體" w:hint="eastAsia"/>
                <w:kern w:val="0"/>
                <w:sz w:val="20"/>
                <w:szCs w:val="20"/>
              </w:rPr>
              <w:t>等之重大資本投資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41</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各國特有的法定調整項目</w:t>
            </w:r>
          </w:p>
        </w:tc>
        <w:tc>
          <w:tcPr>
            <w:tcW w:w="6281" w:type="dxa"/>
            <w:vAlign w:val="center"/>
          </w:tcPr>
          <w:p w:rsidR="005545A5" w:rsidRPr="004D451D" w:rsidRDefault="005545A5" w:rsidP="005545A5">
            <w:pPr>
              <w:widowControl/>
              <w:rPr>
                <w:rFonts w:eastAsia="標楷體"/>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41a</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對金融相關事業之資本投資分類至銀行簿者（或工業銀行之直接投資及投資不動產依規扣除數）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【對金融相關事業之投資分類至銀行簿者】</w:t>
            </w:r>
            <w:r w:rsidRPr="004D451D">
              <w:rPr>
                <w:rFonts w:eastAsia="標楷體"/>
                <w:bCs/>
                <w:kern w:val="0"/>
                <w:sz w:val="20"/>
                <w:szCs w:val="20"/>
              </w:rPr>
              <w:t>or</w:t>
            </w:r>
            <w:r w:rsidRPr="004D451D">
              <w:rPr>
                <w:rFonts w:eastAsia="標楷體" w:hAnsi="標楷體" w:hint="eastAsia"/>
                <w:bCs/>
                <w:kern w:val="0"/>
                <w:sz w:val="20"/>
                <w:szCs w:val="20"/>
              </w:rPr>
              <w:t>【直接投資及投資不動產依規扣除數】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41b</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投資證券化受益證券或資產基礎證券其資產</w:t>
            </w:r>
            <w:r w:rsidRPr="004D451D">
              <w:rPr>
                <w:rFonts w:eastAsia="標楷體" w:hint="eastAsia"/>
                <w:kern w:val="0"/>
                <w:sz w:val="20"/>
                <w:szCs w:val="20"/>
              </w:rPr>
              <w:lastRenderedPageBreak/>
              <w:t>池中具有金融相關事業所發行之資本工具之約當帳列金額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lastRenderedPageBreak/>
              <w:t>其他資本扣除項目</w:t>
            </w:r>
            <w:r w:rsidRPr="004D451D">
              <w:rPr>
                <w:rFonts w:eastAsia="標楷體" w:hint="eastAsia"/>
                <w:bCs/>
                <w:kern w:val="0"/>
                <w:sz w:val="20"/>
                <w:szCs w:val="20"/>
              </w:rPr>
              <w:t>：</w:t>
            </w:r>
            <w:r w:rsidRPr="004D451D">
              <w:rPr>
                <w:rFonts w:eastAsia="標楷體" w:hAnsi="標楷體" w:hint="eastAsia"/>
                <w:bCs/>
                <w:kern w:val="0"/>
                <w:sz w:val="20"/>
                <w:szCs w:val="20"/>
              </w:rPr>
              <w:t>資產池中具有金融相關事業所發行之資本工具之約</w:t>
            </w:r>
            <w:r w:rsidRPr="004D451D">
              <w:rPr>
                <w:rFonts w:eastAsia="標楷體" w:hAnsi="標楷體" w:hint="eastAsia"/>
                <w:bCs/>
                <w:kern w:val="0"/>
                <w:sz w:val="20"/>
                <w:szCs w:val="20"/>
              </w:rPr>
              <w:lastRenderedPageBreak/>
              <w:t>當帳列金額</w:t>
            </w:r>
            <w:r w:rsidRPr="004D451D">
              <w:rPr>
                <w:rFonts w:eastAsia="標楷體"/>
                <w:bCs/>
                <w:kern w:val="0"/>
                <w:sz w:val="20"/>
                <w:szCs w:val="20"/>
              </w:rPr>
              <w:t>(4-H)+</w:t>
            </w:r>
            <w:r w:rsidRPr="004D451D">
              <w:rPr>
                <w:rFonts w:eastAsia="標楷體" w:hAnsi="標楷體" w:hint="eastAsia"/>
                <w:bCs/>
                <w:kern w:val="0"/>
                <w:sz w:val="20"/>
                <w:szCs w:val="20"/>
              </w:rPr>
              <w:t>資產池中具有金融相關事業所發行之資本工具之約當帳列金額</w:t>
            </w:r>
            <w:r w:rsidRPr="004D451D">
              <w:rPr>
                <w:rFonts w:eastAsia="標楷體"/>
                <w:bCs/>
                <w:kern w:val="0"/>
                <w:sz w:val="20"/>
                <w:szCs w:val="20"/>
              </w:rPr>
              <w:t>(6-G)</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lastRenderedPageBreak/>
              <w:t>42</w:t>
            </w:r>
          </w:p>
        </w:tc>
        <w:tc>
          <w:tcPr>
            <w:tcW w:w="4253" w:type="dxa"/>
            <w:vAlign w:val="center"/>
          </w:tcPr>
          <w:p w:rsidR="005545A5" w:rsidRPr="004D451D" w:rsidRDefault="005545A5" w:rsidP="005545A5">
            <w:pPr>
              <w:widowControl/>
              <w:rPr>
                <w:rFonts w:eastAsia="標楷體"/>
                <w:kern w:val="0"/>
                <w:sz w:val="20"/>
                <w:szCs w:val="20"/>
              </w:rPr>
            </w:pPr>
            <w:r w:rsidRPr="004D451D">
              <w:rPr>
                <w:rFonts w:ascii="標楷體" w:eastAsia="標楷體" w:hAnsi="標楷體" w:hint="eastAsia"/>
                <w:sz w:val="20"/>
                <w:szCs w:val="20"/>
              </w:rPr>
              <w:t>因第二類資本扣除不足數而自其他第一類資本扣除金額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【第二類資本不足扣除數】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43</w:t>
            </w:r>
          </w:p>
        </w:tc>
        <w:tc>
          <w:tcPr>
            <w:tcW w:w="4253" w:type="dxa"/>
            <w:vAlign w:val="center"/>
          </w:tcPr>
          <w:p w:rsidR="005545A5" w:rsidRPr="004D451D" w:rsidRDefault="005545A5" w:rsidP="005545A5">
            <w:pPr>
              <w:widowControl/>
              <w:rPr>
                <w:rFonts w:eastAsia="標楷體"/>
                <w:kern w:val="0"/>
                <w:sz w:val="20"/>
                <w:szCs w:val="20"/>
              </w:rPr>
            </w:pPr>
            <w:r w:rsidRPr="004D451D">
              <w:rPr>
                <w:rFonts w:ascii="Garamond" w:eastAsia="標楷體" w:hAnsi="標楷體" w:cs="新細明體" w:hint="eastAsia"/>
                <w:bCs/>
                <w:kern w:val="0"/>
                <w:sz w:val="20"/>
                <w:szCs w:val="20"/>
              </w:rPr>
              <w:t>其他第一類資本法定調整合計數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37</w:t>
            </w:r>
            <w:r w:rsidRPr="004D451D">
              <w:rPr>
                <w:rFonts w:eastAsia="標楷體" w:hAnsi="標楷體" w:hint="eastAsia"/>
                <w:bCs/>
                <w:kern w:val="0"/>
                <w:sz w:val="20"/>
                <w:szCs w:val="20"/>
              </w:rPr>
              <w:t>至</w:t>
            </w:r>
            <w:r w:rsidRPr="004D451D">
              <w:rPr>
                <w:rFonts w:eastAsia="標楷體"/>
                <w:bCs/>
                <w:kern w:val="0"/>
                <w:sz w:val="20"/>
                <w:szCs w:val="20"/>
              </w:rPr>
              <w:t>42</w:t>
            </w:r>
            <w:r w:rsidRPr="004D451D">
              <w:rPr>
                <w:rFonts w:eastAsia="標楷體" w:hAnsi="標楷體" w:hint="eastAsia"/>
                <w:bCs/>
                <w:kern w:val="0"/>
                <w:sz w:val="20"/>
                <w:szCs w:val="20"/>
              </w:rPr>
              <w:t>列之合計數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44</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其他第一類資本</w:t>
            </w:r>
            <w:r w:rsidRPr="004D451D">
              <w:rPr>
                <w:rFonts w:eastAsia="標楷體"/>
                <w:kern w:val="0"/>
                <w:sz w:val="20"/>
                <w:szCs w:val="20"/>
              </w:rPr>
              <w:t>(AT1)</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36</w:t>
            </w:r>
            <w:r w:rsidRPr="004D451D">
              <w:rPr>
                <w:rFonts w:eastAsia="標楷體" w:hAnsi="標楷體" w:hint="eastAsia"/>
                <w:bCs/>
                <w:kern w:val="0"/>
                <w:sz w:val="20"/>
                <w:szCs w:val="20"/>
              </w:rPr>
              <w:t>列減第</w:t>
            </w:r>
            <w:r w:rsidRPr="004D451D">
              <w:rPr>
                <w:rFonts w:eastAsia="標楷體"/>
                <w:bCs/>
                <w:kern w:val="0"/>
                <w:sz w:val="20"/>
                <w:szCs w:val="20"/>
              </w:rPr>
              <w:t>43</w:t>
            </w:r>
            <w:r w:rsidRPr="004D451D">
              <w:rPr>
                <w:rFonts w:eastAsia="標楷體" w:hAnsi="標楷體" w:hint="eastAsia"/>
                <w:bCs/>
                <w:kern w:val="0"/>
                <w:sz w:val="20"/>
                <w:szCs w:val="20"/>
              </w:rPr>
              <w:t>列</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45</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第一類資本</w:t>
            </w:r>
            <w:r w:rsidRPr="004D451D">
              <w:rPr>
                <w:rFonts w:eastAsia="標楷體"/>
                <w:kern w:val="0"/>
                <w:sz w:val="20"/>
                <w:szCs w:val="20"/>
              </w:rPr>
              <w:t>(T1=CET1+AT1)</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29</w:t>
            </w:r>
            <w:r w:rsidRPr="004D451D">
              <w:rPr>
                <w:rFonts w:eastAsia="標楷體" w:hAnsi="標楷體" w:hint="eastAsia"/>
                <w:bCs/>
                <w:kern w:val="0"/>
                <w:sz w:val="20"/>
                <w:szCs w:val="20"/>
              </w:rPr>
              <w:t>列加第</w:t>
            </w:r>
            <w:r w:rsidRPr="004D451D">
              <w:rPr>
                <w:rFonts w:eastAsia="標楷體"/>
                <w:bCs/>
                <w:kern w:val="0"/>
                <w:sz w:val="20"/>
                <w:szCs w:val="20"/>
              </w:rPr>
              <w:t>44</w:t>
            </w:r>
            <w:r w:rsidRPr="004D451D">
              <w:rPr>
                <w:rFonts w:eastAsia="標楷體" w:hAnsi="標楷體" w:hint="eastAsia"/>
                <w:bCs/>
                <w:kern w:val="0"/>
                <w:sz w:val="20"/>
                <w:szCs w:val="20"/>
              </w:rPr>
              <w:t>列</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第二類資本</w:t>
            </w:r>
            <w:r w:rsidRPr="004D451D">
              <w:rPr>
                <w:rFonts w:eastAsia="標楷體" w:hint="eastAsia"/>
                <w:b/>
                <w:kern w:val="0"/>
                <w:sz w:val="20"/>
                <w:szCs w:val="20"/>
              </w:rPr>
              <w:t>：</w:t>
            </w:r>
            <w:r w:rsidRPr="004D451D">
              <w:rPr>
                <w:rFonts w:eastAsia="標楷體" w:hAnsi="標楷體" w:hint="eastAsia"/>
                <w:b/>
                <w:kern w:val="0"/>
                <w:sz w:val="20"/>
                <w:szCs w:val="20"/>
              </w:rPr>
              <w:t>資本工具與提存準備</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46</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直接發行的合格第二類資本工具（含相關股本溢價）</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【永續累積特別股（含其股本溢價）</w:t>
            </w:r>
            <w:r w:rsidRPr="004D451D">
              <w:rPr>
                <w:rFonts w:eastAsia="標楷體" w:hint="eastAsia"/>
                <w:bCs/>
                <w:kern w:val="0"/>
                <w:sz w:val="20"/>
                <w:szCs w:val="20"/>
              </w:rPr>
              <w:t>：</w:t>
            </w:r>
            <w:r w:rsidRPr="004D451D">
              <w:rPr>
                <w:rFonts w:eastAsia="標楷體" w:hint="eastAsia"/>
                <w:bCs/>
                <w:kern w:val="0"/>
                <w:sz w:val="20"/>
                <w:szCs w:val="20"/>
              </w:rPr>
              <w:t>(</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r w:rsidRPr="004D451D">
              <w:rPr>
                <w:rFonts w:eastAsia="標楷體"/>
                <w:bCs/>
                <w:kern w:val="0"/>
                <w:sz w:val="20"/>
                <w:szCs w:val="20"/>
              </w:rPr>
              <w:br/>
              <w:t>+</w:t>
            </w:r>
            <w:r w:rsidRPr="004D451D">
              <w:rPr>
                <w:rFonts w:eastAsia="標楷體" w:hAnsi="標楷體" w:hint="eastAsia"/>
                <w:bCs/>
                <w:kern w:val="0"/>
                <w:sz w:val="20"/>
                <w:szCs w:val="20"/>
              </w:rPr>
              <w:t>【無到期日累積次順位債券：</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r w:rsidRPr="004D451D">
              <w:rPr>
                <w:rFonts w:eastAsia="標楷體"/>
                <w:bCs/>
                <w:kern w:val="0"/>
                <w:sz w:val="20"/>
                <w:szCs w:val="20"/>
              </w:rPr>
              <w:br/>
              <w:t>+</w:t>
            </w:r>
            <w:r w:rsidRPr="004D451D">
              <w:rPr>
                <w:rFonts w:eastAsia="標楷體" w:hAnsi="標楷體" w:hint="eastAsia"/>
                <w:bCs/>
                <w:kern w:val="0"/>
                <w:sz w:val="20"/>
                <w:szCs w:val="20"/>
              </w:rPr>
              <w:t>【可轉換之次順位債券：</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r w:rsidRPr="004D451D">
              <w:rPr>
                <w:rFonts w:eastAsia="標楷體"/>
                <w:bCs/>
                <w:kern w:val="0"/>
                <w:sz w:val="20"/>
                <w:szCs w:val="20"/>
              </w:rPr>
              <w:br/>
              <w:t>+</w:t>
            </w:r>
            <w:r w:rsidRPr="004D451D">
              <w:rPr>
                <w:rFonts w:eastAsia="標楷體" w:hAnsi="標楷體" w:hint="eastAsia"/>
                <w:bCs/>
                <w:kern w:val="0"/>
                <w:sz w:val="20"/>
                <w:szCs w:val="20"/>
              </w:rPr>
              <w:t>【長期次順位債券：</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r w:rsidRPr="004D451D">
              <w:rPr>
                <w:rFonts w:eastAsia="標楷體"/>
                <w:bCs/>
                <w:kern w:val="0"/>
                <w:sz w:val="20"/>
                <w:szCs w:val="20"/>
              </w:rPr>
              <w:br/>
              <w:t>+</w:t>
            </w:r>
            <w:r w:rsidRPr="004D451D">
              <w:rPr>
                <w:rFonts w:eastAsia="標楷體" w:hAnsi="標楷體" w:hint="eastAsia"/>
                <w:bCs/>
                <w:kern w:val="0"/>
                <w:sz w:val="20"/>
                <w:szCs w:val="20"/>
              </w:rPr>
              <w:t>【非永續特別股（含其股本溢價）：</w:t>
            </w:r>
            <w:r w:rsidRPr="004D451D">
              <w:rPr>
                <w:rFonts w:eastAsia="標楷體"/>
                <w:bCs/>
                <w:kern w:val="0"/>
                <w:sz w:val="20"/>
                <w:szCs w:val="20"/>
              </w:rPr>
              <w:t>(2)102</w:t>
            </w:r>
            <w:r w:rsidRPr="004D451D">
              <w:rPr>
                <w:rFonts w:eastAsia="標楷體" w:hAnsi="標楷體" w:hint="eastAsia"/>
                <w:bCs/>
                <w:kern w:val="0"/>
                <w:sz w:val="20"/>
                <w:szCs w:val="20"/>
              </w:rPr>
              <w:t>年</w:t>
            </w:r>
            <w:r w:rsidRPr="004D451D">
              <w:rPr>
                <w:rFonts w:eastAsia="標楷體"/>
                <w:bCs/>
                <w:kern w:val="0"/>
                <w:sz w:val="20"/>
                <w:szCs w:val="20"/>
              </w:rPr>
              <w:t>1</w:t>
            </w:r>
            <w:r w:rsidRPr="004D451D">
              <w:rPr>
                <w:rFonts w:eastAsia="標楷體" w:hAnsi="標楷體" w:hint="eastAsia"/>
                <w:bCs/>
                <w:kern w:val="0"/>
                <w:sz w:val="20"/>
                <w:szCs w:val="20"/>
              </w:rPr>
              <w:t>月</w:t>
            </w:r>
            <w:r w:rsidRPr="004D451D">
              <w:rPr>
                <w:rFonts w:eastAsia="標楷體"/>
                <w:bCs/>
                <w:kern w:val="0"/>
                <w:sz w:val="20"/>
                <w:szCs w:val="20"/>
              </w:rPr>
              <w:t>1</w:t>
            </w:r>
            <w:r w:rsidRPr="004D451D">
              <w:rPr>
                <w:rFonts w:eastAsia="標楷體" w:hAnsi="標楷體" w:hint="eastAsia"/>
                <w:bCs/>
                <w:kern w:val="0"/>
                <w:sz w:val="20"/>
                <w:szCs w:val="20"/>
              </w:rPr>
              <w:t>日之後發行者】</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47</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從第二類資本分階段扣除的直接發行資本工具（即自</w:t>
            </w:r>
            <w:r w:rsidRPr="004D451D">
              <w:rPr>
                <w:rFonts w:eastAsia="標楷體"/>
                <w:sz w:val="20"/>
                <w:szCs w:val="20"/>
              </w:rPr>
              <w:t>102</w:t>
            </w:r>
            <w:r w:rsidRPr="004D451D">
              <w:rPr>
                <w:rFonts w:ascii="標楷體" w:eastAsia="標楷體" w:hAnsi="標楷體" w:hint="eastAsia"/>
                <w:sz w:val="20"/>
                <w:szCs w:val="20"/>
              </w:rPr>
              <w:t>年起需每年至少遞減</w:t>
            </w:r>
            <w:r w:rsidRPr="004D451D">
              <w:rPr>
                <w:rFonts w:eastAsia="標楷體"/>
                <w:sz w:val="20"/>
                <w:szCs w:val="20"/>
              </w:rPr>
              <w:t>10%</w:t>
            </w:r>
            <w:r w:rsidRPr="004D451D">
              <w:rPr>
                <w:rFonts w:ascii="標楷體" w:eastAsia="標楷體" w:hAnsi="標楷體" w:hint="eastAsia"/>
                <w:sz w:val="20"/>
                <w:szCs w:val="20"/>
              </w:rPr>
              <w:t>之母公司發行之第二類資本工具）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【永續累積特別股（含其股本溢價）</w:t>
            </w:r>
            <w:r w:rsidRPr="004D451D">
              <w:rPr>
                <w:rFonts w:eastAsia="標楷體" w:hint="eastAsia"/>
                <w:bCs/>
                <w:kern w:val="0"/>
                <w:sz w:val="20"/>
                <w:szCs w:val="20"/>
              </w:rPr>
              <w:t>：</w:t>
            </w:r>
            <w:r w:rsidRPr="004D451D">
              <w:rPr>
                <w:rFonts w:eastAsia="標楷體" w:hint="eastAsia"/>
                <w:bCs/>
                <w:kern w:val="0"/>
                <w:sz w:val="20"/>
                <w:szCs w:val="20"/>
              </w:rPr>
              <w:t>(</w:t>
            </w:r>
            <w:r w:rsidRPr="004D451D">
              <w:rPr>
                <w:rFonts w:eastAsia="標楷體"/>
                <w:bCs/>
                <w:kern w:val="0"/>
                <w:sz w:val="20"/>
                <w:szCs w:val="20"/>
              </w:rPr>
              <w:t>1)101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日前發行不符合第二類資本條件者】</w:t>
            </w:r>
            <w:r w:rsidRPr="004D451D">
              <w:rPr>
                <w:rFonts w:eastAsia="標楷體"/>
                <w:bCs/>
                <w:kern w:val="0"/>
                <w:sz w:val="20"/>
                <w:szCs w:val="20"/>
              </w:rPr>
              <w:br/>
              <w:t>+</w:t>
            </w:r>
            <w:r w:rsidRPr="004D451D">
              <w:rPr>
                <w:rFonts w:eastAsia="標楷體" w:hAnsi="標楷體" w:hint="eastAsia"/>
                <w:bCs/>
                <w:kern w:val="0"/>
                <w:sz w:val="20"/>
                <w:szCs w:val="20"/>
              </w:rPr>
              <w:t>【無到期日累積次順位債券：</w:t>
            </w:r>
            <w:r w:rsidRPr="004D451D">
              <w:rPr>
                <w:rFonts w:eastAsia="標楷體"/>
                <w:bCs/>
                <w:kern w:val="0"/>
                <w:sz w:val="20"/>
                <w:szCs w:val="20"/>
              </w:rPr>
              <w:t>(1)101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日前發行不符合第二類資本條件者】</w:t>
            </w:r>
            <w:r w:rsidRPr="004D451D">
              <w:rPr>
                <w:rFonts w:eastAsia="標楷體"/>
                <w:bCs/>
                <w:kern w:val="0"/>
                <w:sz w:val="20"/>
                <w:szCs w:val="20"/>
              </w:rPr>
              <w:br/>
              <w:t>+</w:t>
            </w:r>
            <w:r w:rsidRPr="004D451D">
              <w:rPr>
                <w:rFonts w:eastAsia="標楷體" w:hAnsi="標楷體" w:hint="eastAsia"/>
                <w:bCs/>
                <w:kern w:val="0"/>
                <w:sz w:val="20"/>
                <w:szCs w:val="20"/>
              </w:rPr>
              <w:t>【可轉換之次順位債券：</w:t>
            </w:r>
            <w:r w:rsidRPr="004D451D">
              <w:rPr>
                <w:rFonts w:eastAsia="標楷體"/>
                <w:bCs/>
                <w:kern w:val="0"/>
                <w:sz w:val="20"/>
                <w:szCs w:val="20"/>
              </w:rPr>
              <w:t>(1)101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日前發行不符合第二類資本條件者】</w:t>
            </w:r>
            <w:r w:rsidRPr="004D451D">
              <w:rPr>
                <w:rFonts w:eastAsia="標楷體"/>
                <w:bCs/>
                <w:kern w:val="0"/>
                <w:sz w:val="20"/>
                <w:szCs w:val="20"/>
              </w:rPr>
              <w:br/>
              <w:t>+</w:t>
            </w:r>
            <w:r w:rsidRPr="004D451D">
              <w:rPr>
                <w:rFonts w:eastAsia="標楷體" w:hAnsi="標楷體" w:hint="eastAsia"/>
                <w:bCs/>
                <w:kern w:val="0"/>
                <w:sz w:val="20"/>
                <w:szCs w:val="20"/>
              </w:rPr>
              <w:t>【長期次順位債券：</w:t>
            </w:r>
            <w:r w:rsidRPr="004D451D">
              <w:rPr>
                <w:rFonts w:eastAsia="標楷體"/>
                <w:bCs/>
                <w:kern w:val="0"/>
                <w:sz w:val="20"/>
                <w:szCs w:val="20"/>
              </w:rPr>
              <w:t>(1)101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日前發行不符合第二類資本條件者】</w:t>
            </w:r>
            <w:r w:rsidRPr="004D451D">
              <w:rPr>
                <w:rFonts w:eastAsia="標楷體"/>
                <w:bCs/>
                <w:kern w:val="0"/>
                <w:sz w:val="20"/>
                <w:szCs w:val="20"/>
              </w:rPr>
              <w:br/>
              <w:t>+</w:t>
            </w:r>
            <w:r w:rsidRPr="004D451D">
              <w:rPr>
                <w:rFonts w:eastAsia="標楷體" w:hAnsi="標楷體" w:hint="eastAsia"/>
                <w:bCs/>
                <w:kern w:val="0"/>
                <w:sz w:val="20"/>
                <w:szCs w:val="20"/>
              </w:rPr>
              <w:t>【非永續特別股（含其股本溢價）：</w:t>
            </w:r>
            <w:r w:rsidRPr="004D451D">
              <w:rPr>
                <w:rFonts w:eastAsia="標楷體"/>
                <w:bCs/>
                <w:kern w:val="0"/>
                <w:sz w:val="20"/>
                <w:szCs w:val="20"/>
              </w:rPr>
              <w:t>(1)101</w:t>
            </w:r>
            <w:r w:rsidRPr="004D451D">
              <w:rPr>
                <w:rFonts w:eastAsia="標楷體" w:hAnsi="標楷體" w:hint="eastAsia"/>
                <w:bCs/>
                <w:kern w:val="0"/>
                <w:sz w:val="20"/>
                <w:szCs w:val="20"/>
              </w:rPr>
              <w:t>年</w:t>
            </w:r>
            <w:r w:rsidRPr="004D451D">
              <w:rPr>
                <w:rFonts w:eastAsia="標楷體"/>
                <w:bCs/>
                <w:kern w:val="0"/>
                <w:sz w:val="20"/>
                <w:szCs w:val="20"/>
              </w:rPr>
              <w:t>12</w:t>
            </w:r>
            <w:r w:rsidRPr="004D451D">
              <w:rPr>
                <w:rFonts w:eastAsia="標楷體" w:hAnsi="標楷體" w:hint="eastAsia"/>
                <w:bCs/>
                <w:kern w:val="0"/>
                <w:sz w:val="20"/>
                <w:szCs w:val="20"/>
              </w:rPr>
              <w:t>月</w:t>
            </w:r>
            <w:r w:rsidRPr="004D451D">
              <w:rPr>
                <w:rFonts w:eastAsia="標楷體"/>
                <w:bCs/>
                <w:kern w:val="0"/>
                <w:sz w:val="20"/>
                <w:szCs w:val="20"/>
              </w:rPr>
              <w:t>31</w:t>
            </w:r>
            <w:r w:rsidRPr="004D451D">
              <w:rPr>
                <w:rFonts w:eastAsia="標楷體" w:hAnsi="標楷體" w:hint="eastAsia"/>
                <w:bCs/>
                <w:kern w:val="0"/>
                <w:sz w:val="20"/>
                <w:szCs w:val="20"/>
              </w:rPr>
              <w:t>日前發行不符合第二類資本條件者】</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48</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子公司發行非由母公司持有之第二類資本</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【其他合併子公司發行非由母公司持有之資本】</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49</w:t>
            </w:r>
          </w:p>
        </w:tc>
        <w:tc>
          <w:tcPr>
            <w:tcW w:w="4253" w:type="dxa"/>
            <w:vAlign w:val="center"/>
          </w:tcPr>
          <w:p w:rsidR="005545A5" w:rsidRPr="004D451D" w:rsidRDefault="005545A5" w:rsidP="005545A5">
            <w:pPr>
              <w:ind w:left="800" w:hangingChars="400" w:hanging="800"/>
              <w:rPr>
                <w:rFonts w:eastAsia="標楷體"/>
                <w:sz w:val="20"/>
                <w:szCs w:val="20"/>
              </w:rPr>
            </w:pPr>
            <w:r w:rsidRPr="004D451D">
              <w:rPr>
                <w:rFonts w:ascii="標楷體" w:eastAsia="標楷體" w:hAnsi="標楷體"/>
                <w:sz w:val="20"/>
                <w:szCs w:val="20"/>
              </w:rPr>
              <w:t xml:space="preserve">  </w:t>
            </w:r>
            <w:r w:rsidRPr="004D451D">
              <w:rPr>
                <w:rFonts w:eastAsia="標楷體"/>
                <w:sz w:val="20"/>
                <w:szCs w:val="20"/>
              </w:rPr>
              <w:t>其中：子公司發行之分階段扣除資本工具（即自</w:t>
            </w:r>
            <w:r w:rsidRPr="004D451D">
              <w:rPr>
                <w:rFonts w:eastAsia="標楷體"/>
                <w:sz w:val="20"/>
                <w:szCs w:val="20"/>
              </w:rPr>
              <w:t>102</w:t>
            </w:r>
            <w:r w:rsidRPr="004D451D">
              <w:rPr>
                <w:rFonts w:eastAsia="標楷體"/>
                <w:sz w:val="20"/>
                <w:szCs w:val="20"/>
              </w:rPr>
              <w:t>年起需每年至少遞減</w:t>
            </w:r>
            <w:r w:rsidRPr="004D451D">
              <w:rPr>
                <w:rFonts w:eastAsia="標楷體"/>
                <w:sz w:val="20"/>
                <w:szCs w:val="20"/>
              </w:rPr>
              <w:t>10%</w:t>
            </w:r>
            <w:r w:rsidRPr="004D451D">
              <w:rPr>
                <w:rFonts w:eastAsia="標楷體"/>
                <w:sz w:val="20"/>
                <w:szCs w:val="20"/>
              </w:rPr>
              <w:t>之子公司發行非由母公司持有之第二類資本工具）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50</w:t>
            </w:r>
          </w:p>
        </w:tc>
        <w:tc>
          <w:tcPr>
            <w:tcW w:w="4253" w:type="dxa"/>
            <w:vAlign w:val="center"/>
          </w:tcPr>
          <w:p w:rsidR="005545A5" w:rsidRPr="004D451D" w:rsidRDefault="005545A5" w:rsidP="005545A5">
            <w:pPr>
              <w:rPr>
                <w:rFonts w:ascii="標楷體" w:eastAsia="標楷體" w:hAnsi="標楷體" w:cs="新細明體"/>
                <w:sz w:val="20"/>
                <w:szCs w:val="20"/>
              </w:rPr>
            </w:pPr>
            <w:r w:rsidRPr="004D451D">
              <w:rPr>
                <w:rFonts w:ascii="標楷體" w:eastAsia="標楷體" w:hAnsi="標楷體" w:hint="eastAsia"/>
                <w:sz w:val="20"/>
                <w:szCs w:val="20"/>
              </w:rPr>
              <w:t>營業準備及備抵呆帳</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【營業準備及備抵呆帳】</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51</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法定調整前第二類資本</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第</w:t>
            </w:r>
            <w:r w:rsidRPr="004D451D">
              <w:rPr>
                <w:rFonts w:eastAsia="標楷體"/>
                <w:bCs/>
                <w:kern w:val="0"/>
                <w:sz w:val="20"/>
                <w:szCs w:val="20"/>
              </w:rPr>
              <w:t>46</w:t>
            </w:r>
            <w:r w:rsidRPr="004D451D">
              <w:rPr>
                <w:rFonts w:eastAsia="標楷體" w:hAnsi="標楷體" w:hint="eastAsia"/>
                <w:bCs/>
                <w:kern w:val="0"/>
                <w:sz w:val="20"/>
                <w:szCs w:val="20"/>
              </w:rPr>
              <w:t>至</w:t>
            </w:r>
            <w:r w:rsidRPr="004D451D">
              <w:rPr>
                <w:rFonts w:eastAsia="標楷體"/>
                <w:bCs/>
                <w:kern w:val="0"/>
                <w:sz w:val="20"/>
                <w:szCs w:val="20"/>
              </w:rPr>
              <w:t>48</w:t>
            </w:r>
            <w:r w:rsidRPr="004D451D">
              <w:rPr>
                <w:rFonts w:eastAsia="標楷體" w:hAnsi="標楷體" w:hint="eastAsia"/>
                <w:bCs/>
                <w:kern w:val="0"/>
                <w:sz w:val="20"/>
                <w:szCs w:val="20"/>
              </w:rPr>
              <w:t>列及第</w:t>
            </w:r>
            <w:r w:rsidRPr="004D451D">
              <w:rPr>
                <w:rFonts w:eastAsia="標楷體"/>
                <w:bCs/>
                <w:kern w:val="0"/>
                <w:sz w:val="20"/>
                <w:szCs w:val="20"/>
              </w:rPr>
              <w:t>50</w:t>
            </w:r>
            <w:r w:rsidRPr="004D451D">
              <w:rPr>
                <w:rFonts w:eastAsia="標楷體" w:hAnsi="標楷體" w:hint="eastAsia"/>
                <w:bCs/>
                <w:kern w:val="0"/>
                <w:sz w:val="20"/>
                <w:szCs w:val="20"/>
              </w:rPr>
              <w:t>列之合計數</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第二類資本：法定調整項</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52</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銀行持有其所發行之第二類資本工具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不適用，係因本國實務上贖回第一類資本工具</w:t>
            </w:r>
            <w:r w:rsidRPr="004D451D">
              <w:rPr>
                <w:rFonts w:eastAsia="標楷體" w:hint="eastAsia"/>
                <w:bCs/>
                <w:kern w:val="0"/>
                <w:sz w:val="20"/>
                <w:szCs w:val="20"/>
              </w:rPr>
              <w:t>（</w:t>
            </w:r>
            <w:r w:rsidRPr="004D451D">
              <w:rPr>
                <w:rFonts w:eastAsia="標楷體" w:hAnsi="標楷體" w:hint="eastAsia"/>
                <w:bCs/>
                <w:kern w:val="0"/>
                <w:sz w:val="20"/>
                <w:szCs w:val="20"/>
              </w:rPr>
              <w:t>如永續非累積特別股</w:t>
            </w:r>
            <w:r w:rsidRPr="004D451D">
              <w:rPr>
                <w:rFonts w:eastAsia="標楷體" w:hint="eastAsia"/>
                <w:bCs/>
                <w:kern w:val="0"/>
                <w:sz w:val="20"/>
                <w:szCs w:val="20"/>
              </w:rPr>
              <w:t>）</w:t>
            </w:r>
            <w:r w:rsidRPr="004D451D">
              <w:rPr>
                <w:rFonts w:eastAsia="標楷體" w:hAnsi="標楷體" w:hint="eastAsia"/>
                <w:bCs/>
                <w:kern w:val="0"/>
                <w:sz w:val="20"/>
                <w:szCs w:val="20"/>
              </w:rPr>
              <w:t>或第二類資本工具</w:t>
            </w:r>
            <w:r w:rsidRPr="004D451D">
              <w:rPr>
                <w:rFonts w:eastAsia="標楷體" w:hint="eastAsia"/>
                <w:bCs/>
                <w:kern w:val="0"/>
                <w:sz w:val="20"/>
                <w:szCs w:val="20"/>
              </w:rPr>
              <w:t>（</w:t>
            </w:r>
            <w:r w:rsidRPr="004D451D">
              <w:rPr>
                <w:rFonts w:eastAsia="標楷體" w:hAnsi="標楷體" w:hint="eastAsia"/>
                <w:bCs/>
                <w:kern w:val="0"/>
                <w:sz w:val="20"/>
                <w:szCs w:val="20"/>
              </w:rPr>
              <w:t>如長期次順位債</w:t>
            </w:r>
            <w:r w:rsidRPr="004D451D">
              <w:rPr>
                <w:rFonts w:eastAsia="標楷體" w:hint="eastAsia"/>
                <w:bCs/>
                <w:kern w:val="0"/>
                <w:sz w:val="20"/>
                <w:szCs w:val="20"/>
              </w:rPr>
              <w:t>）</w:t>
            </w:r>
            <w:r w:rsidRPr="004D451D">
              <w:rPr>
                <w:rFonts w:eastAsia="標楷體" w:hAnsi="標楷體" w:hint="eastAsia"/>
                <w:bCs/>
                <w:kern w:val="0"/>
                <w:sz w:val="20"/>
                <w:szCs w:val="20"/>
              </w:rPr>
              <w:t>即辦理註銷，無買回後掛帳之情形。</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53</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與銀行本身以外之金融相關事業交叉持有之第二類資本工具</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54</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投資於未納入法定合併基礎下之銀行、金融及保險機構的資本</w:t>
            </w:r>
            <w:r w:rsidRPr="004D451D">
              <w:rPr>
                <w:rFonts w:eastAsia="標楷體" w:hint="eastAsia"/>
                <w:kern w:val="0"/>
                <w:sz w:val="20"/>
                <w:szCs w:val="20"/>
              </w:rPr>
              <w:t>（</w:t>
            </w:r>
            <w:r w:rsidRPr="004D451D">
              <w:rPr>
                <w:rFonts w:eastAsia="標楷體" w:hAnsi="標楷體" w:hint="eastAsia"/>
                <w:kern w:val="0"/>
                <w:sz w:val="20"/>
                <w:szCs w:val="20"/>
              </w:rPr>
              <w:t>扣除合格之短部位</w:t>
            </w:r>
            <w:r w:rsidRPr="004D451D">
              <w:rPr>
                <w:rFonts w:eastAsia="標楷體" w:hint="eastAsia"/>
                <w:kern w:val="0"/>
                <w:sz w:val="20"/>
                <w:szCs w:val="20"/>
              </w:rPr>
              <w:t>）</w:t>
            </w:r>
            <w:r w:rsidRPr="004D451D">
              <w:rPr>
                <w:rFonts w:eastAsia="標楷體" w:hAnsi="標楷體" w:hint="eastAsia"/>
                <w:kern w:val="0"/>
                <w:sz w:val="20"/>
                <w:szCs w:val="20"/>
              </w:rPr>
              <w:t>且持有單一金融機構資本未超過該發行機構普通股的</w:t>
            </w:r>
            <w:r w:rsidRPr="004D451D">
              <w:rPr>
                <w:rFonts w:eastAsia="標楷體"/>
                <w:kern w:val="0"/>
                <w:sz w:val="20"/>
                <w:szCs w:val="20"/>
              </w:rPr>
              <w:t>10%</w:t>
            </w:r>
            <w:r w:rsidRPr="004D451D">
              <w:rPr>
                <w:rFonts w:eastAsia="標楷體" w:hint="eastAsia"/>
                <w:kern w:val="0"/>
                <w:sz w:val="20"/>
                <w:szCs w:val="20"/>
              </w:rPr>
              <w:t>（</w:t>
            </w:r>
            <w:r w:rsidRPr="004D451D">
              <w:rPr>
                <w:rFonts w:eastAsia="標楷體" w:hAnsi="標楷體" w:hint="eastAsia"/>
                <w:kern w:val="0"/>
                <w:sz w:val="20"/>
                <w:szCs w:val="20"/>
              </w:rPr>
              <w:t>超過</w:t>
            </w:r>
            <w:r w:rsidRPr="004D451D">
              <w:rPr>
                <w:rFonts w:eastAsia="標楷體"/>
                <w:kern w:val="0"/>
                <w:sz w:val="20"/>
                <w:szCs w:val="20"/>
              </w:rPr>
              <w:t>10%</w:t>
            </w:r>
            <w:r w:rsidRPr="004D451D">
              <w:rPr>
                <w:rFonts w:eastAsia="標楷體" w:hAnsi="標楷體" w:hint="eastAsia"/>
                <w:kern w:val="0"/>
                <w:sz w:val="20"/>
                <w:szCs w:val="20"/>
              </w:rPr>
              <w:t>限額的金額</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55</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對於未納入法定合併基礎之銀行、金融及保險機構</w:t>
            </w:r>
            <w:r w:rsidRPr="004D451D">
              <w:rPr>
                <w:rFonts w:eastAsia="標楷體" w:hint="eastAsia"/>
                <w:kern w:val="0"/>
                <w:sz w:val="20"/>
                <w:szCs w:val="20"/>
              </w:rPr>
              <w:t>（</w:t>
            </w:r>
            <w:r w:rsidRPr="004D451D">
              <w:rPr>
                <w:rFonts w:eastAsia="標楷體" w:hAnsi="標楷體" w:hint="eastAsia"/>
                <w:kern w:val="0"/>
                <w:sz w:val="20"/>
                <w:szCs w:val="20"/>
              </w:rPr>
              <w:t>扣除合格之短部位</w:t>
            </w:r>
            <w:r w:rsidRPr="004D451D">
              <w:rPr>
                <w:rFonts w:eastAsia="標楷體" w:hint="eastAsia"/>
                <w:kern w:val="0"/>
                <w:sz w:val="20"/>
                <w:szCs w:val="20"/>
              </w:rPr>
              <w:t>）</w:t>
            </w:r>
            <w:r w:rsidRPr="004D451D">
              <w:rPr>
                <w:rFonts w:eastAsia="標楷體" w:hAnsi="標楷體" w:hint="eastAsia"/>
                <w:kern w:val="0"/>
                <w:sz w:val="20"/>
                <w:szCs w:val="20"/>
              </w:rPr>
              <w:t>等之重大資本投資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56</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各國特有的法定調整項目</w:t>
            </w:r>
          </w:p>
        </w:tc>
        <w:tc>
          <w:tcPr>
            <w:tcW w:w="6281" w:type="dxa"/>
            <w:vAlign w:val="center"/>
          </w:tcPr>
          <w:p w:rsidR="005545A5" w:rsidRPr="004D451D" w:rsidRDefault="005545A5" w:rsidP="005545A5">
            <w:pPr>
              <w:widowControl/>
              <w:rPr>
                <w:rFonts w:eastAsia="標楷體"/>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56a</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Ansi="標楷體" w:hint="eastAsia"/>
                <w:kern w:val="0"/>
                <w:sz w:val="20"/>
                <w:szCs w:val="20"/>
              </w:rPr>
              <w:t>不動產首次適用國際會計準則時，以公允價值或重估價值作為認定成本產生之保留盈餘增加數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【不動產首次適用國際會計準則時，以公允價值或重估價值作為認定成本產生之保留盈餘增加數】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56b</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透過其他綜合損益按公允價值衡量之權益工具及債務工具未實現評價利益之</w:t>
            </w:r>
            <w:r w:rsidRPr="004D451D">
              <w:rPr>
                <w:rFonts w:eastAsia="標楷體"/>
                <w:kern w:val="0"/>
                <w:sz w:val="20"/>
                <w:szCs w:val="20"/>
              </w:rPr>
              <w:t xml:space="preserve">45% </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【透過其他綜合損益按公允價值衡量之權益工具及債務工具未實現評價利益之</w:t>
            </w:r>
            <w:r w:rsidRPr="004D451D">
              <w:rPr>
                <w:rFonts w:eastAsia="標楷體"/>
                <w:bCs/>
                <w:kern w:val="0"/>
                <w:sz w:val="20"/>
                <w:szCs w:val="20"/>
              </w:rPr>
              <w:t>45%</w:t>
            </w:r>
            <w:r w:rsidRPr="004D451D">
              <w:rPr>
                <w:rFonts w:eastAsia="標楷體" w:hAnsi="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56c</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對金融相關事業之</w:t>
            </w:r>
            <w:r w:rsidRPr="004D451D">
              <w:rPr>
                <w:rFonts w:ascii="標楷體" w:eastAsia="標楷體" w:hAnsi="標楷體" w:hint="eastAsia"/>
                <w:sz w:val="20"/>
                <w:szCs w:val="20"/>
              </w:rPr>
              <w:t>資本</w:t>
            </w:r>
            <w:r w:rsidRPr="004D451D">
              <w:rPr>
                <w:rFonts w:eastAsia="標楷體" w:hint="eastAsia"/>
                <w:kern w:val="0"/>
                <w:sz w:val="20"/>
                <w:szCs w:val="20"/>
              </w:rPr>
              <w:t>投資分類至銀行簿者（或工業銀行之直接投資及投資不動產依規扣除數）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【對金融相關事業之投資分類至銀行簿者】</w:t>
            </w:r>
            <w:r w:rsidRPr="004D451D">
              <w:rPr>
                <w:rFonts w:eastAsia="標楷體"/>
                <w:bCs/>
                <w:kern w:val="0"/>
                <w:sz w:val="20"/>
                <w:szCs w:val="20"/>
              </w:rPr>
              <w:t>or</w:t>
            </w:r>
            <w:r w:rsidRPr="004D451D">
              <w:rPr>
                <w:rFonts w:eastAsia="標楷體" w:hAnsi="標楷體" w:hint="eastAsia"/>
                <w:bCs/>
                <w:kern w:val="0"/>
                <w:sz w:val="20"/>
                <w:szCs w:val="20"/>
              </w:rPr>
              <w:t>【直接投資及投資不動產依規扣除數】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56d</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投資證券化受益證券或資產基礎證券其資產</w:t>
            </w:r>
            <w:r w:rsidRPr="004D451D">
              <w:rPr>
                <w:rFonts w:eastAsia="標楷體" w:hint="eastAsia"/>
                <w:kern w:val="0"/>
                <w:sz w:val="20"/>
                <w:szCs w:val="20"/>
              </w:rPr>
              <w:lastRenderedPageBreak/>
              <w:t>池中具有金融相關事業所發行之資本工具之約當帳列金額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lastRenderedPageBreak/>
              <w:t>其他資本扣除項目</w:t>
            </w:r>
            <w:r w:rsidRPr="004D451D">
              <w:rPr>
                <w:rFonts w:eastAsia="標楷體" w:hint="eastAsia"/>
                <w:bCs/>
                <w:kern w:val="0"/>
                <w:sz w:val="20"/>
                <w:szCs w:val="20"/>
              </w:rPr>
              <w:t>：</w:t>
            </w:r>
            <w:r w:rsidRPr="004D451D">
              <w:rPr>
                <w:rFonts w:eastAsia="標楷體" w:hAnsi="標楷體" w:hint="eastAsia"/>
                <w:bCs/>
                <w:kern w:val="0"/>
                <w:sz w:val="20"/>
                <w:szCs w:val="20"/>
              </w:rPr>
              <w:t>資產池中具有金融相關事業所發行之資本工具之約</w:t>
            </w:r>
            <w:r w:rsidRPr="004D451D">
              <w:rPr>
                <w:rFonts w:eastAsia="標楷體" w:hAnsi="標楷體" w:hint="eastAsia"/>
                <w:bCs/>
                <w:kern w:val="0"/>
                <w:sz w:val="20"/>
                <w:szCs w:val="20"/>
              </w:rPr>
              <w:lastRenderedPageBreak/>
              <w:t>當帳列金額</w:t>
            </w:r>
            <w:r w:rsidRPr="004D451D">
              <w:rPr>
                <w:rFonts w:eastAsia="標楷體"/>
                <w:bCs/>
                <w:kern w:val="0"/>
                <w:sz w:val="20"/>
                <w:szCs w:val="20"/>
              </w:rPr>
              <w:t>(4-H)+</w:t>
            </w:r>
            <w:r w:rsidRPr="004D451D">
              <w:rPr>
                <w:rFonts w:eastAsia="標楷體" w:hAnsi="標楷體" w:hint="eastAsia"/>
                <w:bCs/>
                <w:kern w:val="0"/>
                <w:sz w:val="20"/>
                <w:szCs w:val="20"/>
              </w:rPr>
              <w:t>資產池中具有金融相關事業所發行之資本工具之約當帳列金額</w:t>
            </w:r>
            <w:r w:rsidRPr="004D451D">
              <w:rPr>
                <w:rFonts w:eastAsia="標楷體"/>
                <w:bCs/>
                <w:kern w:val="0"/>
                <w:sz w:val="20"/>
                <w:szCs w:val="20"/>
              </w:rPr>
              <w:t>(6-G)</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lastRenderedPageBreak/>
              <w:t>56e</w:t>
            </w:r>
          </w:p>
        </w:tc>
        <w:tc>
          <w:tcPr>
            <w:tcW w:w="4253" w:type="dxa"/>
            <w:vAlign w:val="center"/>
          </w:tcPr>
          <w:p w:rsidR="005545A5" w:rsidRPr="004D451D" w:rsidRDefault="005545A5" w:rsidP="005545A5">
            <w:pPr>
              <w:widowControl/>
              <w:ind w:leftChars="99" w:left="238"/>
              <w:rPr>
                <w:rFonts w:eastAsia="標楷體"/>
                <w:kern w:val="0"/>
                <w:sz w:val="20"/>
                <w:szCs w:val="20"/>
              </w:rPr>
            </w:pPr>
            <w:r w:rsidRPr="004D451D">
              <w:rPr>
                <w:rFonts w:eastAsia="標楷體" w:hint="eastAsia"/>
                <w:kern w:val="0"/>
                <w:sz w:val="20"/>
                <w:szCs w:val="20"/>
              </w:rPr>
              <w:t>投資性不動產後續衡量採公允價值模式所認列增值利益之</w:t>
            </w:r>
            <w:r w:rsidRPr="004D451D">
              <w:rPr>
                <w:rFonts w:eastAsia="標楷體"/>
                <w:kern w:val="0"/>
                <w:sz w:val="20"/>
                <w:szCs w:val="20"/>
              </w:rPr>
              <w:t>45%</w:t>
            </w:r>
          </w:p>
        </w:tc>
        <w:tc>
          <w:tcPr>
            <w:tcW w:w="6281" w:type="dxa"/>
            <w:vAlign w:val="center"/>
          </w:tcPr>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【投資性不動產後續衡量採公允價值模式所認列增值利益之</w:t>
            </w:r>
            <w:r w:rsidRPr="004D451D">
              <w:rPr>
                <w:rFonts w:eastAsia="標楷體" w:hAnsi="標楷體"/>
                <w:bCs/>
                <w:kern w:val="0"/>
                <w:sz w:val="20"/>
                <w:szCs w:val="20"/>
              </w:rPr>
              <w:t>45%</w:t>
            </w:r>
            <w:r w:rsidRPr="004D451D">
              <w:rPr>
                <w:rFonts w:eastAsia="標楷體" w:hAnsi="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57</w:t>
            </w:r>
          </w:p>
        </w:tc>
        <w:tc>
          <w:tcPr>
            <w:tcW w:w="4253" w:type="dxa"/>
            <w:vAlign w:val="center"/>
          </w:tcPr>
          <w:p w:rsidR="005545A5" w:rsidRPr="004D451D" w:rsidRDefault="005545A5" w:rsidP="005545A5">
            <w:pPr>
              <w:widowControl/>
              <w:rPr>
                <w:rFonts w:eastAsia="標楷體"/>
                <w:kern w:val="0"/>
                <w:sz w:val="20"/>
                <w:szCs w:val="20"/>
              </w:rPr>
            </w:pPr>
            <w:r w:rsidRPr="004D451D">
              <w:rPr>
                <w:rFonts w:ascii="Garamond" w:eastAsia="標楷體" w:hAnsi="標楷體" w:cs="新細明體" w:hint="eastAsia"/>
                <w:kern w:val="0"/>
                <w:sz w:val="20"/>
                <w:szCs w:val="20"/>
              </w:rPr>
              <w:t>第二類資本法定調整</w:t>
            </w:r>
            <w:r w:rsidRPr="004D451D">
              <w:rPr>
                <w:rFonts w:ascii="Garamond" w:eastAsia="標楷體" w:hAnsi="標楷體" w:cs="新細明體" w:hint="eastAsia"/>
                <w:bCs/>
                <w:kern w:val="0"/>
                <w:sz w:val="20"/>
                <w:szCs w:val="20"/>
              </w:rPr>
              <w:t>合計數</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第</w:t>
            </w:r>
            <w:r w:rsidRPr="004D451D">
              <w:rPr>
                <w:rFonts w:eastAsia="標楷體"/>
                <w:bCs/>
                <w:kern w:val="0"/>
                <w:sz w:val="20"/>
                <w:szCs w:val="20"/>
              </w:rPr>
              <w:t>52</w:t>
            </w:r>
            <w:r w:rsidRPr="004D451D">
              <w:rPr>
                <w:rFonts w:eastAsia="標楷體" w:hAnsi="標楷體" w:hint="eastAsia"/>
                <w:bCs/>
                <w:kern w:val="0"/>
                <w:sz w:val="20"/>
                <w:szCs w:val="20"/>
              </w:rPr>
              <w:t>列至第</w:t>
            </w:r>
            <w:r w:rsidRPr="004D451D">
              <w:rPr>
                <w:rFonts w:eastAsia="標楷體"/>
                <w:bCs/>
                <w:kern w:val="0"/>
                <w:sz w:val="20"/>
                <w:szCs w:val="20"/>
              </w:rPr>
              <w:t>56</w:t>
            </w:r>
            <w:r w:rsidRPr="004D451D">
              <w:rPr>
                <w:rFonts w:eastAsia="標楷體" w:hAnsi="標楷體" w:hint="eastAsia"/>
                <w:bCs/>
                <w:kern w:val="0"/>
                <w:sz w:val="20"/>
                <w:szCs w:val="20"/>
              </w:rPr>
              <w:t>列之合計數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58</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第二類資本</w:t>
            </w:r>
            <w:r w:rsidRPr="004D451D">
              <w:rPr>
                <w:rFonts w:eastAsia="標楷體"/>
                <w:kern w:val="0"/>
                <w:sz w:val="20"/>
                <w:szCs w:val="20"/>
              </w:rPr>
              <w:t>(T2)</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51</w:t>
            </w:r>
            <w:r w:rsidRPr="004D451D">
              <w:rPr>
                <w:rFonts w:eastAsia="標楷體" w:hAnsi="標楷體" w:hint="eastAsia"/>
                <w:bCs/>
                <w:kern w:val="0"/>
                <w:sz w:val="20"/>
                <w:szCs w:val="20"/>
              </w:rPr>
              <w:t>列減第</w:t>
            </w:r>
            <w:r w:rsidRPr="004D451D">
              <w:rPr>
                <w:rFonts w:eastAsia="標楷體"/>
                <w:bCs/>
                <w:kern w:val="0"/>
                <w:sz w:val="20"/>
                <w:szCs w:val="20"/>
              </w:rPr>
              <w:t>57</w:t>
            </w:r>
            <w:r w:rsidRPr="004D451D">
              <w:rPr>
                <w:rFonts w:eastAsia="標楷體" w:hAnsi="標楷體" w:hint="eastAsia"/>
                <w:bCs/>
                <w:kern w:val="0"/>
                <w:sz w:val="20"/>
                <w:szCs w:val="20"/>
              </w:rPr>
              <w:t>列</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59</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資本總額</w:t>
            </w:r>
            <w:r w:rsidRPr="004D451D">
              <w:rPr>
                <w:rFonts w:eastAsia="標楷體"/>
                <w:kern w:val="0"/>
                <w:sz w:val="20"/>
                <w:szCs w:val="20"/>
              </w:rPr>
              <w:t>(TC=T1+T2)</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45</w:t>
            </w:r>
            <w:r w:rsidRPr="004D451D">
              <w:rPr>
                <w:rFonts w:eastAsia="標楷體" w:hAnsi="標楷體" w:hint="eastAsia"/>
                <w:bCs/>
                <w:kern w:val="0"/>
                <w:sz w:val="20"/>
                <w:szCs w:val="20"/>
              </w:rPr>
              <w:t>列加第</w:t>
            </w:r>
            <w:r w:rsidRPr="004D451D">
              <w:rPr>
                <w:rFonts w:eastAsia="標楷體"/>
                <w:bCs/>
                <w:kern w:val="0"/>
                <w:sz w:val="20"/>
                <w:szCs w:val="20"/>
              </w:rPr>
              <w:t>58</w:t>
            </w:r>
            <w:r w:rsidRPr="004D451D">
              <w:rPr>
                <w:rFonts w:eastAsia="標楷體" w:hAnsi="標楷體" w:hint="eastAsia"/>
                <w:bCs/>
                <w:kern w:val="0"/>
                <w:sz w:val="20"/>
                <w:szCs w:val="20"/>
              </w:rPr>
              <w:t>列合計數</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60</w:t>
            </w:r>
          </w:p>
        </w:tc>
        <w:tc>
          <w:tcPr>
            <w:tcW w:w="4253" w:type="dxa"/>
            <w:vAlign w:val="center"/>
          </w:tcPr>
          <w:p w:rsidR="005545A5" w:rsidRPr="004D451D" w:rsidRDefault="005545A5" w:rsidP="005545A5">
            <w:pPr>
              <w:widowControl/>
              <w:rPr>
                <w:rFonts w:eastAsia="標楷體"/>
                <w:kern w:val="0"/>
                <w:sz w:val="20"/>
                <w:szCs w:val="20"/>
              </w:rPr>
            </w:pPr>
            <w:r w:rsidRPr="004D451D">
              <w:rPr>
                <w:rFonts w:ascii="Garamond" w:eastAsia="標楷體" w:hAnsi="標楷體" w:cs="新細明體" w:hint="eastAsia"/>
                <w:kern w:val="0"/>
                <w:sz w:val="20"/>
                <w:szCs w:val="20"/>
              </w:rPr>
              <w:t>加權風險性資產總</w:t>
            </w:r>
            <w:r w:rsidRPr="004D451D">
              <w:rPr>
                <w:rFonts w:ascii="Garamond" w:eastAsia="標楷體" w:hAnsi="標楷體" w:cs="新細明體" w:hint="eastAsia"/>
                <w:bCs/>
                <w:kern w:val="0"/>
                <w:sz w:val="20"/>
                <w:szCs w:val="20"/>
              </w:rPr>
              <w:t>額</w:t>
            </w:r>
          </w:p>
        </w:tc>
        <w:tc>
          <w:tcPr>
            <w:tcW w:w="6281" w:type="dxa"/>
            <w:vAlign w:val="center"/>
          </w:tcPr>
          <w:p w:rsidR="005545A5" w:rsidRPr="004D451D" w:rsidRDefault="005545A5" w:rsidP="005545A5">
            <w:pPr>
              <w:widowControl/>
              <w:rPr>
                <w:rFonts w:eastAsia="標楷體"/>
                <w:bCs/>
                <w:kern w:val="0"/>
                <w:sz w:val="20"/>
                <w:szCs w:val="20"/>
              </w:rPr>
            </w:pP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資本比率</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61</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普通股權益第一類資本比率</w:t>
            </w:r>
            <w:r w:rsidRPr="004D451D">
              <w:rPr>
                <w:rFonts w:eastAsia="標楷體" w:hint="eastAsia"/>
                <w:kern w:val="0"/>
                <w:sz w:val="20"/>
                <w:szCs w:val="20"/>
              </w:rPr>
              <w:t>（</w:t>
            </w:r>
            <w:r w:rsidRPr="004D451D">
              <w:rPr>
                <w:rFonts w:eastAsia="標楷體" w:hAnsi="標楷體" w:hint="eastAsia"/>
                <w:kern w:val="0"/>
                <w:sz w:val="20"/>
                <w:szCs w:val="20"/>
              </w:rPr>
              <w:t>占加權風險性資產比率</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29</w:t>
            </w:r>
            <w:r w:rsidRPr="004D451D">
              <w:rPr>
                <w:rFonts w:eastAsia="標楷體" w:hAnsi="標楷體" w:hint="eastAsia"/>
                <w:bCs/>
                <w:kern w:val="0"/>
                <w:sz w:val="20"/>
                <w:szCs w:val="20"/>
              </w:rPr>
              <w:t>列除以第</w:t>
            </w:r>
            <w:r w:rsidRPr="004D451D">
              <w:rPr>
                <w:rFonts w:eastAsia="標楷體"/>
                <w:bCs/>
                <w:kern w:val="0"/>
                <w:sz w:val="20"/>
                <w:szCs w:val="20"/>
              </w:rPr>
              <w:t>60</w:t>
            </w:r>
            <w:r w:rsidRPr="004D451D">
              <w:rPr>
                <w:rFonts w:eastAsia="標楷體" w:hAnsi="標楷體" w:hint="eastAsia"/>
                <w:bCs/>
                <w:kern w:val="0"/>
                <w:sz w:val="20"/>
                <w:szCs w:val="20"/>
              </w:rPr>
              <w:t>列</w:t>
            </w:r>
            <w:r w:rsidRPr="004D451D">
              <w:rPr>
                <w:rFonts w:eastAsia="標楷體" w:hint="eastAsia"/>
                <w:bCs/>
                <w:kern w:val="0"/>
                <w:sz w:val="20"/>
                <w:szCs w:val="20"/>
              </w:rPr>
              <w:t>（</w:t>
            </w:r>
            <w:r w:rsidRPr="004D451D">
              <w:rPr>
                <w:rFonts w:eastAsia="標楷體" w:hAnsi="標楷體" w:hint="eastAsia"/>
                <w:bCs/>
                <w:kern w:val="0"/>
                <w:sz w:val="20"/>
                <w:szCs w:val="20"/>
              </w:rPr>
              <w:t>比率表示</w:t>
            </w:r>
            <w:r w:rsidRPr="004D451D">
              <w:rPr>
                <w:rFonts w:eastAsia="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62</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第一類資本比率</w:t>
            </w:r>
            <w:r w:rsidRPr="004D451D">
              <w:rPr>
                <w:rFonts w:eastAsia="標楷體" w:hint="eastAsia"/>
                <w:kern w:val="0"/>
                <w:sz w:val="20"/>
                <w:szCs w:val="20"/>
              </w:rPr>
              <w:t>（</w:t>
            </w:r>
            <w:r w:rsidRPr="004D451D">
              <w:rPr>
                <w:rFonts w:eastAsia="標楷體" w:hAnsi="標楷體" w:hint="eastAsia"/>
                <w:kern w:val="0"/>
                <w:sz w:val="20"/>
                <w:szCs w:val="20"/>
              </w:rPr>
              <w:t>占加權風險性資產比率</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等於第</w:t>
            </w:r>
            <w:r w:rsidRPr="004D451D">
              <w:rPr>
                <w:rFonts w:eastAsia="標楷體"/>
                <w:bCs/>
                <w:kern w:val="0"/>
                <w:sz w:val="20"/>
                <w:szCs w:val="20"/>
              </w:rPr>
              <w:t>45</w:t>
            </w:r>
            <w:r w:rsidRPr="004D451D">
              <w:rPr>
                <w:rFonts w:eastAsia="標楷體" w:hAnsi="標楷體" w:hint="eastAsia"/>
                <w:bCs/>
                <w:kern w:val="0"/>
                <w:sz w:val="20"/>
                <w:szCs w:val="20"/>
              </w:rPr>
              <w:t>列除以第</w:t>
            </w:r>
            <w:r w:rsidRPr="004D451D">
              <w:rPr>
                <w:rFonts w:eastAsia="標楷體"/>
                <w:bCs/>
                <w:kern w:val="0"/>
                <w:sz w:val="20"/>
                <w:szCs w:val="20"/>
              </w:rPr>
              <w:t>60</w:t>
            </w:r>
            <w:r w:rsidRPr="004D451D">
              <w:rPr>
                <w:rFonts w:eastAsia="標楷體" w:hAnsi="標楷體" w:hint="eastAsia"/>
                <w:bCs/>
                <w:kern w:val="0"/>
                <w:sz w:val="20"/>
                <w:szCs w:val="20"/>
              </w:rPr>
              <w:t>列</w:t>
            </w:r>
            <w:r w:rsidRPr="004D451D">
              <w:rPr>
                <w:rFonts w:eastAsia="標楷體" w:hint="eastAsia"/>
                <w:bCs/>
                <w:kern w:val="0"/>
                <w:sz w:val="20"/>
                <w:szCs w:val="20"/>
              </w:rPr>
              <w:t>（</w:t>
            </w:r>
            <w:r w:rsidRPr="004D451D">
              <w:rPr>
                <w:rFonts w:eastAsia="標楷體" w:hAnsi="標楷體" w:hint="eastAsia"/>
                <w:bCs/>
                <w:kern w:val="0"/>
                <w:sz w:val="20"/>
                <w:szCs w:val="20"/>
              </w:rPr>
              <w:t>比率表示</w:t>
            </w:r>
            <w:r w:rsidRPr="004D451D">
              <w:rPr>
                <w:rFonts w:eastAsia="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63</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總資本比率</w:t>
            </w:r>
            <w:r w:rsidRPr="004D451D">
              <w:rPr>
                <w:rFonts w:eastAsia="標楷體" w:hint="eastAsia"/>
                <w:kern w:val="0"/>
                <w:sz w:val="20"/>
                <w:szCs w:val="20"/>
              </w:rPr>
              <w:t>（</w:t>
            </w:r>
            <w:r w:rsidRPr="004D451D">
              <w:rPr>
                <w:rFonts w:eastAsia="標楷體" w:hAnsi="標楷體" w:hint="eastAsia"/>
                <w:kern w:val="0"/>
                <w:sz w:val="20"/>
                <w:szCs w:val="20"/>
              </w:rPr>
              <w:t>占加權風險性資產比率</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等於</w:t>
            </w:r>
            <w:r w:rsidRPr="004D451D">
              <w:rPr>
                <w:rFonts w:eastAsia="標楷體"/>
                <w:bCs/>
                <w:kern w:val="0"/>
                <w:sz w:val="20"/>
                <w:szCs w:val="20"/>
              </w:rPr>
              <w:t>59</w:t>
            </w:r>
            <w:r w:rsidRPr="004D451D">
              <w:rPr>
                <w:rFonts w:eastAsia="標楷體" w:hAnsi="標楷體" w:hint="eastAsia"/>
                <w:bCs/>
                <w:kern w:val="0"/>
                <w:sz w:val="20"/>
                <w:szCs w:val="20"/>
              </w:rPr>
              <w:t>列除以</w:t>
            </w:r>
            <w:r w:rsidRPr="004D451D">
              <w:rPr>
                <w:rFonts w:eastAsia="標楷體"/>
                <w:bCs/>
                <w:kern w:val="0"/>
                <w:sz w:val="20"/>
                <w:szCs w:val="20"/>
              </w:rPr>
              <w:t>60</w:t>
            </w:r>
            <w:r w:rsidRPr="004D451D">
              <w:rPr>
                <w:rFonts w:eastAsia="標楷體" w:hAnsi="標楷體" w:hint="eastAsia"/>
                <w:bCs/>
                <w:kern w:val="0"/>
                <w:sz w:val="20"/>
                <w:szCs w:val="20"/>
              </w:rPr>
              <w:t>列</w:t>
            </w:r>
            <w:r w:rsidRPr="004D451D">
              <w:rPr>
                <w:rFonts w:eastAsia="標楷體" w:hint="eastAsia"/>
                <w:bCs/>
                <w:kern w:val="0"/>
                <w:sz w:val="20"/>
                <w:szCs w:val="20"/>
              </w:rPr>
              <w:t>（</w:t>
            </w:r>
            <w:r w:rsidRPr="004D451D">
              <w:rPr>
                <w:rFonts w:eastAsia="標楷體" w:hAnsi="標楷體" w:hint="eastAsia"/>
                <w:bCs/>
                <w:kern w:val="0"/>
                <w:sz w:val="20"/>
                <w:szCs w:val="20"/>
              </w:rPr>
              <w:t>比率表示</w:t>
            </w:r>
            <w:r w:rsidRPr="004D451D">
              <w:rPr>
                <w:rFonts w:eastAsia="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64</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機構特定緩衝資本比率</w:t>
            </w:r>
            <w:r w:rsidRPr="004D451D">
              <w:rPr>
                <w:rFonts w:eastAsia="標楷體" w:hint="eastAsia"/>
                <w:kern w:val="0"/>
                <w:sz w:val="20"/>
                <w:szCs w:val="20"/>
              </w:rPr>
              <w:t>（</w:t>
            </w:r>
            <w:r w:rsidRPr="004D451D">
              <w:rPr>
                <w:rFonts w:eastAsia="標楷體" w:hAnsi="標楷體" w:hint="eastAsia"/>
                <w:kern w:val="0"/>
                <w:sz w:val="20"/>
                <w:szCs w:val="20"/>
              </w:rPr>
              <w:t>最低普通股權益第一類資本</w:t>
            </w:r>
            <w:r w:rsidRPr="004D451D">
              <w:rPr>
                <w:rFonts w:eastAsia="標楷體"/>
                <w:kern w:val="0"/>
                <w:sz w:val="20"/>
                <w:szCs w:val="20"/>
              </w:rPr>
              <w:t>+</w:t>
            </w:r>
            <w:r w:rsidRPr="004D451D">
              <w:rPr>
                <w:rFonts w:eastAsia="標楷體" w:hAnsi="標楷體" w:hint="eastAsia"/>
                <w:kern w:val="0"/>
                <w:sz w:val="20"/>
                <w:szCs w:val="20"/>
              </w:rPr>
              <w:t>留存緩衝資本</w:t>
            </w:r>
            <w:r w:rsidRPr="004D451D">
              <w:rPr>
                <w:rFonts w:eastAsia="標楷體"/>
                <w:kern w:val="0"/>
                <w:sz w:val="20"/>
                <w:szCs w:val="20"/>
              </w:rPr>
              <w:t>+</w:t>
            </w:r>
            <w:r w:rsidRPr="004D451D">
              <w:rPr>
                <w:rFonts w:eastAsia="標楷體" w:hAnsi="標楷體" w:hint="eastAsia"/>
                <w:kern w:val="0"/>
                <w:sz w:val="20"/>
                <w:szCs w:val="20"/>
              </w:rPr>
              <w:t>抗景氣循環緩衝資本</w:t>
            </w:r>
            <w:r w:rsidRPr="004D451D">
              <w:rPr>
                <w:rFonts w:eastAsia="標楷體"/>
                <w:kern w:val="0"/>
                <w:sz w:val="20"/>
                <w:szCs w:val="20"/>
              </w:rPr>
              <w:t>+</w:t>
            </w:r>
            <w:r w:rsidRPr="004D451D">
              <w:rPr>
                <w:rFonts w:eastAsia="標楷體" w:hAnsi="標楷體" w:hint="eastAsia"/>
                <w:kern w:val="0"/>
                <w:sz w:val="20"/>
                <w:szCs w:val="20"/>
              </w:rPr>
              <w:t>全球型系統性重要銀行緩衝資本等，占加權風險性資產比率</w:t>
            </w:r>
            <w:r w:rsidRPr="004D451D">
              <w:rPr>
                <w:rFonts w:eastAsia="標楷體" w:hint="eastAsia"/>
                <w:kern w:val="0"/>
                <w:sz w:val="20"/>
                <w:szCs w:val="20"/>
              </w:rPr>
              <w:t>）</w:t>
            </w:r>
          </w:p>
        </w:tc>
        <w:tc>
          <w:tcPr>
            <w:tcW w:w="6281" w:type="dxa"/>
          </w:tcPr>
          <w:p w:rsidR="005545A5" w:rsidRPr="004D451D" w:rsidRDefault="005545A5" w:rsidP="005545A5">
            <w:pPr>
              <w:widowControl/>
              <w:jc w:val="both"/>
              <w:rPr>
                <w:rFonts w:eastAsia="標楷體"/>
                <w:bCs/>
                <w:kern w:val="0"/>
                <w:sz w:val="20"/>
                <w:szCs w:val="20"/>
              </w:rPr>
            </w:pPr>
            <w:r w:rsidRPr="004D451D">
              <w:rPr>
                <w:rFonts w:eastAsia="標楷體" w:hAnsi="標楷體" w:hint="eastAsia"/>
                <w:bCs/>
                <w:kern w:val="0"/>
                <w:sz w:val="20"/>
                <w:szCs w:val="20"/>
              </w:rPr>
              <w:t>依【銀行自有資本與風險性資產之計算方法說明及表格修正總說明】、【銀行資本適足性及資本等級管理辦法修正條文】第</w:t>
            </w:r>
            <w:r w:rsidRPr="004D451D">
              <w:rPr>
                <w:rFonts w:eastAsia="標楷體" w:hAnsi="標楷體"/>
                <w:bCs/>
                <w:kern w:val="0"/>
                <w:sz w:val="20"/>
                <w:szCs w:val="20"/>
              </w:rPr>
              <w:t>5</w:t>
            </w:r>
            <w:r w:rsidRPr="004D451D">
              <w:rPr>
                <w:rFonts w:eastAsia="標楷體" w:hAnsi="標楷體" w:hint="eastAsia"/>
                <w:bCs/>
                <w:kern w:val="0"/>
                <w:sz w:val="20"/>
                <w:szCs w:val="20"/>
              </w:rPr>
              <w:t>條說明填寫</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65</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kern w:val="0"/>
                <w:sz w:val="20"/>
                <w:szCs w:val="20"/>
              </w:rPr>
              <w:t xml:space="preserve">  </w:t>
            </w:r>
            <w:r w:rsidRPr="004D451D">
              <w:rPr>
                <w:rFonts w:eastAsia="標楷體" w:hAnsi="標楷體" w:hint="eastAsia"/>
                <w:kern w:val="0"/>
                <w:sz w:val="20"/>
                <w:szCs w:val="20"/>
              </w:rPr>
              <w:t>其中</w:t>
            </w:r>
            <w:r w:rsidRPr="004D451D">
              <w:rPr>
                <w:rFonts w:eastAsia="標楷體" w:hint="eastAsia"/>
                <w:kern w:val="0"/>
                <w:sz w:val="20"/>
                <w:szCs w:val="20"/>
              </w:rPr>
              <w:t>：</w:t>
            </w:r>
            <w:r w:rsidRPr="004D451D">
              <w:rPr>
                <w:rFonts w:eastAsia="標楷體" w:hAnsi="標楷體" w:hint="eastAsia"/>
                <w:kern w:val="0"/>
                <w:sz w:val="20"/>
                <w:szCs w:val="20"/>
              </w:rPr>
              <w:t>留存緩衝資本比率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主管機關規定比率</w:t>
            </w:r>
            <w:r w:rsidRPr="004D451D">
              <w:rPr>
                <w:rFonts w:ascii="標楷體" w:eastAsia="標楷體" w:hAnsi="標楷體" w:hint="eastAsia"/>
                <w:bCs/>
                <w:kern w:val="0"/>
                <w:sz w:val="20"/>
                <w:szCs w:val="20"/>
              </w:rPr>
              <w:t>［</w:t>
            </w:r>
            <w:r w:rsidRPr="004D451D">
              <w:rPr>
                <w:rFonts w:eastAsia="標楷體" w:hAnsi="標楷體" w:hint="eastAsia"/>
                <w:b/>
                <w:bCs/>
                <w:kern w:val="0"/>
                <w:sz w:val="20"/>
                <w:szCs w:val="20"/>
              </w:rPr>
              <w:t>自</w:t>
            </w:r>
            <w:r w:rsidRPr="004D451D">
              <w:rPr>
                <w:rFonts w:eastAsia="標楷體"/>
                <w:b/>
                <w:bCs/>
                <w:kern w:val="0"/>
                <w:sz w:val="20"/>
                <w:szCs w:val="20"/>
              </w:rPr>
              <w:t>105</w:t>
            </w:r>
            <w:r w:rsidRPr="004D451D">
              <w:rPr>
                <w:rFonts w:eastAsia="標楷體" w:hAnsi="標楷體" w:hint="eastAsia"/>
                <w:b/>
                <w:bCs/>
                <w:kern w:val="0"/>
                <w:sz w:val="20"/>
                <w:szCs w:val="20"/>
              </w:rPr>
              <w:t>年</w:t>
            </w:r>
            <w:r w:rsidRPr="004D451D">
              <w:rPr>
                <w:rFonts w:eastAsia="標楷體"/>
                <w:b/>
                <w:bCs/>
                <w:kern w:val="0"/>
                <w:sz w:val="20"/>
                <w:szCs w:val="20"/>
              </w:rPr>
              <w:t>1</w:t>
            </w:r>
            <w:r w:rsidRPr="004D451D">
              <w:rPr>
                <w:rFonts w:eastAsia="標楷體" w:hAnsi="標楷體" w:hint="eastAsia"/>
                <w:b/>
                <w:bCs/>
                <w:kern w:val="0"/>
                <w:sz w:val="20"/>
                <w:szCs w:val="20"/>
              </w:rPr>
              <w:t>月</w:t>
            </w:r>
            <w:r w:rsidRPr="004D451D">
              <w:rPr>
                <w:rFonts w:eastAsia="標楷體"/>
                <w:b/>
                <w:bCs/>
                <w:kern w:val="0"/>
                <w:sz w:val="20"/>
                <w:szCs w:val="20"/>
              </w:rPr>
              <w:t>1</w:t>
            </w:r>
            <w:r w:rsidRPr="004D451D">
              <w:rPr>
                <w:rFonts w:eastAsia="標楷體" w:hAnsi="標楷體" w:hint="eastAsia"/>
                <w:b/>
                <w:bCs/>
                <w:kern w:val="0"/>
                <w:sz w:val="20"/>
                <w:szCs w:val="20"/>
              </w:rPr>
              <w:t>日後才需填寫</w:t>
            </w:r>
            <w:r w:rsidRPr="004D451D">
              <w:rPr>
                <w:rFonts w:ascii="標楷體" w:eastAsia="標楷體" w:hAnsi="標楷體" w:hint="eastAsia"/>
                <w:bCs/>
                <w:kern w:val="0"/>
                <w:sz w:val="20"/>
                <w:szCs w:val="20"/>
              </w:rPr>
              <w:t>，銀</w:t>
            </w:r>
            <w:r w:rsidRPr="004D451D">
              <w:rPr>
                <w:rFonts w:eastAsia="標楷體" w:hAnsi="標楷體" w:hint="eastAsia"/>
                <w:bCs/>
                <w:kern w:val="0"/>
                <w:sz w:val="20"/>
                <w:szCs w:val="20"/>
              </w:rPr>
              <w:t>行於</w:t>
            </w:r>
            <w:r w:rsidRPr="004D451D">
              <w:rPr>
                <w:rFonts w:eastAsia="標楷體" w:hAnsi="標楷體"/>
                <w:bCs/>
                <w:kern w:val="0"/>
                <w:sz w:val="20"/>
                <w:szCs w:val="20"/>
              </w:rPr>
              <w:t>105</w:t>
            </w:r>
            <w:r w:rsidRPr="004D451D">
              <w:rPr>
                <w:rFonts w:eastAsia="標楷體" w:hAnsi="標楷體" w:hint="eastAsia"/>
                <w:bCs/>
                <w:kern w:val="0"/>
                <w:sz w:val="20"/>
                <w:szCs w:val="20"/>
              </w:rPr>
              <w:t>年開始應分年逐步遞增至</w:t>
            </w:r>
            <w:r w:rsidRPr="004D451D">
              <w:rPr>
                <w:rFonts w:eastAsia="標楷體" w:hAnsi="標楷體"/>
                <w:bCs/>
                <w:kern w:val="0"/>
                <w:sz w:val="20"/>
                <w:szCs w:val="20"/>
              </w:rPr>
              <w:t>2.5%</w:t>
            </w:r>
            <w:r w:rsidRPr="004D451D">
              <w:rPr>
                <w:rFonts w:eastAsia="標楷體" w:hAnsi="標楷體" w:hint="eastAsia"/>
                <w:bCs/>
                <w:kern w:val="0"/>
                <w:sz w:val="20"/>
                <w:szCs w:val="20"/>
              </w:rPr>
              <w:t>之比率（即</w:t>
            </w:r>
            <w:r w:rsidRPr="004D451D">
              <w:rPr>
                <w:rFonts w:eastAsia="標楷體" w:hAnsi="標楷體"/>
                <w:bCs/>
                <w:kern w:val="0"/>
                <w:sz w:val="20"/>
                <w:szCs w:val="20"/>
              </w:rPr>
              <w:t>105</w:t>
            </w:r>
            <w:r w:rsidRPr="004D451D">
              <w:rPr>
                <w:rFonts w:eastAsia="標楷體" w:hAnsi="標楷體" w:hint="eastAsia"/>
                <w:bCs/>
                <w:kern w:val="0"/>
                <w:sz w:val="20"/>
                <w:szCs w:val="20"/>
              </w:rPr>
              <w:t>年</w:t>
            </w:r>
            <w:r w:rsidRPr="004D451D">
              <w:rPr>
                <w:rFonts w:eastAsia="標楷體" w:hAnsi="標楷體"/>
                <w:bCs/>
                <w:kern w:val="0"/>
                <w:sz w:val="20"/>
                <w:szCs w:val="20"/>
              </w:rPr>
              <w:t>0.625%</w:t>
            </w:r>
            <w:r w:rsidRPr="004D451D">
              <w:rPr>
                <w:rFonts w:eastAsia="標楷體" w:hAnsi="標楷體" w:hint="eastAsia"/>
                <w:bCs/>
                <w:kern w:val="0"/>
                <w:sz w:val="20"/>
                <w:szCs w:val="20"/>
              </w:rPr>
              <w:t>、</w:t>
            </w:r>
            <w:r w:rsidRPr="004D451D">
              <w:rPr>
                <w:rFonts w:eastAsia="標楷體" w:hAnsi="標楷體"/>
                <w:bCs/>
                <w:kern w:val="0"/>
                <w:sz w:val="20"/>
                <w:szCs w:val="20"/>
              </w:rPr>
              <w:t>106</w:t>
            </w:r>
            <w:r w:rsidRPr="004D451D">
              <w:rPr>
                <w:rFonts w:eastAsia="標楷體" w:hAnsi="標楷體" w:hint="eastAsia"/>
                <w:bCs/>
                <w:kern w:val="0"/>
                <w:sz w:val="20"/>
                <w:szCs w:val="20"/>
              </w:rPr>
              <w:t>年</w:t>
            </w:r>
            <w:r w:rsidRPr="004D451D">
              <w:rPr>
                <w:rFonts w:eastAsia="標楷體" w:hAnsi="標楷體"/>
                <w:bCs/>
                <w:kern w:val="0"/>
                <w:sz w:val="20"/>
                <w:szCs w:val="20"/>
              </w:rPr>
              <w:t>1.25%</w:t>
            </w:r>
            <w:r w:rsidRPr="004D451D">
              <w:rPr>
                <w:rFonts w:eastAsia="標楷體" w:hAnsi="標楷體" w:hint="eastAsia"/>
                <w:bCs/>
                <w:kern w:val="0"/>
                <w:sz w:val="20"/>
                <w:szCs w:val="20"/>
              </w:rPr>
              <w:t>及</w:t>
            </w:r>
            <w:r w:rsidRPr="004D451D">
              <w:rPr>
                <w:rFonts w:eastAsia="標楷體" w:hAnsi="標楷體"/>
                <w:bCs/>
                <w:kern w:val="0"/>
                <w:sz w:val="20"/>
                <w:szCs w:val="20"/>
              </w:rPr>
              <w:t>107</w:t>
            </w:r>
            <w:r w:rsidRPr="004D451D">
              <w:rPr>
                <w:rFonts w:eastAsia="標楷體" w:hAnsi="標楷體" w:hint="eastAsia"/>
                <w:bCs/>
                <w:kern w:val="0"/>
                <w:sz w:val="20"/>
                <w:szCs w:val="20"/>
              </w:rPr>
              <w:t>年</w:t>
            </w:r>
            <w:r w:rsidRPr="004D451D">
              <w:rPr>
                <w:rFonts w:eastAsia="標楷體" w:hAnsi="標楷體"/>
                <w:bCs/>
                <w:kern w:val="0"/>
                <w:sz w:val="20"/>
                <w:szCs w:val="20"/>
              </w:rPr>
              <w:t>1.875%</w:t>
            </w:r>
            <w:r w:rsidRPr="004D451D">
              <w:rPr>
                <w:rFonts w:eastAsia="標楷體" w:hAnsi="標楷體" w:hint="eastAsia"/>
                <w:bCs/>
                <w:kern w:val="0"/>
                <w:sz w:val="20"/>
                <w:szCs w:val="20"/>
              </w:rPr>
              <w:t>）</w:t>
            </w:r>
            <w:r w:rsidRPr="004D451D">
              <w:rPr>
                <w:rFonts w:ascii="標楷體" w:eastAsia="標楷體" w:hAnsi="標楷體" w:hint="eastAsia"/>
                <w:bCs/>
                <w:kern w:val="0"/>
                <w:sz w:val="20"/>
                <w:szCs w:val="20"/>
              </w:rPr>
              <w:t>］</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66</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kern w:val="0"/>
                <w:sz w:val="20"/>
                <w:szCs w:val="20"/>
              </w:rPr>
              <w:t xml:space="preserve">  </w:t>
            </w:r>
            <w:r w:rsidRPr="004D451D">
              <w:rPr>
                <w:rFonts w:eastAsia="標楷體" w:hAnsi="標楷體" w:hint="eastAsia"/>
                <w:kern w:val="0"/>
                <w:sz w:val="20"/>
                <w:szCs w:val="20"/>
              </w:rPr>
              <w:t>其中</w:t>
            </w:r>
            <w:r w:rsidRPr="004D451D">
              <w:rPr>
                <w:rFonts w:eastAsia="標楷體" w:hint="eastAsia"/>
                <w:kern w:val="0"/>
                <w:sz w:val="20"/>
                <w:szCs w:val="20"/>
              </w:rPr>
              <w:t>：</w:t>
            </w:r>
            <w:r w:rsidRPr="004D451D">
              <w:rPr>
                <w:rFonts w:eastAsia="標楷體" w:hAnsi="標楷體" w:hint="eastAsia"/>
                <w:kern w:val="0"/>
                <w:sz w:val="20"/>
                <w:szCs w:val="20"/>
              </w:rPr>
              <w:t>抗景氣循環緩衝資本比率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俟主管機關規範後填寫</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67</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kern w:val="0"/>
                <w:sz w:val="20"/>
                <w:szCs w:val="20"/>
              </w:rPr>
              <w:t xml:space="preserve">  </w:t>
            </w:r>
            <w:r w:rsidRPr="004D451D">
              <w:rPr>
                <w:rFonts w:eastAsia="標楷體" w:hAnsi="標楷體" w:hint="eastAsia"/>
                <w:kern w:val="0"/>
                <w:sz w:val="20"/>
                <w:szCs w:val="20"/>
              </w:rPr>
              <w:t>其中</w:t>
            </w:r>
            <w:r w:rsidRPr="004D451D">
              <w:rPr>
                <w:rFonts w:eastAsia="標楷體" w:hint="eastAsia"/>
                <w:kern w:val="0"/>
                <w:sz w:val="20"/>
                <w:szCs w:val="20"/>
              </w:rPr>
              <w:t>：</w:t>
            </w:r>
            <w:r w:rsidRPr="004D451D">
              <w:rPr>
                <w:rFonts w:eastAsia="標楷體" w:hAnsi="標楷體" w:hint="eastAsia"/>
                <w:kern w:val="0"/>
                <w:sz w:val="20"/>
                <w:szCs w:val="20"/>
              </w:rPr>
              <w:t>全球型系統性重要銀行緩衝資本比率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如銀行有被</w:t>
            </w:r>
            <w:r w:rsidRPr="004D451D">
              <w:rPr>
                <w:rFonts w:eastAsia="標楷體" w:hAnsi="標楷體"/>
                <w:bCs/>
                <w:kern w:val="0"/>
                <w:sz w:val="20"/>
                <w:szCs w:val="20"/>
              </w:rPr>
              <w:t>FSB</w:t>
            </w:r>
            <w:r w:rsidRPr="004D451D">
              <w:rPr>
                <w:rFonts w:eastAsia="標楷體" w:hAnsi="標楷體" w:hint="eastAsia"/>
                <w:bCs/>
                <w:kern w:val="0"/>
                <w:sz w:val="20"/>
                <w:szCs w:val="20"/>
              </w:rPr>
              <w:t>及</w:t>
            </w:r>
            <w:r w:rsidRPr="004D451D">
              <w:rPr>
                <w:rFonts w:eastAsia="標楷體" w:hAnsi="標楷體"/>
                <w:bCs/>
                <w:kern w:val="0"/>
                <w:sz w:val="20"/>
                <w:szCs w:val="20"/>
              </w:rPr>
              <w:t>BCBS</w:t>
            </w:r>
            <w:r w:rsidRPr="004D451D">
              <w:rPr>
                <w:rFonts w:eastAsia="標楷體" w:hAnsi="標楷體" w:hint="eastAsia"/>
                <w:bCs/>
                <w:kern w:val="0"/>
                <w:sz w:val="20"/>
                <w:szCs w:val="20"/>
              </w:rPr>
              <w:t>評為全球型系統性重要銀行，始須填列</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68</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普通股權益第一類資本用於留存緩衝比率</w:t>
            </w:r>
            <w:r w:rsidRPr="004D451D">
              <w:rPr>
                <w:rFonts w:eastAsia="標楷體" w:hint="eastAsia"/>
                <w:kern w:val="0"/>
                <w:sz w:val="20"/>
                <w:szCs w:val="20"/>
              </w:rPr>
              <w:t>（</w:t>
            </w:r>
            <w:r w:rsidRPr="004D451D">
              <w:rPr>
                <w:rFonts w:eastAsia="標楷體" w:hAnsi="標楷體" w:hint="eastAsia"/>
                <w:kern w:val="0"/>
                <w:sz w:val="20"/>
                <w:szCs w:val="20"/>
              </w:rPr>
              <w:t>占加權風險性資產比率</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bookmarkStart w:id="1" w:name="OLE_LINK5"/>
            <w:r w:rsidRPr="004D451D">
              <w:rPr>
                <w:rFonts w:eastAsia="標楷體" w:hAnsi="標楷體" w:hint="eastAsia"/>
                <w:bCs/>
                <w:kern w:val="0"/>
                <w:sz w:val="20"/>
                <w:szCs w:val="20"/>
              </w:rPr>
              <w:t>普通股權益第一類資本比率減去其用以滿足第一類資本及總資本要求之比率，即銀行實際緩衝比率（</w:t>
            </w:r>
            <w:r w:rsidRPr="004D451D">
              <w:rPr>
                <w:rFonts w:eastAsia="標楷體" w:hAnsi="標楷體" w:hint="eastAsia"/>
                <w:b/>
                <w:bCs/>
                <w:kern w:val="0"/>
                <w:sz w:val="20"/>
                <w:szCs w:val="20"/>
              </w:rPr>
              <w:t>自</w:t>
            </w:r>
            <w:r w:rsidRPr="004D451D">
              <w:rPr>
                <w:rFonts w:eastAsia="標楷體" w:hAnsi="標楷體"/>
                <w:b/>
                <w:bCs/>
                <w:kern w:val="0"/>
                <w:sz w:val="20"/>
                <w:szCs w:val="20"/>
              </w:rPr>
              <w:t>105</w:t>
            </w:r>
            <w:r w:rsidRPr="004D451D">
              <w:rPr>
                <w:rFonts w:eastAsia="標楷體" w:hAnsi="標楷體" w:hint="eastAsia"/>
                <w:b/>
                <w:bCs/>
                <w:kern w:val="0"/>
                <w:sz w:val="20"/>
                <w:szCs w:val="20"/>
              </w:rPr>
              <w:t>年</w:t>
            </w:r>
            <w:r w:rsidRPr="004D451D">
              <w:rPr>
                <w:rFonts w:eastAsia="標楷體" w:hAnsi="標楷體"/>
                <w:b/>
                <w:bCs/>
                <w:kern w:val="0"/>
                <w:sz w:val="20"/>
                <w:szCs w:val="20"/>
              </w:rPr>
              <w:t>1</w:t>
            </w:r>
            <w:r w:rsidRPr="004D451D">
              <w:rPr>
                <w:rFonts w:eastAsia="標楷體" w:hAnsi="標楷體" w:hint="eastAsia"/>
                <w:b/>
                <w:bCs/>
                <w:kern w:val="0"/>
                <w:sz w:val="20"/>
                <w:szCs w:val="20"/>
              </w:rPr>
              <w:t>月</w:t>
            </w:r>
            <w:r w:rsidRPr="004D451D">
              <w:rPr>
                <w:rFonts w:eastAsia="標楷體" w:hAnsi="標楷體"/>
                <w:b/>
                <w:bCs/>
                <w:kern w:val="0"/>
                <w:sz w:val="20"/>
                <w:szCs w:val="20"/>
              </w:rPr>
              <w:t>1</w:t>
            </w:r>
            <w:r w:rsidRPr="004D451D">
              <w:rPr>
                <w:rFonts w:eastAsia="標楷體" w:hAnsi="標楷體" w:hint="eastAsia"/>
                <w:b/>
                <w:bCs/>
                <w:kern w:val="0"/>
                <w:sz w:val="20"/>
                <w:szCs w:val="20"/>
              </w:rPr>
              <w:t>日後才需填寫</w:t>
            </w:r>
            <w:r w:rsidRPr="004D451D">
              <w:rPr>
                <w:rFonts w:eastAsia="標楷體" w:hAnsi="標楷體" w:hint="eastAsia"/>
                <w:bCs/>
                <w:kern w:val="0"/>
                <w:sz w:val="20"/>
                <w:szCs w:val="20"/>
              </w:rPr>
              <w:t>）</w:t>
            </w:r>
          </w:p>
          <w:p w:rsidR="005545A5" w:rsidRPr="004D451D" w:rsidRDefault="005545A5" w:rsidP="005545A5">
            <w:pPr>
              <w:widowControl/>
              <w:rPr>
                <w:rFonts w:eastAsia="標楷體" w:hAnsi="標楷體"/>
                <w:bCs/>
                <w:kern w:val="0"/>
                <w:sz w:val="20"/>
                <w:szCs w:val="20"/>
              </w:rPr>
            </w:pPr>
            <w:r w:rsidRPr="004D451D">
              <w:rPr>
                <w:rFonts w:eastAsia="標楷體" w:hAnsi="標楷體" w:hint="eastAsia"/>
                <w:b/>
                <w:bCs/>
                <w:kern w:val="0"/>
                <w:sz w:val="20"/>
                <w:szCs w:val="20"/>
              </w:rPr>
              <w:t>範例：</w:t>
            </w:r>
            <w:r w:rsidRPr="004D451D">
              <w:rPr>
                <w:rFonts w:eastAsia="標楷體" w:hAnsi="標楷體" w:hint="eastAsia"/>
                <w:bCs/>
                <w:kern w:val="0"/>
                <w:sz w:val="20"/>
                <w:szCs w:val="20"/>
              </w:rPr>
              <w:t>某銀行</w:t>
            </w:r>
            <w:r w:rsidRPr="004D451D">
              <w:rPr>
                <w:rFonts w:eastAsia="標楷體" w:hAnsi="標楷體"/>
                <w:bCs/>
                <w:kern w:val="0"/>
                <w:sz w:val="20"/>
                <w:szCs w:val="20"/>
              </w:rPr>
              <w:t>105</w:t>
            </w:r>
            <w:r w:rsidRPr="004D451D">
              <w:rPr>
                <w:rFonts w:eastAsia="標楷體" w:hAnsi="標楷體" w:hint="eastAsia"/>
                <w:bCs/>
                <w:kern w:val="0"/>
                <w:sz w:val="20"/>
                <w:szCs w:val="20"/>
              </w:rPr>
              <w:t>年普通股權益第一類資本比率</w:t>
            </w:r>
            <w:r w:rsidRPr="004D451D">
              <w:rPr>
                <w:rFonts w:eastAsia="標楷體" w:hAnsi="標楷體"/>
                <w:bCs/>
                <w:kern w:val="0"/>
                <w:sz w:val="20"/>
                <w:szCs w:val="20"/>
              </w:rPr>
              <w:t>(CET1)7.5%</w:t>
            </w:r>
            <w:r w:rsidRPr="004D451D">
              <w:rPr>
                <w:rFonts w:eastAsia="標楷體" w:hAnsi="標楷體" w:hint="eastAsia"/>
                <w:bCs/>
                <w:kern w:val="0"/>
                <w:sz w:val="20"/>
                <w:szCs w:val="20"/>
              </w:rPr>
              <w:t>、其他第一類資本比率</w:t>
            </w:r>
            <w:r w:rsidRPr="004D451D">
              <w:rPr>
                <w:rFonts w:eastAsia="標楷體" w:hAnsi="標楷體"/>
                <w:bCs/>
                <w:kern w:val="0"/>
                <w:sz w:val="20"/>
                <w:szCs w:val="20"/>
              </w:rPr>
              <w:t>(AT1)0.5%</w:t>
            </w:r>
            <w:r w:rsidRPr="004D451D">
              <w:rPr>
                <w:rFonts w:eastAsia="標楷體" w:hAnsi="標楷體" w:hint="eastAsia"/>
                <w:bCs/>
                <w:kern w:val="0"/>
                <w:sz w:val="20"/>
                <w:szCs w:val="20"/>
              </w:rPr>
              <w:t>、第二類資本</w:t>
            </w:r>
            <w:r w:rsidRPr="004D451D">
              <w:rPr>
                <w:rFonts w:eastAsia="標楷體" w:hAnsi="標楷體"/>
                <w:bCs/>
                <w:kern w:val="0"/>
                <w:sz w:val="20"/>
                <w:szCs w:val="20"/>
              </w:rPr>
              <w:t>(T2)2%</w:t>
            </w:r>
            <w:r w:rsidRPr="004D451D">
              <w:rPr>
                <w:rFonts w:eastAsia="標楷體" w:hAnsi="標楷體" w:hint="eastAsia"/>
                <w:bCs/>
                <w:kern w:val="0"/>
                <w:sz w:val="20"/>
                <w:szCs w:val="20"/>
              </w:rPr>
              <w:t>；</w:t>
            </w:r>
            <w:r w:rsidRPr="004D451D">
              <w:rPr>
                <w:rFonts w:eastAsia="標楷體" w:hAnsi="標楷體"/>
                <w:bCs/>
                <w:kern w:val="0"/>
                <w:sz w:val="20"/>
                <w:szCs w:val="20"/>
              </w:rPr>
              <w:t xml:space="preserve"> </w:t>
            </w:r>
          </w:p>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計算留存緩衝資本比率，應使用</w:t>
            </w:r>
            <w:r w:rsidRPr="004D451D">
              <w:rPr>
                <w:rFonts w:eastAsia="標楷體" w:hAnsi="標楷體"/>
                <w:bCs/>
                <w:kern w:val="0"/>
                <w:sz w:val="20"/>
                <w:szCs w:val="20"/>
              </w:rPr>
              <w:t>104</w:t>
            </w:r>
            <w:r w:rsidRPr="004D451D">
              <w:rPr>
                <w:rFonts w:eastAsia="標楷體" w:hAnsi="標楷體" w:hint="eastAsia"/>
                <w:bCs/>
                <w:kern w:val="0"/>
                <w:sz w:val="20"/>
                <w:szCs w:val="20"/>
              </w:rPr>
              <w:t>年最低要求標準：</w:t>
            </w:r>
          </w:p>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第</w:t>
            </w:r>
            <w:r w:rsidRPr="004D451D">
              <w:rPr>
                <w:rFonts w:eastAsia="標楷體" w:hAnsi="標楷體"/>
                <w:bCs/>
                <w:kern w:val="0"/>
                <w:sz w:val="20"/>
                <w:szCs w:val="20"/>
              </w:rPr>
              <w:t>1</w:t>
            </w:r>
            <w:r w:rsidRPr="004D451D">
              <w:rPr>
                <w:rFonts w:eastAsia="標楷體" w:hAnsi="標楷體" w:hint="eastAsia"/>
                <w:bCs/>
                <w:kern w:val="0"/>
                <w:sz w:val="20"/>
                <w:szCs w:val="20"/>
              </w:rPr>
              <w:t>步：用以支應</w:t>
            </w:r>
            <w:r w:rsidRPr="004D451D">
              <w:rPr>
                <w:rFonts w:eastAsia="標楷體" w:hAnsi="標楷體"/>
                <w:bCs/>
                <w:kern w:val="0"/>
                <w:sz w:val="20"/>
                <w:szCs w:val="20"/>
              </w:rPr>
              <w:t>CET1</w:t>
            </w:r>
            <w:r w:rsidRPr="004D451D">
              <w:rPr>
                <w:rFonts w:eastAsia="標楷體" w:hAnsi="標楷體" w:hint="eastAsia"/>
                <w:bCs/>
                <w:kern w:val="0"/>
                <w:sz w:val="20"/>
                <w:szCs w:val="20"/>
              </w:rPr>
              <w:t>比率最低要求之</w:t>
            </w:r>
            <w:r w:rsidRPr="004D451D">
              <w:rPr>
                <w:rFonts w:eastAsia="標楷體" w:hAnsi="標楷體"/>
                <w:bCs/>
                <w:kern w:val="0"/>
                <w:sz w:val="20"/>
                <w:szCs w:val="20"/>
              </w:rPr>
              <w:t>CET1</w:t>
            </w:r>
            <w:r w:rsidRPr="004D451D">
              <w:rPr>
                <w:rFonts w:eastAsia="標楷體" w:hAnsi="標楷體" w:hint="eastAsia"/>
                <w:bCs/>
                <w:kern w:val="0"/>
                <w:sz w:val="20"/>
                <w:szCs w:val="20"/>
              </w:rPr>
              <w:t>剩餘數：</w:t>
            </w:r>
            <w:r w:rsidRPr="004D451D">
              <w:rPr>
                <w:rFonts w:eastAsia="標楷體" w:hAnsi="標楷體"/>
                <w:bCs/>
                <w:kern w:val="0"/>
                <w:sz w:val="20"/>
                <w:szCs w:val="20"/>
              </w:rPr>
              <w:t xml:space="preserve"> 7.5%-4.5%(A)=3%</w:t>
            </w:r>
          </w:p>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第</w:t>
            </w:r>
            <w:r w:rsidRPr="004D451D">
              <w:rPr>
                <w:rFonts w:eastAsia="標楷體" w:hAnsi="標楷體"/>
                <w:bCs/>
                <w:kern w:val="0"/>
                <w:sz w:val="20"/>
                <w:szCs w:val="20"/>
              </w:rPr>
              <w:t>2</w:t>
            </w:r>
            <w:r w:rsidRPr="004D451D">
              <w:rPr>
                <w:rFonts w:eastAsia="標楷體" w:hAnsi="標楷體" w:hint="eastAsia"/>
                <w:bCs/>
                <w:kern w:val="0"/>
                <w:sz w:val="20"/>
                <w:szCs w:val="20"/>
              </w:rPr>
              <w:t>步：用以支應第一類資本比率</w:t>
            </w:r>
            <w:r w:rsidRPr="004D451D">
              <w:rPr>
                <w:rFonts w:eastAsia="標楷體" w:hAnsi="標楷體"/>
                <w:bCs/>
                <w:kern w:val="0"/>
                <w:sz w:val="20"/>
                <w:szCs w:val="20"/>
              </w:rPr>
              <w:t>(T1)</w:t>
            </w:r>
            <w:r w:rsidRPr="004D451D">
              <w:rPr>
                <w:rFonts w:eastAsia="標楷體" w:hAnsi="標楷體" w:hint="eastAsia"/>
                <w:bCs/>
                <w:kern w:val="0"/>
                <w:sz w:val="20"/>
                <w:szCs w:val="20"/>
              </w:rPr>
              <w:t>最低要求：</w:t>
            </w:r>
          </w:p>
          <w:p w:rsidR="005545A5" w:rsidRPr="004D451D" w:rsidRDefault="005545A5" w:rsidP="005545A5">
            <w:pPr>
              <w:widowControl/>
              <w:rPr>
                <w:rFonts w:eastAsia="標楷體" w:hAnsi="標楷體"/>
                <w:bCs/>
                <w:kern w:val="0"/>
                <w:sz w:val="20"/>
                <w:szCs w:val="20"/>
              </w:rPr>
            </w:pPr>
            <w:r w:rsidRPr="004D451D">
              <w:rPr>
                <w:rFonts w:eastAsia="標楷體" w:hAnsi="標楷體"/>
                <w:bCs/>
                <w:kern w:val="0"/>
                <w:sz w:val="20"/>
                <w:szCs w:val="20"/>
              </w:rPr>
              <w:t>CET1 4.5%(A)+ AT1 0.5%(B)=5%</w:t>
            </w:r>
          </w:p>
          <w:p w:rsidR="005545A5" w:rsidRPr="004D451D" w:rsidRDefault="005545A5" w:rsidP="005545A5">
            <w:pPr>
              <w:widowControl/>
              <w:rPr>
                <w:rFonts w:eastAsia="標楷體" w:hAnsi="標楷體"/>
                <w:bCs/>
                <w:kern w:val="0"/>
                <w:sz w:val="20"/>
                <w:szCs w:val="20"/>
              </w:rPr>
            </w:pPr>
            <w:r w:rsidRPr="004D451D">
              <w:rPr>
                <w:rFonts w:eastAsia="標楷體" w:hAnsi="標楷體"/>
                <w:bCs/>
                <w:kern w:val="0"/>
                <w:sz w:val="20"/>
                <w:szCs w:val="20"/>
              </w:rPr>
              <w:t>--&gt;</w:t>
            </w:r>
            <w:r w:rsidRPr="004D451D">
              <w:rPr>
                <w:rFonts w:eastAsia="標楷體" w:hAnsi="標楷體" w:hint="eastAsia"/>
                <w:bCs/>
                <w:kern w:val="0"/>
                <w:sz w:val="20"/>
                <w:szCs w:val="20"/>
              </w:rPr>
              <w:t>不足數</w:t>
            </w:r>
            <w:r w:rsidRPr="004D451D">
              <w:rPr>
                <w:rFonts w:eastAsia="標楷體" w:hAnsi="標楷體"/>
                <w:bCs/>
                <w:kern w:val="0"/>
                <w:sz w:val="20"/>
                <w:szCs w:val="20"/>
              </w:rPr>
              <w:t>6%-5%=1%(C)</w:t>
            </w:r>
            <w:r w:rsidRPr="004D451D">
              <w:rPr>
                <w:rFonts w:eastAsia="標楷體" w:hAnsi="標楷體" w:hint="eastAsia"/>
                <w:bCs/>
                <w:kern w:val="0"/>
                <w:sz w:val="20"/>
                <w:szCs w:val="20"/>
              </w:rPr>
              <w:t>用</w:t>
            </w:r>
            <w:r w:rsidRPr="004D451D">
              <w:rPr>
                <w:rFonts w:eastAsia="標楷體" w:hAnsi="標楷體"/>
                <w:bCs/>
                <w:kern w:val="0"/>
                <w:sz w:val="20"/>
                <w:szCs w:val="20"/>
              </w:rPr>
              <w:t>CET1</w:t>
            </w:r>
            <w:r w:rsidRPr="004D451D">
              <w:rPr>
                <w:rFonts w:eastAsia="標楷體" w:hAnsi="標楷體" w:hint="eastAsia"/>
                <w:bCs/>
                <w:kern w:val="0"/>
                <w:sz w:val="20"/>
                <w:szCs w:val="20"/>
              </w:rPr>
              <w:t>補足</w:t>
            </w:r>
          </w:p>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第</w:t>
            </w:r>
            <w:r w:rsidRPr="004D451D">
              <w:rPr>
                <w:rFonts w:eastAsia="標楷體" w:hAnsi="標楷體"/>
                <w:bCs/>
                <w:kern w:val="0"/>
                <w:sz w:val="20"/>
                <w:szCs w:val="20"/>
              </w:rPr>
              <w:t>3</w:t>
            </w:r>
            <w:r w:rsidRPr="004D451D">
              <w:rPr>
                <w:rFonts w:eastAsia="標楷體" w:hAnsi="標楷體" w:hint="eastAsia"/>
                <w:bCs/>
                <w:kern w:val="0"/>
                <w:sz w:val="20"/>
                <w:szCs w:val="20"/>
              </w:rPr>
              <w:t>步：用以支應</w:t>
            </w:r>
            <w:r w:rsidRPr="004D451D">
              <w:rPr>
                <w:rFonts w:eastAsia="標楷體" w:hAnsi="標楷體"/>
                <w:bCs/>
                <w:kern w:val="0"/>
                <w:sz w:val="20"/>
                <w:szCs w:val="20"/>
              </w:rPr>
              <w:t>BIS</w:t>
            </w:r>
            <w:r w:rsidRPr="004D451D">
              <w:rPr>
                <w:rFonts w:eastAsia="標楷體" w:hAnsi="標楷體" w:hint="eastAsia"/>
                <w:bCs/>
                <w:kern w:val="0"/>
                <w:sz w:val="20"/>
                <w:szCs w:val="20"/>
              </w:rPr>
              <w:t>比率最低要求：</w:t>
            </w:r>
          </w:p>
          <w:p w:rsidR="005545A5" w:rsidRPr="004D451D" w:rsidRDefault="005545A5" w:rsidP="005545A5">
            <w:pPr>
              <w:widowControl/>
              <w:rPr>
                <w:rFonts w:eastAsia="標楷體" w:hAnsi="標楷體"/>
                <w:bCs/>
                <w:kern w:val="0"/>
                <w:sz w:val="20"/>
                <w:szCs w:val="20"/>
              </w:rPr>
            </w:pPr>
            <w:r w:rsidRPr="004D451D">
              <w:rPr>
                <w:rFonts w:eastAsia="標楷體" w:hAnsi="標楷體"/>
                <w:bCs/>
                <w:kern w:val="0"/>
                <w:sz w:val="20"/>
                <w:szCs w:val="20"/>
              </w:rPr>
              <w:t>CET1 4.5%(A)+ AT1 0.5%(B)+ CET1 1%(C)+T2 2%(D)=8%</w:t>
            </w:r>
          </w:p>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第</w:t>
            </w:r>
            <w:r w:rsidRPr="004D451D">
              <w:rPr>
                <w:rFonts w:eastAsia="標楷體" w:hAnsi="標楷體"/>
                <w:bCs/>
                <w:kern w:val="0"/>
                <w:sz w:val="20"/>
                <w:szCs w:val="20"/>
              </w:rPr>
              <w:t>4</w:t>
            </w:r>
            <w:r w:rsidRPr="004D451D">
              <w:rPr>
                <w:rFonts w:eastAsia="標楷體" w:hAnsi="標楷體" w:hint="eastAsia"/>
                <w:bCs/>
                <w:kern w:val="0"/>
                <w:sz w:val="20"/>
                <w:szCs w:val="20"/>
              </w:rPr>
              <w:t>步：普通股權益第一類資本用於留存緩衝資本比例：</w:t>
            </w:r>
          </w:p>
          <w:p w:rsidR="005545A5" w:rsidRPr="004D451D" w:rsidRDefault="005545A5" w:rsidP="005545A5">
            <w:pPr>
              <w:widowControl/>
              <w:rPr>
                <w:rFonts w:eastAsia="標楷體"/>
                <w:bCs/>
                <w:kern w:val="0"/>
                <w:sz w:val="20"/>
                <w:szCs w:val="20"/>
              </w:rPr>
            </w:pPr>
            <w:r w:rsidRPr="004D451D">
              <w:rPr>
                <w:rFonts w:eastAsia="標楷體" w:hAnsi="標楷體"/>
                <w:bCs/>
                <w:kern w:val="0"/>
                <w:sz w:val="20"/>
                <w:szCs w:val="20"/>
              </w:rPr>
              <w:t>7.5%-4.5%(A)- 1%(C)=2%</w:t>
            </w:r>
            <w:bookmarkEnd w:id="1"/>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國家最低比率</w:t>
            </w:r>
            <w:r w:rsidRPr="004D451D">
              <w:rPr>
                <w:rFonts w:eastAsia="標楷體" w:hint="eastAsia"/>
                <w:b/>
                <w:kern w:val="0"/>
                <w:sz w:val="20"/>
                <w:szCs w:val="20"/>
              </w:rPr>
              <w:t>（</w:t>
            </w:r>
            <w:r w:rsidRPr="004D451D">
              <w:rPr>
                <w:rFonts w:eastAsia="標楷體" w:hAnsi="標楷體" w:hint="eastAsia"/>
                <w:b/>
                <w:kern w:val="0"/>
                <w:sz w:val="20"/>
                <w:szCs w:val="20"/>
              </w:rPr>
              <w:t>假如不同於</w:t>
            </w:r>
            <w:r w:rsidRPr="004D451D">
              <w:rPr>
                <w:rFonts w:eastAsia="標楷體"/>
                <w:b/>
                <w:kern w:val="0"/>
                <w:sz w:val="20"/>
                <w:szCs w:val="20"/>
              </w:rPr>
              <w:t>Basel 3</w:t>
            </w:r>
            <w:r w:rsidRPr="004D451D">
              <w:rPr>
                <w:rFonts w:eastAsia="標楷體" w:hint="eastAsia"/>
                <w:b/>
                <w:kern w:val="0"/>
                <w:sz w:val="20"/>
                <w:szCs w:val="20"/>
              </w:rPr>
              <w:t>）</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69</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普通股權益第一類資本最低比率</w:t>
            </w:r>
            <w:r w:rsidRPr="004D451D">
              <w:rPr>
                <w:rFonts w:eastAsia="標楷體" w:hint="eastAsia"/>
                <w:kern w:val="0"/>
                <w:sz w:val="20"/>
                <w:szCs w:val="20"/>
              </w:rPr>
              <w:t>（</w:t>
            </w:r>
            <w:r w:rsidRPr="004D451D">
              <w:rPr>
                <w:rFonts w:eastAsia="標楷體" w:hAnsi="標楷體" w:hint="eastAsia"/>
                <w:kern w:val="0"/>
                <w:sz w:val="20"/>
                <w:szCs w:val="20"/>
              </w:rPr>
              <w:t>假如不同於</w:t>
            </w:r>
            <w:r w:rsidRPr="004D451D">
              <w:rPr>
                <w:rFonts w:eastAsia="標楷體"/>
                <w:kern w:val="0"/>
                <w:sz w:val="20"/>
                <w:szCs w:val="20"/>
              </w:rPr>
              <w:t>Basel 3</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本國規定與</w:t>
            </w:r>
            <w:r w:rsidRPr="004D451D">
              <w:rPr>
                <w:rFonts w:eastAsia="標楷體"/>
                <w:bCs/>
                <w:kern w:val="0"/>
                <w:sz w:val="20"/>
                <w:szCs w:val="20"/>
              </w:rPr>
              <w:t>Basel III</w:t>
            </w:r>
            <w:r w:rsidRPr="004D451D">
              <w:rPr>
                <w:rFonts w:eastAsia="標楷體" w:hAnsi="標楷體" w:hint="eastAsia"/>
                <w:bCs/>
                <w:kern w:val="0"/>
                <w:sz w:val="20"/>
                <w:szCs w:val="20"/>
              </w:rPr>
              <w:t>相同，本欄不需填寫</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70</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第一類資本最低比率</w:t>
            </w:r>
            <w:r w:rsidRPr="004D451D">
              <w:rPr>
                <w:rFonts w:eastAsia="標楷體" w:hint="eastAsia"/>
                <w:kern w:val="0"/>
                <w:sz w:val="20"/>
                <w:szCs w:val="20"/>
              </w:rPr>
              <w:t>（</w:t>
            </w:r>
            <w:r w:rsidRPr="004D451D">
              <w:rPr>
                <w:rFonts w:eastAsia="標楷體" w:hAnsi="標楷體" w:hint="eastAsia"/>
                <w:kern w:val="0"/>
                <w:sz w:val="20"/>
                <w:szCs w:val="20"/>
              </w:rPr>
              <w:t>假如不同於</w:t>
            </w:r>
            <w:r w:rsidRPr="004D451D">
              <w:rPr>
                <w:rFonts w:eastAsia="標楷體"/>
                <w:kern w:val="0"/>
                <w:sz w:val="20"/>
                <w:szCs w:val="20"/>
              </w:rPr>
              <w:t>Basel 3</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本國規定與</w:t>
            </w:r>
            <w:r w:rsidRPr="004D451D">
              <w:rPr>
                <w:rFonts w:eastAsia="標楷體"/>
                <w:bCs/>
                <w:kern w:val="0"/>
                <w:sz w:val="20"/>
                <w:szCs w:val="20"/>
              </w:rPr>
              <w:t>Basel III</w:t>
            </w:r>
            <w:r w:rsidRPr="004D451D">
              <w:rPr>
                <w:rFonts w:eastAsia="標楷體" w:hAnsi="標楷體" w:hint="eastAsia"/>
                <w:bCs/>
                <w:kern w:val="0"/>
                <w:sz w:val="20"/>
                <w:szCs w:val="20"/>
              </w:rPr>
              <w:t>相同，本欄不需填寫</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71</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總資本最低比率</w:t>
            </w:r>
            <w:r w:rsidRPr="004D451D">
              <w:rPr>
                <w:rFonts w:eastAsia="標楷體" w:hint="eastAsia"/>
                <w:kern w:val="0"/>
                <w:sz w:val="20"/>
                <w:szCs w:val="20"/>
              </w:rPr>
              <w:t>（</w:t>
            </w:r>
            <w:r w:rsidRPr="004D451D">
              <w:rPr>
                <w:rFonts w:eastAsia="標楷體" w:hAnsi="標楷體" w:hint="eastAsia"/>
                <w:kern w:val="0"/>
                <w:sz w:val="20"/>
                <w:szCs w:val="20"/>
              </w:rPr>
              <w:t>假如不同於</w:t>
            </w:r>
            <w:r w:rsidRPr="004D451D">
              <w:rPr>
                <w:rFonts w:eastAsia="標楷體"/>
                <w:kern w:val="0"/>
                <w:sz w:val="20"/>
                <w:szCs w:val="20"/>
              </w:rPr>
              <w:t>Basel 3</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本國規定與</w:t>
            </w:r>
            <w:r w:rsidRPr="004D451D">
              <w:rPr>
                <w:rFonts w:eastAsia="標楷體"/>
                <w:bCs/>
                <w:kern w:val="0"/>
                <w:sz w:val="20"/>
                <w:szCs w:val="20"/>
              </w:rPr>
              <w:t>Basel III</w:t>
            </w:r>
            <w:r w:rsidRPr="004D451D">
              <w:rPr>
                <w:rFonts w:eastAsia="標楷體" w:hAnsi="標楷體" w:hint="eastAsia"/>
                <w:bCs/>
                <w:kern w:val="0"/>
                <w:sz w:val="20"/>
                <w:szCs w:val="20"/>
              </w:rPr>
              <w:t>相同，本欄不需填寫</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低於扣除門檻金額</w:t>
            </w:r>
            <w:r w:rsidRPr="004D451D">
              <w:rPr>
                <w:rFonts w:eastAsia="標楷體" w:hint="eastAsia"/>
                <w:b/>
                <w:kern w:val="0"/>
                <w:sz w:val="20"/>
                <w:szCs w:val="20"/>
              </w:rPr>
              <w:t>（</w:t>
            </w:r>
            <w:r w:rsidRPr="004D451D">
              <w:rPr>
                <w:rFonts w:eastAsia="標楷體" w:hAnsi="標楷體" w:hint="eastAsia"/>
                <w:b/>
                <w:kern w:val="0"/>
                <w:sz w:val="20"/>
                <w:szCs w:val="20"/>
              </w:rPr>
              <w:t>風險加權前</w:t>
            </w:r>
            <w:r w:rsidRPr="004D451D">
              <w:rPr>
                <w:rFonts w:eastAsia="標楷體" w:hint="eastAsia"/>
                <w:b/>
                <w:kern w:val="0"/>
                <w:sz w:val="20"/>
                <w:szCs w:val="20"/>
              </w:rPr>
              <w:t>）</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72</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對金融相關事業非重大資本投資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73</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對金融相關事業重大普通股投資</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74</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房貸事務性服務權</w:t>
            </w:r>
            <w:r w:rsidRPr="004D451D">
              <w:rPr>
                <w:rFonts w:eastAsia="標楷體" w:hint="eastAsia"/>
                <w:kern w:val="0"/>
                <w:sz w:val="20"/>
                <w:szCs w:val="20"/>
              </w:rPr>
              <w:t>（</w:t>
            </w:r>
            <w:r w:rsidRPr="004D451D">
              <w:rPr>
                <w:rFonts w:eastAsia="標楷體" w:hAnsi="標楷體" w:hint="eastAsia"/>
                <w:kern w:val="0"/>
                <w:sz w:val="20"/>
                <w:szCs w:val="20"/>
              </w:rPr>
              <w:t>扣除相關所得稅負債</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75</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因暫時性差異產生之遞延所得稅資產</w:t>
            </w:r>
            <w:r w:rsidRPr="004D451D">
              <w:rPr>
                <w:rFonts w:eastAsia="標楷體" w:hint="eastAsia"/>
                <w:kern w:val="0"/>
                <w:sz w:val="20"/>
                <w:szCs w:val="20"/>
              </w:rPr>
              <w:t>（</w:t>
            </w:r>
            <w:r w:rsidRPr="004D451D">
              <w:rPr>
                <w:rFonts w:eastAsia="標楷體" w:hAnsi="標楷體" w:hint="eastAsia"/>
                <w:kern w:val="0"/>
                <w:sz w:val="20"/>
                <w:szCs w:val="20"/>
              </w:rPr>
              <w:t>扣除相關所得稅負債</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依【銀行自有資本與風險性資產之計算方法說明及表格】「壹、法定調整項目」相關規定計算</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適用第二類資本的營業準備上限</w:t>
            </w:r>
          </w:p>
        </w:tc>
        <w:tc>
          <w:tcPr>
            <w:tcW w:w="6281" w:type="dxa"/>
            <w:shd w:val="clear" w:color="auto" w:fill="D9D9D9"/>
            <w:vAlign w:val="center"/>
          </w:tcPr>
          <w:p w:rsidR="005545A5" w:rsidRPr="004D451D" w:rsidRDefault="005545A5" w:rsidP="005545A5">
            <w:pPr>
              <w:widowControl/>
              <w:rPr>
                <w:rFonts w:eastAsia="標楷體"/>
                <w:b/>
                <w:bCs/>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76</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採信用風險標準法者合格納入第二類資本的營業準備</w:t>
            </w:r>
            <w:r w:rsidRPr="004D451D">
              <w:rPr>
                <w:rFonts w:eastAsia="標楷體" w:hint="eastAsia"/>
                <w:kern w:val="0"/>
                <w:sz w:val="20"/>
                <w:szCs w:val="20"/>
              </w:rPr>
              <w:t>（</w:t>
            </w:r>
            <w:r w:rsidRPr="004D451D">
              <w:rPr>
                <w:rFonts w:eastAsia="標楷體" w:hAnsi="標楷體" w:hint="eastAsia"/>
                <w:kern w:val="0"/>
                <w:sz w:val="20"/>
                <w:szCs w:val="20"/>
              </w:rPr>
              <w:t>適用限額前</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【營業準備及備抵呆帳】</w:t>
            </w:r>
          </w:p>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得列入第二類資本之備抵呆帳，係指銀行所提備抵呆帳超過銀行依歷史</w:t>
            </w:r>
            <w:r w:rsidRPr="004D451D">
              <w:rPr>
                <w:rFonts w:eastAsia="標楷體" w:hAnsi="標楷體" w:hint="eastAsia"/>
                <w:bCs/>
                <w:kern w:val="0"/>
                <w:sz w:val="20"/>
                <w:szCs w:val="20"/>
              </w:rPr>
              <w:lastRenderedPageBreak/>
              <w:t>損失經驗所估計預期損失部分之金額</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lastRenderedPageBreak/>
              <w:t>77</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採信用風險標準法者納入第二類資本的營業準備限額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信用風險加權風險性資產總額之</w:t>
            </w:r>
            <w:r w:rsidRPr="004D451D">
              <w:rPr>
                <w:rFonts w:eastAsia="標楷體"/>
                <w:bCs/>
                <w:kern w:val="0"/>
                <w:sz w:val="20"/>
                <w:szCs w:val="20"/>
              </w:rPr>
              <w:t>1.25%</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78</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採信用風險內部評等法者合格納入第二類資本的營業準備</w:t>
            </w:r>
            <w:r w:rsidRPr="004D451D">
              <w:rPr>
                <w:rFonts w:eastAsia="標楷體" w:hint="eastAsia"/>
                <w:kern w:val="0"/>
                <w:sz w:val="20"/>
                <w:szCs w:val="20"/>
              </w:rPr>
              <w:t>（</w:t>
            </w:r>
            <w:r w:rsidRPr="004D451D">
              <w:rPr>
                <w:rFonts w:eastAsia="標楷體" w:hAnsi="標楷體" w:hint="eastAsia"/>
                <w:kern w:val="0"/>
                <w:sz w:val="20"/>
                <w:szCs w:val="20"/>
              </w:rPr>
              <w:t>適用限額前</w:t>
            </w:r>
            <w:r w:rsidRPr="004D451D">
              <w:rPr>
                <w:rFonts w:eastAsia="標楷體" w:hint="eastAsia"/>
                <w:kern w:val="0"/>
                <w:sz w:val="20"/>
                <w:szCs w:val="20"/>
              </w:rPr>
              <w:t>）</w:t>
            </w:r>
          </w:p>
        </w:tc>
        <w:tc>
          <w:tcPr>
            <w:tcW w:w="6281" w:type="dxa"/>
            <w:vAlign w:val="center"/>
          </w:tcPr>
          <w:p w:rsidR="005545A5" w:rsidRPr="004D451D" w:rsidRDefault="005545A5" w:rsidP="005545A5">
            <w:pPr>
              <w:widowControl/>
              <w:rPr>
                <w:rFonts w:eastAsia="標楷體" w:hAnsi="標楷體"/>
                <w:bCs/>
                <w:kern w:val="0"/>
                <w:sz w:val="20"/>
                <w:szCs w:val="20"/>
              </w:rPr>
            </w:pPr>
            <w:r w:rsidRPr="004D451D">
              <w:rPr>
                <w:rFonts w:eastAsia="標楷體" w:hAnsi="標楷體" w:hint="eastAsia"/>
                <w:bCs/>
                <w:kern w:val="0"/>
                <w:sz w:val="20"/>
                <w:szCs w:val="20"/>
              </w:rPr>
              <w:t>【營業準備及備抵呆帳】</w:t>
            </w:r>
          </w:p>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得列入第二類資本之備抵呆帳，係指銀行所提備抵呆帳超過銀行依歷史損失經驗所估計預期損失部分之金額</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79</w:t>
            </w:r>
          </w:p>
        </w:tc>
        <w:tc>
          <w:tcPr>
            <w:tcW w:w="4253" w:type="dxa"/>
            <w:vAlign w:val="center"/>
          </w:tcPr>
          <w:p w:rsidR="005545A5" w:rsidRPr="004D451D" w:rsidRDefault="005545A5" w:rsidP="005545A5">
            <w:pPr>
              <w:widowControl/>
              <w:rPr>
                <w:rFonts w:eastAsia="標楷體"/>
                <w:kern w:val="0"/>
                <w:sz w:val="20"/>
                <w:szCs w:val="20"/>
              </w:rPr>
            </w:pPr>
            <w:r w:rsidRPr="004D451D">
              <w:rPr>
                <w:rFonts w:eastAsia="標楷體" w:hAnsi="標楷體" w:hint="eastAsia"/>
                <w:kern w:val="0"/>
                <w:sz w:val="20"/>
                <w:szCs w:val="20"/>
              </w:rPr>
              <w:t>採信用風險內部評等法者納入第二類資本的營業準備限額</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信用風險加權風險性資產總額之</w:t>
            </w:r>
            <w:r w:rsidRPr="004D451D">
              <w:rPr>
                <w:rFonts w:eastAsia="標楷體"/>
                <w:bCs/>
                <w:kern w:val="0"/>
                <w:sz w:val="20"/>
                <w:szCs w:val="20"/>
              </w:rPr>
              <w:t>0.6%</w:t>
            </w:r>
            <w:r w:rsidRPr="004D451D">
              <w:rPr>
                <w:rFonts w:eastAsia="標楷體" w:hAnsi="標楷體" w:hint="eastAsia"/>
                <w:bCs/>
                <w:kern w:val="0"/>
                <w:sz w:val="20"/>
                <w:szCs w:val="20"/>
              </w:rPr>
              <w:t>。</w:t>
            </w:r>
          </w:p>
        </w:tc>
      </w:tr>
      <w:tr w:rsidR="004D451D" w:rsidRPr="004D451D" w:rsidTr="005545A5">
        <w:trPr>
          <w:trHeight w:val="331"/>
          <w:jc w:val="center"/>
        </w:trPr>
        <w:tc>
          <w:tcPr>
            <w:tcW w:w="612" w:type="dxa"/>
            <w:shd w:val="clear" w:color="auto" w:fill="D9D9D9"/>
            <w:vAlign w:val="center"/>
          </w:tcPr>
          <w:p w:rsidR="005545A5" w:rsidRPr="004D451D" w:rsidRDefault="005545A5" w:rsidP="005545A5">
            <w:pPr>
              <w:widowControl/>
              <w:jc w:val="center"/>
              <w:rPr>
                <w:rFonts w:eastAsia="標楷體"/>
                <w:b/>
                <w:kern w:val="0"/>
                <w:sz w:val="20"/>
                <w:szCs w:val="20"/>
              </w:rPr>
            </w:pPr>
          </w:p>
        </w:tc>
        <w:tc>
          <w:tcPr>
            <w:tcW w:w="4253" w:type="dxa"/>
            <w:shd w:val="clear" w:color="auto" w:fill="D9D9D9"/>
            <w:vAlign w:val="center"/>
          </w:tcPr>
          <w:p w:rsidR="005545A5" w:rsidRPr="004D451D" w:rsidRDefault="005545A5" w:rsidP="005545A5">
            <w:pPr>
              <w:widowControl/>
              <w:rPr>
                <w:rFonts w:eastAsia="標楷體"/>
                <w:b/>
                <w:kern w:val="0"/>
                <w:sz w:val="20"/>
                <w:szCs w:val="20"/>
              </w:rPr>
            </w:pPr>
            <w:r w:rsidRPr="004D451D">
              <w:rPr>
                <w:rFonts w:eastAsia="標楷體" w:hAnsi="標楷體" w:hint="eastAsia"/>
                <w:b/>
                <w:kern w:val="0"/>
                <w:sz w:val="20"/>
                <w:szCs w:val="20"/>
              </w:rPr>
              <w:t>資本工具適用分階段扣除規定</w:t>
            </w:r>
          </w:p>
        </w:tc>
        <w:tc>
          <w:tcPr>
            <w:tcW w:w="6281" w:type="dxa"/>
            <w:shd w:val="clear" w:color="auto" w:fill="D9D9D9"/>
            <w:vAlign w:val="center"/>
          </w:tcPr>
          <w:p w:rsidR="005545A5" w:rsidRPr="004D451D" w:rsidRDefault="005545A5" w:rsidP="005545A5">
            <w:pPr>
              <w:widowControl/>
              <w:rPr>
                <w:rFonts w:eastAsia="標楷體"/>
                <w:b/>
                <w:bCs/>
                <w:strike/>
                <w:kern w:val="0"/>
                <w:sz w:val="20"/>
                <w:szCs w:val="20"/>
              </w:rPr>
            </w:pP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80</w:t>
            </w:r>
          </w:p>
        </w:tc>
        <w:tc>
          <w:tcPr>
            <w:tcW w:w="4253" w:type="dxa"/>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適用分階段扣除規定下，現有普通股權益第一類</w:t>
            </w:r>
            <w:r w:rsidRPr="004D451D">
              <w:rPr>
                <w:rFonts w:eastAsia="標楷體"/>
                <w:kern w:val="0"/>
                <w:sz w:val="20"/>
                <w:szCs w:val="20"/>
              </w:rPr>
              <w:t>(CET1)</w:t>
            </w:r>
            <w:r w:rsidRPr="004D451D">
              <w:rPr>
                <w:rFonts w:ascii="Garamond" w:eastAsia="標楷體" w:hAnsi="標楷體" w:cs="新細明體" w:hint="eastAsia"/>
                <w:kern w:val="0"/>
                <w:sz w:val="20"/>
                <w:szCs w:val="20"/>
              </w:rPr>
              <w:t>資本工具上限</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81</w:t>
            </w:r>
          </w:p>
        </w:tc>
        <w:tc>
          <w:tcPr>
            <w:tcW w:w="4253" w:type="dxa"/>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因超限需自普通股權益第一類</w:t>
            </w:r>
            <w:r w:rsidRPr="004D451D">
              <w:rPr>
                <w:rFonts w:eastAsia="標楷體"/>
                <w:kern w:val="0"/>
                <w:sz w:val="20"/>
                <w:szCs w:val="20"/>
              </w:rPr>
              <w:t>(CET1)</w:t>
            </w:r>
            <w:r w:rsidRPr="004D451D">
              <w:rPr>
                <w:rFonts w:eastAsia="標楷體" w:hint="eastAsia"/>
                <w:kern w:val="0"/>
                <w:sz w:val="20"/>
                <w:szCs w:val="20"/>
              </w:rPr>
              <w:t>排除金額（因贖回或到期而超限）</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無對應項目，本國不適用</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82</w:t>
            </w:r>
          </w:p>
        </w:tc>
        <w:tc>
          <w:tcPr>
            <w:tcW w:w="4253" w:type="dxa"/>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適用分階段扣除規定下，現有其他第一類</w:t>
            </w:r>
            <w:r w:rsidRPr="004D451D">
              <w:rPr>
                <w:rFonts w:eastAsia="標楷體"/>
                <w:kern w:val="0"/>
                <w:sz w:val="20"/>
                <w:szCs w:val="20"/>
              </w:rPr>
              <w:t>(AT1)</w:t>
            </w:r>
            <w:r w:rsidRPr="004D451D">
              <w:rPr>
                <w:rFonts w:ascii="Garamond" w:eastAsia="標楷體" w:hAnsi="標楷體" w:cs="新細明體" w:hint="eastAsia"/>
                <w:kern w:val="0"/>
                <w:sz w:val="20"/>
                <w:szCs w:val="20"/>
              </w:rPr>
              <w:t>資本工具上限</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依【銀行資本適足性及資本等級管理辦法修正條文】第</w:t>
            </w:r>
            <w:r w:rsidRPr="004D451D">
              <w:rPr>
                <w:rFonts w:eastAsia="標楷體"/>
                <w:bCs/>
                <w:kern w:val="0"/>
                <w:sz w:val="20"/>
                <w:szCs w:val="20"/>
              </w:rPr>
              <w:t>8,11</w:t>
            </w:r>
            <w:r w:rsidRPr="004D451D">
              <w:rPr>
                <w:rFonts w:eastAsia="標楷體" w:hAnsi="標楷體" w:hint="eastAsia"/>
                <w:bCs/>
                <w:kern w:val="0"/>
                <w:sz w:val="20"/>
                <w:szCs w:val="20"/>
              </w:rPr>
              <w:t>條規定計算</w:t>
            </w:r>
            <w:r w:rsidRPr="004D451D">
              <w:rPr>
                <w:rFonts w:eastAsia="標楷體" w:hint="eastAsia"/>
                <w:bCs/>
                <w:kern w:val="0"/>
                <w:sz w:val="20"/>
                <w:szCs w:val="20"/>
              </w:rPr>
              <w:t>（</w:t>
            </w:r>
            <w:r w:rsidRPr="004D451D">
              <w:rPr>
                <w:rFonts w:eastAsia="標楷體" w:hAnsi="標楷體" w:hint="eastAsia"/>
                <w:bCs/>
                <w:kern w:val="0"/>
                <w:sz w:val="20"/>
                <w:szCs w:val="20"/>
              </w:rPr>
              <w:t>相關說明可參考【</w:t>
            </w:r>
            <w:r w:rsidRPr="004D451D">
              <w:rPr>
                <w:rFonts w:eastAsia="標楷體"/>
                <w:bCs/>
                <w:kern w:val="0"/>
                <w:sz w:val="20"/>
                <w:szCs w:val="20"/>
              </w:rPr>
              <w:t>Basel_</w:t>
            </w:r>
            <w:r w:rsidRPr="004D451D">
              <w:rPr>
                <w:rFonts w:eastAsia="標楷體" w:hAnsi="標楷體" w:hint="eastAsia"/>
                <w:bCs/>
                <w:kern w:val="0"/>
                <w:sz w:val="20"/>
                <w:szCs w:val="20"/>
              </w:rPr>
              <w:t>Ⅲ：強化銀行體系穩健性之全球監理架構】第</w:t>
            </w:r>
            <w:r w:rsidRPr="004D451D">
              <w:rPr>
                <w:rFonts w:eastAsia="標楷體"/>
                <w:bCs/>
                <w:kern w:val="0"/>
                <w:sz w:val="20"/>
                <w:szCs w:val="20"/>
              </w:rPr>
              <w:t>94</w:t>
            </w:r>
            <w:r w:rsidRPr="004D451D">
              <w:rPr>
                <w:rFonts w:eastAsia="標楷體" w:hAnsi="標楷體" w:hint="eastAsia"/>
                <w:bCs/>
                <w:kern w:val="0"/>
                <w:sz w:val="20"/>
                <w:szCs w:val="20"/>
              </w:rPr>
              <w:t>段</w:t>
            </w:r>
            <w:r w:rsidRPr="004D451D">
              <w:rPr>
                <w:rFonts w:eastAsia="標楷體"/>
                <w:bCs/>
                <w:kern w:val="0"/>
                <w:sz w:val="20"/>
                <w:szCs w:val="20"/>
              </w:rPr>
              <w:t>(g)</w:t>
            </w:r>
            <w:r w:rsidRPr="004D451D">
              <w:rPr>
                <w:rFonts w:eastAsia="標楷體" w:hint="eastAsia"/>
                <w:bCs/>
                <w:kern w:val="0"/>
                <w:sz w:val="20"/>
                <w:szCs w:val="20"/>
              </w:rPr>
              <w:t>）</w:t>
            </w:r>
          </w:p>
          <w:p w:rsidR="005545A5" w:rsidRPr="004D451D" w:rsidRDefault="005545A5" w:rsidP="005545A5">
            <w:pPr>
              <w:widowControl/>
              <w:rPr>
                <w:rFonts w:eastAsia="標楷體"/>
                <w:bCs/>
                <w:kern w:val="0"/>
                <w:sz w:val="20"/>
                <w:szCs w:val="20"/>
              </w:rPr>
            </w:pPr>
            <w:r w:rsidRPr="004D451D">
              <w:rPr>
                <w:rFonts w:eastAsia="標楷體" w:hint="eastAsia"/>
                <w:bCs/>
                <w:kern w:val="0"/>
                <w:sz w:val="20"/>
                <w:szCs w:val="20"/>
              </w:rPr>
              <w:t>分階段扣除之</w:t>
            </w:r>
            <w:r w:rsidRPr="004D451D">
              <w:rPr>
                <w:rFonts w:eastAsia="標楷體" w:hAnsi="標楷體" w:hint="eastAsia"/>
                <w:kern w:val="0"/>
                <w:sz w:val="20"/>
                <w:szCs w:val="20"/>
              </w:rPr>
              <w:t>其他第一類資本</w:t>
            </w:r>
            <w:r w:rsidRPr="004D451D">
              <w:rPr>
                <w:rFonts w:eastAsia="標楷體"/>
                <w:kern w:val="0"/>
                <w:sz w:val="20"/>
                <w:szCs w:val="20"/>
              </w:rPr>
              <w:t>(AT1)</w:t>
            </w:r>
            <w:r w:rsidRPr="004D451D">
              <w:rPr>
                <w:rFonts w:eastAsia="標楷體" w:hAnsi="標楷體" w:hint="eastAsia"/>
                <w:kern w:val="0"/>
                <w:sz w:val="20"/>
                <w:szCs w:val="20"/>
              </w:rPr>
              <w:t>未扣除之總金額</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83</w:t>
            </w:r>
          </w:p>
        </w:tc>
        <w:tc>
          <w:tcPr>
            <w:tcW w:w="4253" w:type="dxa"/>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因超限需自其他第一類</w:t>
            </w:r>
            <w:r w:rsidRPr="004D451D">
              <w:rPr>
                <w:rFonts w:eastAsia="標楷體"/>
                <w:kern w:val="0"/>
                <w:sz w:val="20"/>
                <w:szCs w:val="20"/>
              </w:rPr>
              <w:t>(AT1)</w:t>
            </w:r>
            <w:r w:rsidRPr="004D451D">
              <w:rPr>
                <w:rFonts w:eastAsia="標楷體" w:hint="eastAsia"/>
                <w:kern w:val="0"/>
                <w:sz w:val="20"/>
                <w:szCs w:val="20"/>
              </w:rPr>
              <w:t>排除金額（因贖回或到期而超限）</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依【銀行資本適足性及資本等級管理辦法修正條文】第</w:t>
            </w:r>
            <w:r w:rsidRPr="004D451D">
              <w:rPr>
                <w:rFonts w:eastAsia="標楷體"/>
                <w:bCs/>
                <w:kern w:val="0"/>
                <w:sz w:val="20"/>
                <w:szCs w:val="20"/>
              </w:rPr>
              <w:t>8,11</w:t>
            </w:r>
            <w:r w:rsidRPr="004D451D">
              <w:rPr>
                <w:rFonts w:eastAsia="標楷體" w:hAnsi="標楷體" w:hint="eastAsia"/>
                <w:bCs/>
                <w:kern w:val="0"/>
                <w:sz w:val="20"/>
                <w:szCs w:val="20"/>
              </w:rPr>
              <w:t>條規定計算</w:t>
            </w:r>
            <w:r w:rsidRPr="004D451D">
              <w:rPr>
                <w:rFonts w:eastAsia="標楷體" w:hint="eastAsia"/>
                <w:bCs/>
                <w:kern w:val="0"/>
                <w:sz w:val="20"/>
                <w:szCs w:val="20"/>
              </w:rPr>
              <w:t>（</w:t>
            </w:r>
            <w:r w:rsidRPr="004D451D">
              <w:rPr>
                <w:rFonts w:eastAsia="標楷體" w:hAnsi="標楷體" w:hint="eastAsia"/>
                <w:bCs/>
                <w:kern w:val="0"/>
                <w:sz w:val="20"/>
                <w:szCs w:val="20"/>
              </w:rPr>
              <w:t>相關說明可參考【</w:t>
            </w:r>
            <w:r w:rsidRPr="004D451D">
              <w:rPr>
                <w:rFonts w:eastAsia="標楷體"/>
                <w:bCs/>
                <w:kern w:val="0"/>
                <w:sz w:val="20"/>
                <w:szCs w:val="20"/>
              </w:rPr>
              <w:t>Basel_</w:t>
            </w:r>
            <w:r w:rsidRPr="004D451D">
              <w:rPr>
                <w:rFonts w:eastAsia="標楷體" w:hAnsi="標楷體" w:hint="eastAsia"/>
                <w:bCs/>
                <w:kern w:val="0"/>
                <w:sz w:val="20"/>
                <w:szCs w:val="20"/>
              </w:rPr>
              <w:t>Ⅲ：強化銀行體系穩健性之全球監理架構】第</w:t>
            </w:r>
            <w:r w:rsidRPr="004D451D">
              <w:rPr>
                <w:rFonts w:eastAsia="標楷體"/>
                <w:bCs/>
                <w:kern w:val="0"/>
                <w:sz w:val="20"/>
                <w:szCs w:val="20"/>
              </w:rPr>
              <w:t>94</w:t>
            </w:r>
            <w:r w:rsidRPr="004D451D">
              <w:rPr>
                <w:rFonts w:eastAsia="標楷體" w:hAnsi="標楷體" w:hint="eastAsia"/>
                <w:bCs/>
                <w:kern w:val="0"/>
                <w:sz w:val="20"/>
                <w:szCs w:val="20"/>
              </w:rPr>
              <w:t>段</w:t>
            </w:r>
            <w:r w:rsidRPr="004D451D">
              <w:rPr>
                <w:rFonts w:eastAsia="標楷體"/>
                <w:bCs/>
                <w:kern w:val="0"/>
                <w:sz w:val="20"/>
                <w:szCs w:val="20"/>
              </w:rPr>
              <w:t>(g)</w:t>
            </w:r>
            <w:r w:rsidRPr="004D451D">
              <w:rPr>
                <w:rFonts w:eastAsia="標楷體" w:hint="eastAsia"/>
                <w:bCs/>
                <w:kern w:val="0"/>
                <w:sz w:val="20"/>
                <w:szCs w:val="20"/>
              </w:rPr>
              <w:t>）</w:t>
            </w:r>
          </w:p>
          <w:p w:rsidR="005545A5" w:rsidRPr="004D451D" w:rsidRDefault="005545A5" w:rsidP="005545A5">
            <w:pPr>
              <w:widowControl/>
              <w:rPr>
                <w:rFonts w:eastAsia="標楷體"/>
                <w:bCs/>
                <w:kern w:val="0"/>
                <w:sz w:val="20"/>
                <w:szCs w:val="20"/>
              </w:rPr>
            </w:pPr>
            <w:r w:rsidRPr="004D451D">
              <w:rPr>
                <w:rFonts w:eastAsia="標楷體" w:hint="eastAsia"/>
                <w:bCs/>
                <w:kern w:val="0"/>
                <w:sz w:val="20"/>
                <w:szCs w:val="20"/>
              </w:rPr>
              <w:t>分階段扣除之</w:t>
            </w:r>
            <w:r w:rsidRPr="004D451D">
              <w:rPr>
                <w:rFonts w:eastAsia="標楷體" w:hAnsi="標楷體" w:hint="eastAsia"/>
                <w:kern w:val="0"/>
                <w:sz w:val="20"/>
                <w:szCs w:val="20"/>
              </w:rPr>
              <w:t>其他第一類資本</w:t>
            </w:r>
            <w:r w:rsidRPr="004D451D">
              <w:rPr>
                <w:rFonts w:eastAsia="標楷體"/>
                <w:kern w:val="0"/>
                <w:sz w:val="20"/>
                <w:szCs w:val="20"/>
              </w:rPr>
              <w:t>(AT1)</w:t>
            </w:r>
            <w:r w:rsidRPr="004D451D">
              <w:rPr>
                <w:rFonts w:eastAsia="標楷體" w:hAnsi="標楷體" w:hint="eastAsia"/>
                <w:kern w:val="0"/>
                <w:sz w:val="20"/>
                <w:szCs w:val="20"/>
              </w:rPr>
              <w:t>已扣除之總金額</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84</w:t>
            </w:r>
          </w:p>
        </w:tc>
        <w:tc>
          <w:tcPr>
            <w:tcW w:w="4253" w:type="dxa"/>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適用分階段扣除規定下，現有第二類</w:t>
            </w:r>
            <w:r w:rsidRPr="004D451D">
              <w:rPr>
                <w:rFonts w:eastAsia="標楷體"/>
                <w:kern w:val="0"/>
                <w:sz w:val="20"/>
                <w:szCs w:val="20"/>
              </w:rPr>
              <w:t>(T2)</w:t>
            </w:r>
            <w:r w:rsidRPr="004D451D">
              <w:rPr>
                <w:rFonts w:ascii="Garamond" w:eastAsia="標楷體" w:hAnsi="標楷體" w:cs="新細明體" w:hint="eastAsia"/>
                <w:kern w:val="0"/>
                <w:sz w:val="20"/>
                <w:szCs w:val="20"/>
              </w:rPr>
              <w:t>資本工具上限</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依【銀行資本適足性及資本等級管理辦法修正條文】第</w:t>
            </w:r>
            <w:r w:rsidRPr="004D451D">
              <w:rPr>
                <w:rFonts w:eastAsia="標楷體"/>
                <w:bCs/>
                <w:kern w:val="0"/>
                <w:sz w:val="20"/>
                <w:szCs w:val="20"/>
              </w:rPr>
              <w:t>9,11</w:t>
            </w:r>
            <w:r w:rsidRPr="004D451D">
              <w:rPr>
                <w:rFonts w:eastAsia="標楷體" w:hAnsi="標楷體" w:hint="eastAsia"/>
                <w:bCs/>
                <w:kern w:val="0"/>
                <w:sz w:val="20"/>
                <w:szCs w:val="20"/>
              </w:rPr>
              <w:t>條規定計算</w:t>
            </w:r>
            <w:r w:rsidRPr="004D451D">
              <w:rPr>
                <w:rFonts w:eastAsia="標楷體" w:hint="eastAsia"/>
                <w:bCs/>
                <w:kern w:val="0"/>
                <w:sz w:val="20"/>
                <w:szCs w:val="20"/>
              </w:rPr>
              <w:t>（</w:t>
            </w:r>
            <w:r w:rsidRPr="004D451D">
              <w:rPr>
                <w:rFonts w:eastAsia="標楷體" w:hAnsi="標楷體" w:hint="eastAsia"/>
                <w:bCs/>
                <w:kern w:val="0"/>
                <w:sz w:val="20"/>
                <w:szCs w:val="20"/>
              </w:rPr>
              <w:t>相關說明可參考【</w:t>
            </w:r>
            <w:r w:rsidRPr="004D451D">
              <w:rPr>
                <w:rFonts w:eastAsia="標楷體"/>
                <w:bCs/>
                <w:kern w:val="0"/>
                <w:sz w:val="20"/>
                <w:szCs w:val="20"/>
              </w:rPr>
              <w:t>Basel_</w:t>
            </w:r>
            <w:r w:rsidRPr="004D451D">
              <w:rPr>
                <w:rFonts w:eastAsia="標楷體" w:hAnsi="標楷體" w:hint="eastAsia"/>
                <w:bCs/>
                <w:kern w:val="0"/>
                <w:sz w:val="20"/>
                <w:szCs w:val="20"/>
              </w:rPr>
              <w:t>Ⅲ：強化銀行體系穩健性之全球監理架構】第</w:t>
            </w:r>
            <w:r w:rsidRPr="004D451D">
              <w:rPr>
                <w:rFonts w:eastAsia="標楷體"/>
                <w:bCs/>
                <w:kern w:val="0"/>
                <w:sz w:val="20"/>
                <w:szCs w:val="20"/>
              </w:rPr>
              <w:t>94</w:t>
            </w:r>
            <w:r w:rsidRPr="004D451D">
              <w:rPr>
                <w:rFonts w:eastAsia="標楷體" w:hAnsi="標楷體" w:hint="eastAsia"/>
                <w:bCs/>
                <w:kern w:val="0"/>
                <w:sz w:val="20"/>
                <w:szCs w:val="20"/>
              </w:rPr>
              <w:t>段</w:t>
            </w:r>
            <w:r w:rsidRPr="004D451D">
              <w:rPr>
                <w:rFonts w:eastAsia="標楷體"/>
                <w:bCs/>
                <w:kern w:val="0"/>
                <w:sz w:val="20"/>
                <w:szCs w:val="20"/>
              </w:rPr>
              <w:t>(g)</w:t>
            </w:r>
            <w:r w:rsidRPr="004D451D">
              <w:rPr>
                <w:rFonts w:eastAsia="標楷體" w:hint="eastAsia"/>
                <w:bCs/>
                <w:kern w:val="0"/>
                <w:sz w:val="20"/>
                <w:szCs w:val="20"/>
              </w:rPr>
              <w:t>）</w:t>
            </w:r>
          </w:p>
          <w:p w:rsidR="005545A5" w:rsidRPr="004D451D" w:rsidRDefault="005545A5" w:rsidP="005545A5">
            <w:pPr>
              <w:widowControl/>
              <w:rPr>
                <w:rFonts w:eastAsia="標楷體"/>
                <w:bCs/>
                <w:kern w:val="0"/>
                <w:sz w:val="20"/>
                <w:szCs w:val="20"/>
              </w:rPr>
            </w:pPr>
            <w:r w:rsidRPr="004D451D">
              <w:rPr>
                <w:rFonts w:eastAsia="標楷體" w:hint="eastAsia"/>
                <w:bCs/>
                <w:kern w:val="0"/>
                <w:sz w:val="20"/>
                <w:szCs w:val="20"/>
              </w:rPr>
              <w:t>分階段扣除之</w:t>
            </w:r>
            <w:r w:rsidRPr="004D451D">
              <w:rPr>
                <w:rFonts w:eastAsia="標楷體" w:hAnsi="標楷體" w:hint="eastAsia"/>
                <w:kern w:val="0"/>
                <w:sz w:val="20"/>
                <w:szCs w:val="20"/>
              </w:rPr>
              <w:t>第二類資本</w:t>
            </w:r>
            <w:r w:rsidRPr="004D451D">
              <w:rPr>
                <w:rFonts w:eastAsia="標楷體"/>
                <w:kern w:val="0"/>
                <w:sz w:val="20"/>
                <w:szCs w:val="20"/>
              </w:rPr>
              <w:t>(T2)</w:t>
            </w:r>
            <w:r w:rsidRPr="004D451D">
              <w:rPr>
                <w:rFonts w:eastAsia="標楷體" w:hAnsi="標楷體" w:hint="eastAsia"/>
                <w:kern w:val="0"/>
                <w:sz w:val="20"/>
                <w:szCs w:val="20"/>
              </w:rPr>
              <w:t>未扣除之總金額</w:t>
            </w:r>
          </w:p>
        </w:tc>
      </w:tr>
      <w:tr w:rsidR="004D451D" w:rsidRPr="004D451D" w:rsidTr="005545A5">
        <w:trPr>
          <w:trHeight w:val="331"/>
          <w:jc w:val="center"/>
        </w:trPr>
        <w:tc>
          <w:tcPr>
            <w:tcW w:w="612" w:type="dxa"/>
            <w:vAlign w:val="center"/>
          </w:tcPr>
          <w:p w:rsidR="005545A5" w:rsidRPr="004D451D" w:rsidRDefault="005545A5" w:rsidP="005545A5">
            <w:pPr>
              <w:widowControl/>
              <w:jc w:val="center"/>
              <w:rPr>
                <w:rFonts w:eastAsia="標楷體"/>
                <w:kern w:val="0"/>
                <w:sz w:val="20"/>
                <w:szCs w:val="20"/>
              </w:rPr>
            </w:pPr>
            <w:r w:rsidRPr="004D451D">
              <w:rPr>
                <w:rFonts w:eastAsia="標楷體"/>
                <w:kern w:val="0"/>
                <w:sz w:val="20"/>
                <w:szCs w:val="20"/>
              </w:rPr>
              <w:t>85</w:t>
            </w:r>
          </w:p>
        </w:tc>
        <w:tc>
          <w:tcPr>
            <w:tcW w:w="4253" w:type="dxa"/>
            <w:vAlign w:val="center"/>
          </w:tcPr>
          <w:p w:rsidR="005545A5" w:rsidRPr="004D451D" w:rsidRDefault="005545A5" w:rsidP="005545A5">
            <w:pPr>
              <w:widowControl/>
              <w:rPr>
                <w:rFonts w:ascii="Garamond" w:eastAsia="標楷體" w:hAnsi="Garamond" w:cs="新細明體"/>
                <w:kern w:val="0"/>
                <w:sz w:val="20"/>
                <w:szCs w:val="20"/>
              </w:rPr>
            </w:pPr>
            <w:r w:rsidRPr="004D451D">
              <w:rPr>
                <w:rFonts w:ascii="Garamond" w:eastAsia="標楷體" w:hAnsi="標楷體" w:cs="新細明體" w:hint="eastAsia"/>
                <w:kern w:val="0"/>
                <w:sz w:val="20"/>
                <w:szCs w:val="20"/>
              </w:rPr>
              <w:t>因超限自第二類</w:t>
            </w:r>
            <w:r w:rsidRPr="004D451D">
              <w:rPr>
                <w:rFonts w:eastAsia="標楷體"/>
                <w:kern w:val="0"/>
                <w:sz w:val="20"/>
                <w:szCs w:val="20"/>
              </w:rPr>
              <w:t>(T2)</w:t>
            </w:r>
            <w:r w:rsidRPr="004D451D">
              <w:rPr>
                <w:rFonts w:eastAsia="標楷體" w:hint="eastAsia"/>
                <w:kern w:val="0"/>
                <w:sz w:val="20"/>
                <w:szCs w:val="20"/>
              </w:rPr>
              <w:t>排除金額（因贖回或到期而超限）</w:t>
            </w:r>
          </w:p>
        </w:tc>
        <w:tc>
          <w:tcPr>
            <w:tcW w:w="6281" w:type="dxa"/>
            <w:vAlign w:val="center"/>
          </w:tcPr>
          <w:p w:rsidR="005545A5" w:rsidRPr="004D451D" w:rsidRDefault="005545A5" w:rsidP="005545A5">
            <w:pPr>
              <w:widowControl/>
              <w:rPr>
                <w:rFonts w:eastAsia="標楷體"/>
                <w:bCs/>
                <w:kern w:val="0"/>
                <w:sz w:val="20"/>
                <w:szCs w:val="20"/>
              </w:rPr>
            </w:pPr>
            <w:r w:rsidRPr="004D451D">
              <w:rPr>
                <w:rFonts w:eastAsia="標楷體" w:hAnsi="標楷體" w:hint="eastAsia"/>
                <w:bCs/>
                <w:kern w:val="0"/>
                <w:sz w:val="20"/>
                <w:szCs w:val="20"/>
              </w:rPr>
              <w:t>依【銀行資本適足性及資本等級管理辦法修正條文】第</w:t>
            </w:r>
            <w:r w:rsidRPr="004D451D">
              <w:rPr>
                <w:rFonts w:eastAsia="標楷體"/>
                <w:bCs/>
                <w:kern w:val="0"/>
                <w:sz w:val="20"/>
                <w:szCs w:val="20"/>
              </w:rPr>
              <w:t>9,11</w:t>
            </w:r>
            <w:r w:rsidRPr="004D451D">
              <w:rPr>
                <w:rFonts w:eastAsia="標楷體" w:hAnsi="標楷體" w:hint="eastAsia"/>
                <w:bCs/>
                <w:kern w:val="0"/>
                <w:sz w:val="20"/>
                <w:szCs w:val="20"/>
              </w:rPr>
              <w:t>條規定計算</w:t>
            </w:r>
            <w:r w:rsidRPr="004D451D">
              <w:rPr>
                <w:rFonts w:eastAsia="標楷體" w:hint="eastAsia"/>
                <w:bCs/>
                <w:kern w:val="0"/>
                <w:sz w:val="20"/>
                <w:szCs w:val="20"/>
              </w:rPr>
              <w:t>（</w:t>
            </w:r>
            <w:r w:rsidRPr="004D451D">
              <w:rPr>
                <w:rFonts w:eastAsia="標楷體" w:hAnsi="標楷體" w:hint="eastAsia"/>
                <w:bCs/>
                <w:kern w:val="0"/>
                <w:sz w:val="20"/>
                <w:szCs w:val="20"/>
              </w:rPr>
              <w:t>相關說明可參考【</w:t>
            </w:r>
            <w:r w:rsidRPr="004D451D">
              <w:rPr>
                <w:rFonts w:eastAsia="標楷體"/>
                <w:bCs/>
                <w:kern w:val="0"/>
                <w:sz w:val="20"/>
                <w:szCs w:val="20"/>
              </w:rPr>
              <w:t>Basel_</w:t>
            </w:r>
            <w:r w:rsidRPr="004D451D">
              <w:rPr>
                <w:rFonts w:eastAsia="標楷體" w:hAnsi="標楷體" w:hint="eastAsia"/>
                <w:bCs/>
                <w:kern w:val="0"/>
                <w:sz w:val="20"/>
                <w:szCs w:val="20"/>
              </w:rPr>
              <w:t>Ⅲ：強化銀行體系穩健性之全球監理架構】第</w:t>
            </w:r>
            <w:r w:rsidRPr="004D451D">
              <w:rPr>
                <w:rFonts w:eastAsia="標楷體"/>
                <w:bCs/>
                <w:kern w:val="0"/>
                <w:sz w:val="20"/>
                <w:szCs w:val="20"/>
              </w:rPr>
              <w:t>94</w:t>
            </w:r>
            <w:r w:rsidRPr="004D451D">
              <w:rPr>
                <w:rFonts w:eastAsia="標楷體" w:hAnsi="標楷體" w:hint="eastAsia"/>
                <w:bCs/>
                <w:kern w:val="0"/>
                <w:sz w:val="20"/>
                <w:szCs w:val="20"/>
              </w:rPr>
              <w:t>段</w:t>
            </w:r>
            <w:r w:rsidRPr="004D451D">
              <w:rPr>
                <w:rFonts w:eastAsia="標楷體"/>
                <w:bCs/>
                <w:kern w:val="0"/>
                <w:sz w:val="20"/>
                <w:szCs w:val="20"/>
              </w:rPr>
              <w:t>(g)</w:t>
            </w:r>
            <w:r w:rsidRPr="004D451D">
              <w:rPr>
                <w:rFonts w:eastAsia="標楷體" w:hint="eastAsia"/>
                <w:bCs/>
                <w:kern w:val="0"/>
                <w:sz w:val="20"/>
                <w:szCs w:val="20"/>
              </w:rPr>
              <w:t>）</w:t>
            </w:r>
          </w:p>
          <w:p w:rsidR="005545A5" w:rsidRPr="004D451D" w:rsidRDefault="005545A5" w:rsidP="005545A5">
            <w:pPr>
              <w:widowControl/>
              <w:rPr>
                <w:rFonts w:eastAsia="標楷體"/>
                <w:bCs/>
                <w:kern w:val="0"/>
                <w:sz w:val="20"/>
                <w:szCs w:val="20"/>
              </w:rPr>
            </w:pPr>
            <w:r w:rsidRPr="004D451D">
              <w:rPr>
                <w:rFonts w:eastAsia="標楷體" w:hint="eastAsia"/>
                <w:bCs/>
                <w:kern w:val="0"/>
                <w:sz w:val="20"/>
                <w:szCs w:val="20"/>
              </w:rPr>
              <w:t>分階段扣除之</w:t>
            </w:r>
            <w:r w:rsidRPr="004D451D">
              <w:rPr>
                <w:rFonts w:eastAsia="標楷體" w:hAnsi="標楷體" w:hint="eastAsia"/>
                <w:kern w:val="0"/>
                <w:sz w:val="20"/>
                <w:szCs w:val="20"/>
              </w:rPr>
              <w:t>第二類資本</w:t>
            </w:r>
            <w:r w:rsidRPr="004D451D">
              <w:rPr>
                <w:rFonts w:eastAsia="標楷體"/>
                <w:kern w:val="0"/>
                <w:sz w:val="20"/>
                <w:szCs w:val="20"/>
              </w:rPr>
              <w:t>(T2)</w:t>
            </w:r>
            <w:r w:rsidRPr="004D451D">
              <w:rPr>
                <w:rFonts w:eastAsia="標楷體" w:hAnsi="標楷體" w:hint="eastAsia"/>
                <w:kern w:val="0"/>
                <w:sz w:val="20"/>
                <w:szCs w:val="20"/>
              </w:rPr>
              <w:t>已扣除之總金額</w:t>
            </w:r>
          </w:p>
        </w:tc>
      </w:tr>
    </w:tbl>
    <w:p w:rsidR="005545A5" w:rsidRPr="004D451D" w:rsidRDefault="005545A5" w:rsidP="005545A5">
      <w:pPr>
        <w:rPr>
          <w:rFonts w:ascii="標楷體" w:eastAsia="標楷體" w:hAnsi="標楷體"/>
          <w:sz w:val="32"/>
          <w:szCs w:val="32"/>
        </w:rPr>
        <w:sectPr w:rsidR="005545A5" w:rsidRPr="004D451D" w:rsidSect="006A2EB6">
          <w:footnotePr>
            <w:numStart w:val="222"/>
          </w:footnotePr>
          <w:pgSz w:w="11906" w:h="16838"/>
          <w:pgMar w:top="902" w:right="1259" w:bottom="720" w:left="1259" w:header="851" w:footer="357" w:gutter="0"/>
          <w:cols w:space="425"/>
          <w:docGrid w:linePitch="360"/>
        </w:sectPr>
      </w:pPr>
    </w:p>
    <w:p w:rsidR="00BF1989" w:rsidRPr="004D451D" w:rsidRDefault="00BF1989" w:rsidP="00BF1989">
      <w:pPr>
        <w:rPr>
          <w:rFonts w:ascii="標楷體" w:eastAsia="標楷體" w:hAnsi="標楷體"/>
          <w:b/>
          <w:sz w:val="32"/>
          <w:szCs w:val="32"/>
          <w:u w:val="single"/>
          <w:shd w:val="pct15" w:color="auto" w:fill="FFFFFF"/>
        </w:rPr>
      </w:pPr>
      <w:r w:rsidRPr="004D451D">
        <w:rPr>
          <w:rFonts w:ascii="標楷體" w:eastAsia="標楷體" w:hAnsi="標楷體" w:hint="eastAsia"/>
          <w:b/>
          <w:sz w:val="32"/>
          <w:szCs w:val="32"/>
        </w:rPr>
        <w:lastRenderedPageBreak/>
        <w:t>【附表五】</w:t>
      </w:r>
    </w:p>
    <w:p w:rsidR="00BF1989" w:rsidRPr="004D451D" w:rsidRDefault="00BF1989" w:rsidP="00BF1989">
      <w:pPr>
        <w:jc w:val="center"/>
        <w:rPr>
          <w:rFonts w:eastAsia="標楷體" w:hAnsi="標楷體"/>
          <w:b/>
          <w:w w:val="90"/>
          <w:sz w:val="36"/>
          <w:szCs w:val="40"/>
        </w:rPr>
      </w:pPr>
      <w:r w:rsidRPr="004D451D">
        <w:rPr>
          <w:rFonts w:eastAsia="標楷體" w:hAnsi="標楷體" w:hint="eastAsia"/>
          <w:b/>
          <w:w w:val="90"/>
          <w:sz w:val="36"/>
          <w:szCs w:val="40"/>
        </w:rPr>
        <w:t>普通股以外之合格資本工具重要發行條款特性說明</w:t>
      </w:r>
    </w:p>
    <w:p w:rsidR="00BF1989" w:rsidRPr="004D451D" w:rsidRDefault="00BF1989" w:rsidP="00BF1989">
      <w:pPr>
        <w:jc w:val="center"/>
        <w:rPr>
          <w:rFonts w:eastAsia="標楷體"/>
          <w:b/>
          <w:w w:val="90"/>
          <w:sz w:val="20"/>
        </w:rPr>
      </w:pPr>
      <w:r w:rsidRPr="004D451D">
        <w:rPr>
          <w:rFonts w:eastAsia="標楷體"/>
          <w:b/>
          <w:w w:val="90"/>
          <w:sz w:val="32"/>
          <w:szCs w:val="40"/>
        </w:rPr>
        <w:t xml:space="preserve">   </w:t>
      </w:r>
      <w:r w:rsidR="00AF020E" w:rsidRPr="004D451D">
        <w:rPr>
          <w:rFonts w:eastAsia="標楷體" w:hint="eastAsia"/>
          <w:b/>
          <w:w w:val="90"/>
          <w:sz w:val="32"/>
          <w:szCs w:val="40"/>
        </w:rPr>
        <w:t>10</w:t>
      </w:r>
      <w:r w:rsidR="00591E3D" w:rsidRPr="004D451D">
        <w:rPr>
          <w:rFonts w:eastAsia="標楷體" w:hint="eastAsia"/>
          <w:b/>
          <w:w w:val="90"/>
          <w:sz w:val="32"/>
          <w:szCs w:val="40"/>
        </w:rPr>
        <w:t>7</w:t>
      </w:r>
      <w:r w:rsidRPr="004D451D">
        <w:rPr>
          <w:rFonts w:eastAsia="標楷體" w:hAnsi="標楷體" w:hint="eastAsia"/>
          <w:b/>
          <w:w w:val="90"/>
          <w:sz w:val="32"/>
          <w:szCs w:val="40"/>
        </w:rPr>
        <w:t>年</w:t>
      </w:r>
      <w:r w:rsidR="00591E3D" w:rsidRPr="004D451D">
        <w:rPr>
          <w:rFonts w:eastAsia="標楷體" w:hAnsi="標楷體" w:hint="eastAsia"/>
          <w:b/>
          <w:w w:val="90"/>
          <w:sz w:val="32"/>
          <w:szCs w:val="40"/>
        </w:rPr>
        <w:t>06</w:t>
      </w:r>
      <w:r w:rsidRPr="004D451D">
        <w:rPr>
          <w:rFonts w:eastAsia="標楷體" w:hAnsi="標楷體" w:hint="eastAsia"/>
          <w:b/>
          <w:w w:val="90"/>
          <w:sz w:val="32"/>
          <w:szCs w:val="40"/>
        </w:rPr>
        <w:t>月</w:t>
      </w:r>
      <w:r w:rsidR="00AF020E" w:rsidRPr="004D451D">
        <w:rPr>
          <w:rFonts w:eastAsia="標楷體" w:hAnsi="標楷體" w:hint="eastAsia"/>
          <w:b/>
          <w:w w:val="90"/>
          <w:sz w:val="32"/>
          <w:szCs w:val="40"/>
        </w:rPr>
        <w:t>3</w:t>
      </w:r>
      <w:r w:rsidR="00591E3D" w:rsidRPr="004D451D">
        <w:rPr>
          <w:rFonts w:eastAsia="標楷體" w:hAnsi="標楷體" w:hint="eastAsia"/>
          <w:b/>
          <w:w w:val="90"/>
          <w:sz w:val="32"/>
          <w:szCs w:val="40"/>
        </w:rPr>
        <w:t>0</w:t>
      </w:r>
      <w:r w:rsidRPr="004D451D">
        <w:rPr>
          <w:rFonts w:eastAsia="標楷體" w:hAnsi="標楷體" w:hint="eastAsia"/>
          <w:b/>
          <w:w w:val="90"/>
          <w:sz w:val="32"/>
          <w:szCs w:val="40"/>
        </w:rPr>
        <w:t>日</w:t>
      </w:r>
    </w:p>
    <w:tbl>
      <w:tblPr>
        <w:tblW w:w="1052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959"/>
        <w:gridCol w:w="2015"/>
        <w:gridCol w:w="2015"/>
      </w:tblGrid>
      <w:tr w:rsidR="004D451D" w:rsidRPr="004D451D" w:rsidTr="00BF53C1">
        <w:trPr>
          <w:trHeight w:val="20"/>
          <w:tblHeader/>
        </w:trPr>
        <w:tc>
          <w:tcPr>
            <w:tcW w:w="540" w:type="dxa"/>
            <w:vAlign w:val="center"/>
          </w:tcPr>
          <w:p w:rsidR="00BF1989" w:rsidRPr="004D451D" w:rsidRDefault="00BF1989" w:rsidP="00BF53C1">
            <w:pPr>
              <w:widowControl/>
              <w:spacing w:beforeLines="25" w:before="60" w:afterLines="25" w:after="60" w:line="300" w:lineRule="exact"/>
              <w:jc w:val="center"/>
              <w:rPr>
                <w:rFonts w:eastAsia="標楷體"/>
                <w:kern w:val="0"/>
              </w:rPr>
            </w:pPr>
            <w:r w:rsidRPr="004D451D">
              <w:rPr>
                <w:rFonts w:eastAsia="標楷體"/>
                <w:kern w:val="0"/>
              </w:rPr>
              <w:t>#</w:t>
            </w:r>
          </w:p>
        </w:tc>
        <w:tc>
          <w:tcPr>
            <w:tcW w:w="5959" w:type="dxa"/>
            <w:vAlign w:val="center"/>
          </w:tcPr>
          <w:p w:rsidR="00BF1989" w:rsidRPr="004D451D" w:rsidRDefault="00BF1989" w:rsidP="00BF53C1">
            <w:pPr>
              <w:widowControl/>
              <w:spacing w:beforeLines="25" w:before="60" w:afterLines="25" w:after="60" w:line="300" w:lineRule="exact"/>
              <w:jc w:val="center"/>
              <w:rPr>
                <w:rFonts w:eastAsia="標楷體"/>
                <w:kern w:val="0"/>
              </w:rPr>
            </w:pPr>
            <w:r w:rsidRPr="004D451D">
              <w:rPr>
                <w:rFonts w:eastAsia="標楷體" w:hAnsi="標楷體" w:hint="eastAsia"/>
                <w:kern w:val="0"/>
              </w:rPr>
              <w:t>項</w:t>
            </w:r>
            <w:r w:rsidRPr="004D451D">
              <w:rPr>
                <w:rFonts w:eastAsia="標楷體"/>
                <w:kern w:val="0"/>
              </w:rPr>
              <w:t xml:space="preserve">  </w:t>
            </w:r>
            <w:r w:rsidRPr="004D451D">
              <w:rPr>
                <w:rFonts w:eastAsia="標楷體" w:hAnsi="標楷體" w:hint="eastAsia"/>
                <w:kern w:val="0"/>
              </w:rPr>
              <w:t>目</w:t>
            </w:r>
          </w:p>
        </w:tc>
        <w:tc>
          <w:tcPr>
            <w:tcW w:w="2015" w:type="dxa"/>
          </w:tcPr>
          <w:p w:rsidR="00BF1989" w:rsidRPr="004D451D" w:rsidRDefault="00BF1989" w:rsidP="00BF53C1">
            <w:pPr>
              <w:widowControl/>
              <w:spacing w:beforeLines="25" w:before="60" w:afterLines="25" w:after="60" w:line="300" w:lineRule="exact"/>
              <w:jc w:val="center"/>
              <w:rPr>
                <w:rFonts w:eastAsia="標楷體" w:hAnsi="標楷體"/>
                <w:kern w:val="0"/>
              </w:rPr>
            </w:pPr>
            <w:r w:rsidRPr="004D451D">
              <w:rPr>
                <w:rFonts w:eastAsia="標楷體" w:hAnsi="標楷體"/>
                <w:kern w:val="0"/>
              </w:rPr>
              <w:t xml:space="preserve"> </w:t>
            </w:r>
            <w:r w:rsidRPr="004D451D">
              <w:rPr>
                <w:rFonts w:eastAsia="標楷體" w:hAnsi="標楷體" w:hint="eastAsia"/>
                <w:kern w:val="0"/>
              </w:rPr>
              <w:t>第</w:t>
            </w:r>
            <w:r w:rsidRPr="004D451D">
              <w:rPr>
                <w:rFonts w:eastAsia="標楷體" w:hAnsi="標楷體"/>
                <w:kern w:val="0"/>
              </w:rPr>
              <w:t xml:space="preserve">  </w:t>
            </w:r>
            <w:r w:rsidRPr="004D451D">
              <w:rPr>
                <w:rFonts w:eastAsia="標楷體" w:hAnsi="標楷體" w:hint="eastAsia"/>
                <w:kern w:val="0"/>
              </w:rPr>
              <w:t>次（期）</w:t>
            </w:r>
            <w:r w:rsidR="00101671" w:rsidRPr="004D451D">
              <w:rPr>
                <w:rFonts w:eastAsia="標楷體" w:hAnsi="標楷體" w:hint="eastAsia"/>
                <w:kern w:val="0"/>
                <w:vertAlign w:val="superscript"/>
              </w:rPr>
              <w:t>2</w:t>
            </w:r>
          </w:p>
        </w:tc>
        <w:tc>
          <w:tcPr>
            <w:tcW w:w="2015" w:type="dxa"/>
            <w:vAlign w:val="center"/>
          </w:tcPr>
          <w:p w:rsidR="00BF1989" w:rsidRPr="004D451D" w:rsidRDefault="00BF1989" w:rsidP="00BF53C1">
            <w:pPr>
              <w:widowControl/>
              <w:spacing w:beforeLines="25" w:before="60" w:afterLines="25" w:after="60" w:line="300" w:lineRule="exact"/>
              <w:jc w:val="center"/>
              <w:rPr>
                <w:rFonts w:eastAsia="標楷體"/>
                <w:kern w:val="0"/>
              </w:rPr>
            </w:pPr>
            <w:r w:rsidRPr="004D451D">
              <w:rPr>
                <w:rFonts w:eastAsia="標楷體" w:hAnsi="標楷體" w:hint="eastAsia"/>
                <w:kern w:val="0"/>
              </w:rPr>
              <w:t>第</w:t>
            </w:r>
            <w:r w:rsidRPr="004D451D">
              <w:rPr>
                <w:rFonts w:eastAsia="標楷體" w:hAnsi="標楷體"/>
                <w:kern w:val="0"/>
              </w:rPr>
              <w:t xml:space="preserve">  </w:t>
            </w:r>
            <w:r w:rsidRPr="004D451D">
              <w:rPr>
                <w:rFonts w:eastAsia="標楷體" w:hAnsi="標楷體" w:hint="eastAsia"/>
                <w:kern w:val="0"/>
              </w:rPr>
              <w:t>次（期）</w:t>
            </w: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特別股或債券簡稱</w:t>
            </w:r>
            <w:r w:rsidRPr="004D451D">
              <w:rPr>
                <w:rFonts w:eastAsia="標楷體" w:hAnsi="標楷體"/>
                <w:kern w:val="0"/>
              </w:rPr>
              <w:t>(</w:t>
            </w:r>
            <w:r w:rsidRPr="004D451D">
              <w:rPr>
                <w:rFonts w:eastAsia="標楷體" w:hAnsi="標楷體" w:hint="eastAsia"/>
                <w:kern w:val="0"/>
              </w:rPr>
              <w:t>如發行年度及期別</w:t>
            </w:r>
            <w:r w:rsidRPr="004D451D">
              <w:rPr>
                <w:rFonts w:eastAsia="標楷體" w:hAnsi="標楷體"/>
                <w:kern w:val="0"/>
              </w:rPr>
              <w:t>)</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發行人</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3</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代碼</w:t>
            </w:r>
            <w:r w:rsidRPr="004D451D">
              <w:rPr>
                <w:rFonts w:eastAsia="標楷體" w:hAnsi="標楷體"/>
                <w:kern w:val="0"/>
              </w:rPr>
              <w:t>(</w:t>
            </w:r>
            <w:r w:rsidRPr="004D451D">
              <w:rPr>
                <w:rFonts w:eastAsia="標楷體" w:hAnsi="標楷體" w:hint="eastAsia"/>
                <w:kern w:val="0"/>
              </w:rPr>
              <w:t>如</w:t>
            </w:r>
            <w:r w:rsidRPr="004D451D">
              <w:rPr>
                <w:rFonts w:eastAsia="標楷體" w:hAnsi="標楷體"/>
                <w:kern w:val="0"/>
              </w:rPr>
              <w:t>CUSIP, ISIN</w:t>
            </w:r>
            <w:r w:rsidRPr="004D451D">
              <w:rPr>
                <w:rFonts w:eastAsia="標楷體" w:hAnsi="標楷體" w:hint="eastAsia"/>
                <w:kern w:val="0"/>
              </w:rPr>
              <w:t>碼</w:t>
            </w:r>
            <w:r w:rsidRPr="004D451D">
              <w:rPr>
                <w:rFonts w:eastAsia="標楷體" w:hAnsi="標楷體"/>
                <w:kern w:val="0"/>
              </w:rPr>
              <w:t>)</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4</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資本工具適用法源</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計算規範</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5</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資本類別</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6</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計入資本方式</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7</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銀行本身</w:t>
            </w:r>
            <w:r w:rsidRPr="004D451D">
              <w:rPr>
                <w:rFonts w:eastAsia="標楷體" w:hAnsi="標楷體"/>
                <w:kern w:val="0"/>
              </w:rPr>
              <w:t>/</w:t>
            </w:r>
            <w:r w:rsidRPr="004D451D">
              <w:rPr>
                <w:rFonts w:eastAsia="標楷體" w:hAnsi="標楷體" w:hint="eastAsia"/>
                <w:kern w:val="0"/>
              </w:rPr>
              <w:t>合併</w:t>
            </w:r>
            <w:r w:rsidRPr="004D451D">
              <w:rPr>
                <w:rFonts w:eastAsia="標楷體" w:hAnsi="標楷體"/>
                <w:kern w:val="0"/>
              </w:rPr>
              <w:t>/</w:t>
            </w:r>
            <w:r w:rsidRPr="004D451D">
              <w:rPr>
                <w:rFonts w:eastAsia="標楷體" w:hAnsi="標楷體" w:hint="eastAsia"/>
                <w:kern w:val="0"/>
              </w:rPr>
              <w:t>銀行本身及合併之合格資本工具</w:t>
            </w:r>
            <w:r w:rsidRPr="004D451D">
              <w:rPr>
                <w:rFonts w:eastAsia="標楷體" w:hAnsi="標楷體" w:hint="eastAsia"/>
                <w:kern w:val="0"/>
                <w:vertAlign w:val="superscript"/>
              </w:rPr>
              <w:t>3</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8</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資本工具種類</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9</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計入自有資本金額</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10</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發行總額</w:t>
            </w:r>
            <w:r w:rsidRPr="004D451D">
              <w:rPr>
                <w:rFonts w:eastAsia="標楷體" w:hAnsi="標楷體" w:hint="eastAsia"/>
                <w:kern w:val="0"/>
                <w:vertAlign w:val="superscript"/>
              </w:rPr>
              <w:t>4</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11</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會計分類</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12</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原始發行日</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13</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永續或非永續</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14</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原始到期日</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15</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須經主管機關事前核准之發行方贖回權</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16</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贖回條款</w:t>
            </w:r>
            <w:r w:rsidRPr="004D451D">
              <w:rPr>
                <w:rFonts w:eastAsia="標楷體" w:hAnsi="標楷體" w:hint="eastAsia"/>
                <w:kern w:val="0"/>
                <w:vertAlign w:val="superscript"/>
              </w:rPr>
              <w:t>5</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17</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可轉換之次順位債券或可轉換特別股之轉換條款</w:t>
            </w:r>
            <w:r w:rsidRPr="004D451D">
              <w:rPr>
                <w:rFonts w:eastAsia="標楷體" w:hAnsi="標楷體" w:hint="eastAsia"/>
                <w:kern w:val="0"/>
                <w:vertAlign w:val="superscript"/>
              </w:rPr>
              <w:t>6</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債息</w:t>
            </w:r>
            <w:r w:rsidRPr="004D451D">
              <w:rPr>
                <w:rFonts w:eastAsia="標楷體" w:hAnsi="標楷體"/>
                <w:kern w:val="0"/>
              </w:rPr>
              <w:t>/</w:t>
            </w:r>
            <w:r w:rsidRPr="004D451D">
              <w:rPr>
                <w:rFonts w:eastAsia="標楷體" w:hAnsi="標楷體" w:hint="eastAsia"/>
                <w:kern w:val="0"/>
              </w:rPr>
              <w:t>股利</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18</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固定或浮動債息</w:t>
            </w:r>
            <w:r w:rsidRPr="004D451D">
              <w:rPr>
                <w:rFonts w:eastAsia="標楷體" w:hAnsi="標楷體"/>
                <w:kern w:val="0"/>
              </w:rPr>
              <w:t>/</w:t>
            </w:r>
            <w:r w:rsidRPr="004D451D">
              <w:rPr>
                <w:rFonts w:eastAsia="標楷體" w:hAnsi="標楷體" w:hint="eastAsia"/>
                <w:kern w:val="0"/>
              </w:rPr>
              <w:t>股利</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19</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票面利率及任何相關指標</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20</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是否有停止支付普通股股利條件</w:t>
            </w:r>
            <w:r w:rsidRPr="004D451D">
              <w:rPr>
                <w:rFonts w:eastAsia="標楷體" w:hAnsi="標楷體"/>
                <w:kern w:val="0"/>
              </w:rPr>
              <w:t>(</w:t>
            </w:r>
            <w:r w:rsidRPr="004D451D">
              <w:rPr>
                <w:rFonts w:eastAsia="標楷體" w:hAnsi="標楷體" w:hint="eastAsia"/>
                <w:kern w:val="0"/>
              </w:rPr>
              <w:t>即當資本工具無發放債息或股利時，是否有限制普通股股利之發放</w:t>
            </w:r>
            <w:r w:rsidRPr="004D451D">
              <w:rPr>
                <w:rFonts w:eastAsia="標楷體" w:hAnsi="標楷體"/>
                <w:kern w:val="0"/>
              </w:rPr>
              <w:t>)</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21</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對於債息</w:t>
            </w:r>
            <w:r w:rsidRPr="004D451D">
              <w:rPr>
                <w:rFonts w:eastAsia="標楷體" w:hAnsi="標楷體"/>
                <w:kern w:val="0"/>
              </w:rPr>
              <w:t>/</w:t>
            </w:r>
            <w:r w:rsidRPr="004D451D">
              <w:rPr>
                <w:rFonts w:eastAsia="標楷體" w:hAnsi="標楷體" w:hint="eastAsia"/>
                <w:kern w:val="0"/>
              </w:rPr>
              <w:t>股利之支付，發行人是否有完全自主權、部分自主權或強制，並請說明相關條款內容。</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22</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是否有利率加碼之約定或其他贖回誘因</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23</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債息</w:t>
            </w:r>
            <w:r w:rsidRPr="004D451D">
              <w:rPr>
                <w:rFonts w:eastAsia="標楷體" w:hAnsi="標楷體"/>
                <w:kern w:val="0"/>
              </w:rPr>
              <w:t>/</w:t>
            </w:r>
            <w:r w:rsidRPr="004D451D">
              <w:rPr>
                <w:rFonts w:eastAsia="標楷體" w:hAnsi="標楷體" w:hint="eastAsia"/>
                <w:kern w:val="0"/>
              </w:rPr>
              <w:t>股利是累積或非累積</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24</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是否於發行條件中載明若發生經主管機關依法派員接管、清理或清算時，該等資本工具持有人之清償順位與普通股股東相同之規定</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t>25</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kern w:val="0"/>
              </w:rPr>
              <w:t>101</w:t>
            </w:r>
            <w:r w:rsidRPr="004D451D">
              <w:rPr>
                <w:rFonts w:eastAsia="標楷體" w:hAnsi="標楷體" w:hint="eastAsia"/>
                <w:kern w:val="0"/>
              </w:rPr>
              <w:t>年</w:t>
            </w:r>
            <w:r w:rsidRPr="004D451D">
              <w:rPr>
                <w:rFonts w:eastAsia="標楷體" w:hAnsi="標楷體"/>
                <w:kern w:val="0"/>
              </w:rPr>
              <w:t>12</w:t>
            </w:r>
            <w:r w:rsidRPr="004D451D">
              <w:rPr>
                <w:rFonts w:eastAsia="標楷體" w:hAnsi="標楷體" w:hint="eastAsia"/>
                <w:kern w:val="0"/>
              </w:rPr>
              <w:t>月</w:t>
            </w:r>
            <w:r w:rsidRPr="004D451D">
              <w:rPr>
                <w:rFonts w:eastAsia="標楷體" w:hAnsi="標楷體"/>
                <w:kern w:val="0"/>
              </w:rPr>
              <w:t>31</w:t>
            </w:r>
            <w:r w:rsidRPr="004D451D">
              <w:rPr>
                <w:rFonts w:eastAsia="標楷體" w:hAnsi="標楷體" w:hint="eastAsia"/>
                <w:kern w:val="0"/>
              </w:rPr>
              <w:t>日前發行，因未符合「銀行資本適足性及資本等級管理辦法」第八條第二項及第九條第三項所訂資本工具條件，而適用第十一條之過渡期間規定</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r w:rsidR="004D451D" w:rsidRPr="004D451D" w:rsidTr="00AF020E">
        <w:trPr>
          <w:trHeight w:val="20"/>
        </w:trPr>
        <w:tc>
          <w:tcPr>
            <w:tcW w:w="540" w:type="dxa"/>
            <w:vAlign w:val="center"/>
          </w:tcPr>
          <w:p w:rsidR="00AF020E" w:rsidRPr="004D451D" w:rsidRDefault="00AF020E" w:rsidP="00BF53C1">
            <w:pPr>
              <w:widowControl/>
              <w:spacing w:beforeLines="25" w:before="60" w:afterLines="25" w:after="60" w:line="300" w:lineRule="exact"/>
              <w:jc w:val="center"/>
              <w:rPr>
                <w:rFonts w:eastAsia="標楷體"/>
                <w:kern w:val="0"/>
              </w:rPr>
            </w:pPr>
            <w:r w:rsidRPr="004D451D">
              <w:rPr>
                <w:rFonts w:eastAsia="標楷體"/>
                <w:kern w:val="0"/>
              </w:rPr>
              <w:lastRenderedPageBreak/>
              <w:t>26</w:t>
            </w:r>
          </w:p>
        </w:tc>
        <w:tc>
          <w:tcPr>
            <w:tcW w:w="5959" w:type="dxa"/>
          </w:tcPr>
          <w:p w:rsidR="00AF020E" w:rsidRPr="004D451D" w:rsidRDefault="00AF020E" w:rsidP="00BF53C1">
            <w:pPr>
              <w:widowControl/>
              <w:spacing w:beforeLines="25" w:before="60" w:afterLines="25" w:after="60" w:line="300" w:lineRule="exact"/>
              <w:ind w:leftChars="100" w:left="240"/>
              <w:rPr>
                <w:rFonts w:eastAsia="標楷體" w:hAnsi="標楷體"/>
                <w:kern w:val="0"/>
              </w:rPr>
            </w:pPr>
            <w:r w:rsidRPr="004D451D">
              <w:rPr>
                <w:rFonts w:eastAsia="標楷體" w:hAnsi="標楷體" w:hint="eastAsia"/>
                <w:kern w:val="0"/>
              </w:rPr>
              <w:t>若有，請說明未符合「銀行資本適足性及資本等級管理辦法」第八條第二項及第九條第三項之特性</w:t>
            </w:r>
          </w:p>
        </w:tc>
        <w:tc>
          <w:tcPr>
            <w:tcW w:w="2015" w:type="dxa"/>
            <w:vAlign w:val="center"/>
          </w:tcPr>
          <w:p w:rsidR="00AF020E" w:rsidRPr="004D451D" w:rsidRDefault="00AF020E" w:rsidP="00AF020E">
            <w:pPr>
              <w:jc w:val="center"/>
            </w:pPr>
            <w:r w:rsidRPr="004D451D">
              <w:rPr>
                <w:rFonts w:eastAsia="標楷體" w:hint="eastAsia"/>
                <w:kern w:val="0"/>
              </w:rPr>
              <w:t>無</w:t>
            </w:r>
          </w:p>
        </w:tc>
        <w:tc>
          <w:tcPr>
            <w:tcW w:w="2015" w:type="dxa"/>
          </w:tcPr>
          <w:p w:rsidR="00AF020E" w:rsidRPr="004D451D" w:rsidRDefault="00AF020E" w:rsidP="00BF53C1">
            <w:pPr>
              <w:widowControl/>
              <w:spacing w:beforeLines="25" w:before="60" w:afterLines="25" w:after="60"/>
              <w:jc w:val="both"/>
              <w:rPr>
                <w:rFonts w:eastAsia="標楷體"/>
                <w:kern w:val="0"/>
              </w:rPr>
            </w:pPr>
          </w:p>
        </w:tc>
      </w:tr>
    </w:tbl>
    <w:p w:rsidR="00101671" w:rsidRPr="004D451D" w:rsidRDefault="00101671" w:rsidP="00167BF0">
      <w:pPr>
        <w:jc w:val="both"/>
        <w:rPr>
          <w:rFonts w:eastAsia="標楷體" w:hAnsi="標楷體"/>
          <w:b/>
        </w:rPr>
      </w:pPr>
    </w:p>
    <w:p w:rsidR="00167BF0" w:rsidRPr="004D451D" w:rsidRDefault="00167BF0" w:rsidP="00167BF0">
      <w:pPr>
        <w:jc w:val="both"/>
        <w:rPr>
          <w:rFonts w:eastAsia="標楷體" w:hAnsi="標楷體"/>
          <w:b/>
        </w:rPr>
      </w:pPr>
      <w:r w:rsidRPr="004D451D">
        <w:rPr>
          <w:rFonts w:eastAsia="標楷體" w:hAnsi="標楷體" w:hint="eastAsia"/>
          <w:b/>
        </w:rPr>
        <w:t>填表說明：</w:t>
      </w:r>
    </w:p>
    <w:p w:rsidR="00167BF0" w:rsidRPr="004D451D" w:rsidRDefault="00167BF0" w:rsidP="009F53B0">
      <w:pPr>
        <w:numPr>
          <w:ilvl w:val="0"/>
          <w:numId w:val="98"/>
        </w:numPr>
        <w:ind w:leftChars="150" w:left="720" w:hangingChars="150"/>
        <w:jc w:val="both"/>
        <w:rPr>
          <w:rFonts w:eastAsia="標楷體" w:hAnsi="標楷體"/>
        </w:rPr>
      </w:pPr>
      <w:r w:rsidRPr="004D451D">
        <w:rPr>
          <w:rFonts w:eastAsia="標楷體" w:hAnsi="標楷體" w:hint="eastAsia"/>
        </w:rPr>
        <w:t>本表更新頻率：</w:t>
      </w:r>
      <w:r w:rsidR="00CF73C7" w:rsidRPr="004D451D">
        <w:rPr>
          <w:rFonts w:eastAsia="標楷體" w:hAnsi="標楷體" w:hint="eastAsia"/>
        </w:rPr>
        <w:t>半</w:t>
      </w:r>
      <w:r w:rsidRPr="004D451D">
        <w:rPr>
          <w:rFonts w:eastAsia="標楷體" w:hAnsi="標楷體" w:hint="eastAsia"/>
        </w:rPr>
        <w:t>年。</w:t>
      </w:r>
    </w:p>
    <w:p w:rsidR="00BF1989" w:rsidRPr="004D451D" w:rsidRDefault="00BF1989" w:rsidP="009F53B0">
      <w:pPr>
        <w:numPr>
          <w:ilvl w:val="0"/>
          <w:numId w:val="98"/>
        </w:numPr>
        <w:ind w:leftChars="150" w:left="720" w:hangingChars="150"/>
        <w:jc w:val="both"/>
        <w:rPr>
          <w:rFonts w:eastAsia="標楷體" w:hAnsi="標楷體"/>
        </w:rPr>
      </w:pPr>
      <w:r w:rsidRPr="004D451D">
        <w:rPr>
          <w:rFonts w:eastAsia="標楷體" w:hAnsi="標楷體" w:hint="eastAsia"/>
        </w:rPr>
        <w:t>本揭露表格應逐筆填報納入銀行本身及合併自有資本計算之普通股以外的合格資本工具。</w:t>
      </w:r>
    </w:p>
    <w:p w:rsidR="00BF1989" w:rsidRPr="004D451D" w:rsidRDefault="00BF1989" w:rsidP="009F53B0">
      <w:pPr>
        <w:numPr>
          <w:ilvl w:val="0"/>
          <w:numId w:val="98"/>
        </w:numPr>
        <w:ind w:leftChars="150" w:left="720" w:hangingChars="150"/>
        <w:jc w:val="both"/>
        <w:rPr>
          <w:rFonts w:eastAsia="標楷體" w:hAnsi="標楷體"/>
        </w:rPr>
      </w:pPr>
      <w:r w:rsidRPr="004D451D">
        <w:rPr>
          <w:rFonts w:eastAsia="標楷體" w:hAnsi="標楷體" w:hint="eastAsia"/>
        </w:rPr>
        <w:t>銀行本身發行之資本工具，在計算本身及合併自有資本時皆須計入，因此填報「銀行本身及合併」；若銀行無子公司而無需計算合併自有資本，則填報「銀行本身」。銀行之子公司發行的資本工具，僅在計算合併自有資本時須計入，因此填報「合併」。</w:t>
      </w:r>
    </w:p>
    <w:p w:rsidR="00BF1989" w:rsidRPr="004D451D" w:rsidRDefault="00BF1989" w:rsidP="009F53B0">
      <w:pPr>
        <w:numPr>
          <w:ilvl w:val="0"/>
          <w:numId w:val="98"/>
        </w:numPr>
        <w:ind w:leftChars="150" w:left="720" w:hangingChars="150"/>
        <w:jc w:val="both"/>
        <w:rPr>
          <w:rFonts w:eastAsia="標楷體" w:hAnsi="標楷體"/>
        </w:rPr>
      </w:pPr>
      <w:r w:rsidRPr="004D451D">
        <w:rPr>
          <w:rFonts w:eastAsia="標楷體" w:hAnsi="標楷體" w:hint="eastAsia"/>
        </w:rPr>
        <w:t>資本工具總額係指不含折溢價之發行總金額。</w:t>
      </w:r>
    </w:p>
    <w:p w:rsidR="00BF1989" w:rsidRPr="004D451D" w:rsidRDefault="00BF1989" w:rsidP="009F53B0">
      <w:pPr>
        <w:numPr>
          <w:ilvl w:val="0"/>
          <w:numId w:val="98"/>
        </w:numPr>
        <w:ind w:leftChars="150" w:left="720" w:hangingChars="150"/>
        <w:jc w:val="both"/>
        <w:rPr>
          <w:rFonts w:eastAsia="標楷體" w:hAnsi="標楷體"/>
        </w:rPr>
      </w:pPr>
      <w:r w:rsidRPr="004D451D">
        <w:rPr>
          <w:rFonts w:eastAsia="標楷體" w:hAnsi="標楷體" w:hint="eastAsia"/>
        </w:rPr>
        <w:t>資本工具若有須經主管機關事前核准之發行方贖回權，則請說明贖回條款內容，例如首次可贖回日、後續可贖回日之頻率、贖回金額、是否有稅務及</w:t>
      </w:r>
      <w:r w:rsidRPr="004D451D">
        <w:rPr>
          <w:rFonts w:eastAsia="標楷體" w:hAnsi="標楷體"/>
        </w:rPr>
        <w:t>/</w:t>
      </w:r>
      <w:r w:rsidRPr="004D451D">
        <w:rPr>
          <w:rFonts w:eastAsia="標楷體" w:hAnsi="標楷體" w:hint="eastAsia"/>
        </w:rPr>
        <w:t>或法律事件發生時之贖回權等。</w:t>
      </w:r>
    </w:p>
    <w:p w:rsidR="00BF1989" w:rsidRPr="004D451D" w:rsidRDefault="00BF1989" w:rsidP="009F53B0">
      <w:pPr>
        <w:numPr>
          <w:ilvl w:val="0"/>
          <w:numId w:val="98"/>
        </w:numPr>
        <w:ind w:leftChars="150" w:left="720" w:hangingChars="150"/>
        <w:jc w:val="both"/>
        <w:rPr>
          <w:rFonts w:eastAsia="標楷體" w:hAnsi="標楷體"/>
        </w:rPr>
      </w:pPr>
      <w:r w:rsidRPr="004D451D">
        <w:rPr>
          <w:rFonts w:eastAsia="標楷體" w:hAnsi="標楷體" w:hint="eastAsia"/>
          <w:kern w:val="0"/>
        </w:rPr>
        <w:t>若資本工具屬於可轉換之次順位債券或可轉換特別股</w:t>
      </w:r>
      <w:r w:rsidR="004A5224" w:rsidRPr="004D451D">
        <w:rPr>
          <w:rFonts w:eastAsia="標楷體" w:hAnsi="標楷體" w:hint="eastAsia"/>
          <w:kern w:val="0"/>
        </w:rPr>
        <w:t>(</w:t>
      </w:r>
      <w:r w:rsidRPr="004D451D">
        <w:rPr>
          <w:rFonts w:eastAsia="標楷體" w:hAnsi="標楷體" w:hint="eastAsia"/>
          <w:kern w:val="0"/>
        </w:rPr>
        <w:t>指由債券或特別股持有人決定是否執行轉換權</w:t>
      </w:r>
      <w:r w:rsidR="004A5224" w:rsidRPr="004D451D">
        <w:rPr>
          <w:rFonts w:eastAsia="標楷體" w:hAnsi="標楷體" w:hint="eastAsia"/>
          <w:kern w:val="0"/>
        </w:rPr>
        <w:t>)</w:t>
      </w:r>
      <w:r w:rsidRPr="004D451D">
        <w:rPr>
          <w:rFonts w:eastAsia="標楷體" w:hAnsi="標楷體" w:hint="eastAsia"/>
          <w:kern w:val="0"/>
        </w:rPr>
        <w:t>，請說明轉換條款內容，例如到期日是否強制轉換、轉換後之資本工具類型。</w:t>
      </w:r>
    </w:p>
    <w:p w:rsidR="00BF1989" w:rsidRPr="004D451D" w:rsidRDefault="00BF1989" w:rsidP="00BF1989">
      <w:pPr>
        <w:jc w:val="center"/>
        <w:rPr>
          <w:rFonts w:eastAsia="標楷體" w:hAnsi="標楷體"/>
          <w:b/>
          <w:w w:val="90"/>
          <w:sz w:val="40"/>
          <w:szCs w:val="40"/>
        </w:rPr>
      </w:pPr>
    </w:p>
    <w:p w:rsidR="00BF1989" w:rsidRPr="004D451D" w:rsidRDefault="00BF1989" w:rsidP="00BF1989">
      <w:pPr>
        <w:rPr>
          <w:rFonts w:ascii="標楷體" w:eastAsia="標楷體" w:hAnsi="標楷體" w:cs="Arial"/>
          <w:kern w:val="0"/>
          <w:sz w:val="32"/>
          <w:szCs w:val="32"/>
        </w:rPr>
        <w:sectPr w:rsidR="00BF1989" w:rsidRPr="004D451D" w:rsidSect="006A2EB6">
          <w:footnotePr>
            <w:numStart w:val="222"/>
          </w:footnotePr>
          <w:pgSz w:w="11906" w:h="16838"/>
          <w:pgMar w:top="902" w:right="1259" w:bottom="720" w:left="1259" w:header="851" w:footer="357" w:gutter="0"/>
          <w:cols w:space="425"/>
          <w:docGrid w:linePitch="360"/>
        </w:sectPr>
      </w:pPr>
    </w:p>
    <w:p w:rsidR="00BF1989" w:rsidRPr="004D451D" w:rsidRDefault="00BF1989" w:rsidP="00BF1989">
      <w:pPr>
        <w:rPr>
          <w:rFonts w:ascii="標楷體" w:eastAsia="標楷體" w:hAnsi="標楷體"/>
          <w:sz w:val="32"/>
          <w:szCs w:val="32"/>
        </w:rPr>
      </w:pPr>
      <w:r w:rsidRPr="004D451D">
        <w:rPr>
          <w:rFonts w:ascii="標楷體" w:eastAsia="標楷體" w:hAnsi="標楷體" w:hint="eastAsia"/>
          <w:sz w:val="32"/>
          <w:szCs w:val="32"/>
        </w:rPr>
        <w:lastRenderedPageBreak/>
        <w:t>【</w:t>
      </w:r>
      <w:r w:rsidRPr="004D451D">
        <w:rPr>
          <w:rFonts w:ascii="標楷體" w:eastAsia="標楷體" w:hAnsi="標楷體" w:hint="eastAsia"/>
          <w:b/>
          <w:sz w:val="32"/>
          <w:szCs w:val="32"/>
        </w:rPr>
        <w:t>附表六</w:t>
      </w:r>
      <w:r w:rsidRPr="004D451D">
        <w:rPr>
          <w:rFonts w:ascii="標楷體" w:eastAsia="標楷體" w:hAnsi="標楷體" w:hint="eastAsia"/>
          <w:sz w:val="32"/>
          <w:szCs w:val="32"/>
        </w:rPr>
        <w:t>】</w:t>
      </w:r>
    </w:p>
    <w:p w:rsidR="00BF1989" w:rsidRPr="004D451D" w:rsidRDefault="00BF1989" w:rsidP="00BF1989">
      <w:pPr>
        <w:pStyle w:val="ad"/>
        <w:spacing w:beforeLines="100" w:before="360" w:afterLines="100" w:after="360" w:line="240" w:lineRule="auto"/>
        <w:ind w:left="0" w:firstLine="0"/>
        <w:jc w:val="center"/>
        <w:rPr>
          <w:b/>
        </w:rPr>
      </w:pPr>
      <w:r w:rsidRPr="004D451D">
        <w:rPr>
          <w:rFonts w:hint="eastAsia"/>
          <w:b/>
        </w:rPr>
        <w:t>會計資產與槓桿比率暴險額彙總比較表</w:t>
      </w:r>
    </w:p>
    <w:p w:rsidR="00BF1989" w:rsidRPr="004D451D" w:rsidRDefault="004E210B" w:rsidP="00BF1989">
      <w:pPr>
        <w:pStyle w:val="ad"/>
        <w:tabs>
          <w:tab w:val="left" w:pos="9360"/>
        </w:tabs>
        <w:spacing w:line="240" w:lineRule="auto"/>
        <w:ind w:leftChars="221" w:left="530" w:right="28" w:firstLine="0"/>
        <w:rPr>
          <w:rFonts w:cs="Arial"/>
          <w:sz w:val="24"/>
        </w:rPr>
      </w:pPr>
      <w:r w:rsidRPr="004D451D">
        <w:rPr>
          <w:rFonts w:cs="Arial"/>
          <w:szCs w:val="32"/>
        </w:rPr>
        <w:t xml:space="preserve">                 </w:t>
      </w:r>
      <w:r w:rsidRPr="004D451D">
        <w:rPr>
          <w:rFonts w:cs="Arial" w:hint="eastAsia"/>
          <w:szCs w:val="32"/>
        </w:rPr>
        <w:t>10</w:t>
      </w:r>
      <w:r w:rsidR="00461565" w:rsidRPr="004D451D">
        <w:rPr>
          <w:rFonts w:cs="Arial" w:hint="eastAsia"/>
          <w:szCs w:val="32"/>
        </w:rPr>
        <w:t>7</w:t>
      </w:r>
      <w:r w:rsidR="00BF1989" w:rsidRPr="004D451D">
        <w:rPr>
          <w:rFonts w:hint="eastAsia"/>
          <w:szCs w:val="32"/>
        </w:rPr>
        <w:t>年</w:t>
      </w:r>
      <w:r w:rsidR="00461565" w:rsidRPr="004D451D">
        <w:rPr>
          <w:rFonts w:hint="eastAsia"/>
          <w:szCs w:val="32"/>
        </w:rPr>
        <w:t>06</w:t>
      </w:r>
      <w:r w:rsidR="00BF1989" w:rsidRPr="004D451D">
        <w:rPr>
          <w:rFonts w:hint="eastAsia"/>
          <w:szCs w:val="32"/>
        </w:rPr>
        <w:t>月</w:t>
      </w:r>
      <w:r w:rsidRPr="004D451D">
        <w:rPr>
          <w:rFonts w:hint="eastAsia"/>
          <w:szCs w:val="32"/>
        </w:rPr>
        <w:t>3</w:t>
      </w:r>
      <w:r w:rsidR="00461565" w:rsidRPr="004D451D">
        <w:rPr>
          <w:rFonts w:hint="eastAsia"/>
          <w:szCs w:val="32"/>
        </w:rPr>
        <w:t>0</w:t>
      </w:r>
      <w:r w:rsidR="00BF1989" w:rsidRPr="004D451D">
        <w:rPr>
          <w:rFonts w:hint="eastAsia"/>
          <w:szCs w:val="32"/>
        </w:rPr>
        <w:t>日</w:t>
      </w:r>
      <w:r w:rsidR="00BF1989" w:rsidRPr="004D451D">
        <w:rPr>
          <w:rFonts w:cs="Arial"/>
          <w:szCs w:val="32"/>
        </w:rPr>
        <w:t xml:space="preserve">         </w:t>
      </w:r>
      <w:r w:rsidR="00101671" w:rsidRPr="004D451D">
        <w:rPr>
          <w:rFonts w:cs="Arial" w:hint="eastAsia"/>
          <w:sz w:val="24"/>
        </w:rPr>
        <w:t>（單</w:t>
      </w:r>
      <w:r w:rsidR="00BF1989" w:rsidRPr="004D451D">
        <w:rPr>
          <w:rFonts w:cs="Arial" w:hint="eastAsia"/>
          <w:sz w:val="24"/>
        </w:rPr>
        <w:t>位：新臺幣千元</w:t>
      </w:r>
      <w:r w:rsidR="00101671" w:rsidRPr="004D451D">
        <w:rPr>
          <w:rFonts w:cs="Arial" w:hint="eastAsia"/>
          <w:sz w:val="24"/>
        </w:rPr>
        <w:t>）</w:t>
      </w:r>
    </w:p>
    <w:tbl>
      <w:tblPr>
        <w:tblW w:w="11109" w:type="dxa"/>
        <w:jc w:val="center"/>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3657"/>
        <w:gridCol w:w="1749"/>
        <w:gridCol w:w="1750"/>
        <w:gridCol w:w="1750"/>
        <w:gridCol w:w="1750"/>
      </w:tblGrid>
      <w:tr w:rsidR="004D451D" w:rsidRPr="004D451D" w:rsidTr="004E210B">
        <w:trPr>
          <w:trHeight w:val="469"/>
          <w:jc w:val="center"/>
        </w:trPr>
        <w:tc>
          <w:tcPr>
            <w:tcW w:w="453" w:type="dxa"/>
            <w:vMerge w:val="restart"/>
          </w:tcPr>
          <w:p w:rsidR="00BF1989" w:rsidRPr="004D451D" w:rsidRDefault="00BF1989" w:rsidP="00BF53C1">
            <w:pPr>
              <w:widowControl/>
              <w:spacing w:line="240" w:lineRule="atLeast"/>
              <w:jc w:val="both"/>
              <w:rPr>
                <w:rFonts w:ascii="標楷體" w:eastAsia="標楷體" w:hAnsi="標楷體"/>
                <w:kern w:val="0"/>
              </w:rPr>
            </w:pPr>
          </w:p>
        </w:tc>
        <w:tc>
          <w:tcPr>
            <w:tcW w:w="3657" w:type="dxa"/>
            <w:vMerge w:val="restart"/>
          </w:tcPr>
          <w:p w:rsidR="00BF1989" w:rsidRPr="004D451D" w:rsidRDefault="00BF1989" w:rsidP="00BF53C1">
            <w:pPr>
              <w:widowControl/>
              <w:spacing w:line="240" w:lineRule="atLeast"/>
              <w:jc w:val="center"/>
              <w:rPr>
                <w:rFonts w:ascii="標楷體" w:eastAsia="標楷體" w:hAnsi="標楷體"/>
                <w:kern w:val="0"/>
              </w:rPr>
            </w:pPr>
            <w:r w:rsidRPr="004D451D">
              <w:rPr>
                <w:rFonts w:ascii="標楷體" w:eastAsia="標楷體" w:hAnsi="標楷體" w:hint="eastAsia"/>
                <w:kern w:val="0"/>
              </w:rPr>
              <w:t>項目</w:t>
            </w:r>
          </w:p>
        </w:tc>
        <w:tc>
          <w:tcPr>
            <w:tcW w:w="3499" w:type="dxa"/>
            <w:gridSpan w:val="2"/>
            <w:vAlign w:val="center"/>
          </w:tcPr>
          <w:p w:rsidR="00BF1989" w:rsidRPr="004D451D" w:rsidRDefault="00BF1989" w:rsidP="00BF53C1">
            <w:pPr>
              <w:widowControl/>
              <w:spacing w:line="320" w:lineRule="exact"/>
              <w:jc w:val="center"/>
              <w:rPr>
                <w:rFonts w:ascii="標楷體" w:eastAsia="標楷體" w:hAnsi="標楷體" w:cs="新細明體"/>
                <w:kern w:val="0"/>
              </w:rPr>
            </w:pPr>
            <w:r w:rsidRPr="004D451D">
              <w:rPr>
                <w:rFonts w:ascii="標楷體" w:eastAsia="標楷體" w:hAnsi="標楷體" w:cs="新細明體" w:hint="eastAsia"/>
                <w:kern w:val="0"/>
              </w:rPr>
              <w:t>本行</w:t>
            </w:r>
          </w:p>
        </w:tc>
        <w:tc>
          <w:tcPr>
            <w:tcW w:w="3500" w:type="dxa"/>
            <w:gridSpan w:val="2"/>
            <w:vAlign w:val="center"/>
          </w:tcPr>
          <w:p w:rsidR="00BF1989" w:rsidRPr="004D451D" w:rsidRDefault="00BF1989" w:rsidP="00BF53C1">
            <w:pPr>
              <w:widowControl/>
              <w:tabs>
                <w:tab w:val="left" w:pos="884"/>
              </w:tabs>
              <w:spacing w:line="320" w:lineRule="exact"/>
              <w:ind w:rightChars="46" w:right="110"/>
              <w:jc w:val="center"/>
              <w:rPr>
                <w:rFonts w:ascii="標楷體" w:eastAsia="標楷體" w:hAnsi="標楷體" w:cs="新細明體"/>
                <w:kern w:val="0"/>
              </w:rPr>
            </w:pPr>
            <w:r w:rsidRPr="004D451D">
              <w:rPr>
                <w:rFonts w:ascii="標楷體" w:eastAsia="標楷體" w:hAnsi="標楷體" w:cs="新細明體" w:hint="eastAsia"/>
                <w:kern w:val="0"/>
              </w:rPr>
              <w:t>合併</w:t>
            </w:r>
          </w:p>
        </w:tc>
      </w:tr>
      <w:tr w:rsidR="004D451D" w:rsidRPr="004D451D" w:rsidTr="004E210B">
        <w:trPr>
          <w:trHeight w:val="469"/>
          <w:jc w:val="center"/>
        </w:trPr>
        <w:tc>
          <w:tcPr>
            <w:tcW w:w="453" w:type="dxa"/>
            <w:vMerge/>
          </w:tcPr>
          <w:p w:rsidR="001968B8" w:rsidRPr="004D451D" w:rsidRDefault="001968B8" w:rsidP="00BF53C1">
            <w:pPr>
              <w:widowControl/>
              <w:spacing w:line="240" w:lineRule="atLeast"/>
              <w:jc w:val="both"/>
              <w:rPr>
                <w:rFonts w:ascii="標楷體" w:eastAsia="標楷體" w:hAnsi="標楷體"/>
                <w:kern w:val="0"/>
              </w:rPr>
            </w:pPr>
          </w:p>
        </w:tc>
        <w:tc>
          <w:tcPr>
            <w:tcW w:w="3657" w:type="dxa"/>
            <w:vMerge/>
          </w:tcPr>
          <w:p w:rsidR="001968B8" w:rsidRPr="004D451D" w:rsidRDefault="001968B8" w:rsidP="00BF53C1">
            <w:pPr>
              <w:widowControl/>
              <w:spacing w:line="240" w:lineRule="atLeast"/>
              <w:jc w:val="center"/>
              <w:rPr>
                <w:rFonts w:ascii="標楷體" w:eastAsia="標楷體" w:hAnsi="標楷體"/>
                <w:kern w:val="0"/>
              </w:rPr>
            </w:pPr>
          </w:p>
        </w:tc>
        <w:tc>
          <w:tcPr>
            <w:tcW w:w="1749" w:type="dxa"/>
            <w:shd w:val="clear" w:color="auto" w:fill="auto"/>
            <w:vAlign w:val="center"/>
          </w:tcPr>
          <w:p w:rsidR="001968B8" w:rsidRPr="004D451D" w:rsidRDefault="002007E5" w:rsidP="00BF53C1">
            <w:pPr>
              <w:widowControl/>
              <w:spacing w:line="320" w:lineRule="exact"/>
              <w:ind w:rightChars="46" w:right="110"/>
              <w:jc w:val="center"/>
              <w:rPr>
                <w:rFonts w:ascii="標楷體" w:eastAsia="標楷體" w:hAnsi="標楷體" w:cs="Arial"/>
                <w:sz w:val="20"/>
                <w:szCs w:val="12"/>
              </w:rPr>
            </w:pPr>
            <w:r w:rsidRPr="004D451D">
              <w:rPr>
                <w:rFonts w:ascii="標楷體" w:eastAsia="標楷體" w:hAnsi="標楷體" w:cs="Arial" w:hint="eastAsia"/>
                <w:sz w:val="20"/>
                <w:szCs w:val="12"/>
              </w:rPr>
              <w:t>本</w:t>
            </w:r>
            <w:r w:rsidR="001968B8" w:rsidRPr="004D451D">
              <w:rPr>
                <w:rFonts w:ascii="標楷體" w:eastAsia="標楷體" w:hAnsi="標楷體" w:cs="Arial" w:hint="eastAsia"/>
                <w:sz w:val="20"/>
                <w:szCs w:val="12"/>
              </w:rPr>
              <w:t>季</w:t>
            </w:r>
          </w:p>
        </w:tc>
        <w:tc>
          <w:tcPr>
            <w:tcW w:w="1750" w:type="dxa"/>
            <w:shd w:val="clear" w:color="auto" w:fill="auto"/>
            <w:vAlign w:val="center"/>
          </w:tcPr>
          <w:p w:rsidR="001968B8" w:rsidRPr="004D451D" w:rsidRDefault="001968B8" w:rsidP="002007E5">
            <w:pPr>
              <w:widowControl/>
              <w:tabs>
                <w:tab w:val="left" w:pos="884"/>
              </w:tabs>
              <w:spacing w:line="320" w:lineRule="exact"/>
              <w:ind w:rightChars="46" w:right="110"/>
              <w:jc w:val="center"/>
              <w:rPr>
                <w:rFonts w:ascii="標楷體" w:eastAsia="標楷體" w:hAnsi="標楷體" w:cs="Arial"/>
                <w:sz w:val="20"/>
                <w:szCs w:val="12"/>
              </w:rPr>
            </w:pPr>
            <w:r w:rsidRPr="004D451D">
              <w:rPr>
                <w:rFonts w:ascii="標楷體" w:eastAsia="標楷體" w:hAnsi="標楷體" w:cs="Arial" w:hint="eastAsia"/>
                <w:sz w:val="20"/>
                <w:szCs w:val="12"/>
              </w:rPr>
              <w:t>前一季</w:t>
            </w:r>
          </w:p>
        </w:tc>
        <w:tc>
          <w:tcPr>
            <w:tcW w:w="1750" w:type="dxa"/>
            <w:shd w:val="clear" w:color="auto" w:fill="auto"/>
            <w:vAlign w:val="center"/>
          </w:tcPr>
          <w:p w:rsidR="001968B8" w:rsidRPr="004D451D" w:rsidRDefault="002007E5" w:rsidP="00BF53C1">
            <w:pPr>
              <w:widowControl/>
              <w:tabs>
                <w:tab w:val="left" w:pos="884"/>
              </w:tabs>
              <w:spacing w:line="320" w:lineRule="exact"/>
              <w:ind w:rightChars="46" w:right="110"/>
              <w:jc w:val="center"/>
              <w:rPr>
                <w:rFonts w:ascii="標楷體" w:eastAsia="標楷體" w:hAnsi="標楷體" w:cs="Arial"/>
                <w:sz w:val="20"/>
                <w:szCs w:val="12"/>
              </w:rPr>
            </w:pPr>
            <w:r w:rsidRPr="004D451D">
              <w:rPr>
                <w:rFonts w:ascii="標楷體" w:eastAsia="標楷體" w:hAnsi="標楷體" w:cs="Arial" w:hint="eastAsia"/>
                <w:sz w:val="20"/>
                <w:szCs w:val="12"/>
              </w:rPr>
              <w:t>本季</w:t>
            </w:r>
          </w:p>
        </w:tc>
        <w:tc>
          <w:tcPr>
            <w:tcW w:w="1750" w:type="dxa"/>
            <w:shd w:val="clear" w:color="auto" w:fill="auto"/>
            <w:vAlign w:val="center"/>
          </w:tcPr>
          <w:p w:rsidR="001968B8" w:rsidRPr="004D451D" w:rsidRDefault="001968B8" w:rsidP="002007E5">
            <w:pPr>
              <w:widowControl/>
              <w:tabs>
                <w:tab w:val="left" w:pos="884"/>
              </w:tabs>
              <w:spacing w:line="320" w:lineRule="exact"/>
              <w:ind w:rightChars="46" w:right="110"/>
              <w:jc w:val="center"/>
              <w:rPr>
                <w:rFonts w:ascii="標楷體" w:eastAsia="標楷體" w:hAnsi="標楷體" w:cs="Arial"/>
                <w:sz w:val="20"/>
                <w:szCs w:val="12"/>
              </w:rPr>
            </w:pPr>
            <w:r w:rsidRPr="004D451D">
              <w:rPr>
                <w:rFonts w:ascii="標楷體" w:eastAsia="標楷體" w:hAnsi="標楷體" w:cs="Arial" w:hint="eastAsia"/>
                <w:sz w:val="20"/>
                <w:szCs w:val="12"/>
              </w:rPr>
              <w:t>前一季</w:t>
            </w:r>
          </w:p>
        </w:tc>
      </w:tr>
      <w:tr w:rsidR="004D451D" w:rsidRPr="004D451D" w:rsidTr="004E210B">
        <w:trPr>
          <w:trHeight w:val="469"/>
          <w:jc w:val="center"/>
        </w:trPr>
        <w:tc>
          <w:tcPr>
            <w:tcW w:w="453" w:type="dxa"/>
            <w:vMerge/>
          </w:tcPr>
          <w:p w:rsidR="00461565" w:rsidRPr="004D451D" w:rsidRDefault="00461565" w:rsidP="00BF53C1">
            <w:pPr>
              <w:widowControl/>
              <w:spacing w:line="240" w:lineRule="atLeast"/>
              <w:jc w:val="both"/>
              <w:rPr>
                <w:rFonts w:ascii="標楷體" w:eastAsia="標楷體" w:hAnsi="標楷體"/>
                <w:kern w:val="0"/>
              </w:rPr>
            </w:pPr>
          </w:p>
        </w:tc>
        <w:tc>
          <w:tcPr>
            <w:tcW w:w="3657" w:type="dxa"/>
            <w:vMerge/>
          </w:tcPr>
          <w:p w:rsidR="00461565" w:rsidRPr="004D451D" w:rsidRDefault="00461565" w:rsidP="00BF53C1">
            <w:pPr>
              <w:widowControl/>
              <w:spacing w:line="240" w:lineRule="atLeast"/>
              <w:jc w:val="center"/>
              <w:rPr>
                <w:rFonts w:ascii="標楷體" w:eastAsia="標楷體" w:hAnsi="標楷體"/>
                <w:kern w:val="0"/>
              </w:rPr>
            </w:pPr>
          </w:p>
        </w:tc>
        <w:tc>
          <w:tcPr>
            <w:tcW w:w="1749" w:type="dxa"/>
            <w:vAlign w:val="center"/>
          </w:tcPr>
          <w:p w:rsidR="00461565" w:rsidRPr="004D451D" w:rsidRDefault="00461565" w:rsidP="00461565">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年06月30日</w:t>
            </w:r>
          </w:p>
        </w:tc>
        <w:tc>
          <w:tcPr>
            <w:tcW w:w="1750" w:type="dxa"/>
            <w:vAlign w:val="center"/>
          </w:tcPr>
          <w:p w:rsidR="00461565" w:rsidRPr="004D451D" w:rsidRDefault="00461565" w:rsidP="00461565">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年03月31日</w:t>
            </w:r>
          </w:p>
        </w:tc>
        <w:tc>
          <w:tcPr>
            <w:tcW w:w="1750" w:type="dxa"/>
            <w:vAlign w:val="center"/>
          </w:tcPr>
          <w:p w:rsidR="00461565" w:rsidRPr="004D451D" w:rsidRDefault="00461565" w:rsidP="00F12FCF">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年06月30日</w:t>
            </w:r>
          </w:p>
        </w:tc>
        <w:tc>
          <w:tcPr>
            <w:tcW w:w="1750" w:type="dxa"/>
            <w:vAlign w:val="center"/>
          </w:tcPr>
          <w:p w:rsidR="00461565" w:rsidRPr="004D451D" w:rsidRDefault="00461565" w:rsidP="00F12FCF">
            <w:pPr>
              <w:pStyle w:val="ad"/>
              <w:spacing w:before="60" w:after="60" w:line="240" w:lineRule="auto"/>
              <w:ind w:left="0" w:firstLine="0"/>
              <w:jc w:val="center"/>
              <w:rPr>
                <w:sz w:val="20"/>
                <w:szCs w:val="20"/>
              </w:rPr>
            </w:pPr>
            <w:r w:rsidRPr="004D451D">
              <w:rPr>
                <w:rFonts w:cs="Arial" w:hint="eastAsia"/>
                <w:sz w:val="20"/>
                <w:szCs w:val="20"/>
              </w:rPr>
              <w:t>107</w:t>
            </w:r>
            <w:r w:rsidRPr="004D451D">
              <w:rPr>
                <w:rFonts w:hint="eastAsia"/>
                <w:sz w:val="20"/>
                <w:szCs w:val="20"/>
              </w:rPr>
              <w:t>年03月31日</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1</w:t>
            </w:r>
          </w:p>
        </w:tc>
        <w:tc>
          <w:tcPr>
            <w:tcW w:w="3657" w:type="dxa"/>
            <w:vAlign w:val="center"/>
          </w:tcPr>
          <w:p w:rsidR="00461565" w:rsidRPr="004D451D" w:rsidRDefault="00461565" w:rsidP="00BF53C1">
            <w:pPr>
              <w:widowControl/>
              <w:spacing w:line="320" w:lineRule="exact"/>
              <w:jc w:val="both"/>
              <w:rPr>
                <w:rFonts w:ascii="標楷體" w:eastAsia="標楷體" w:hAnsi="標楷體"/>
                <w:kern w:val="0"/>
              </w:rPr>
            </w:pPr>
            <w:r w:rsidRPr="004D451D">
              <w:rPr>
                <w:rFonts w:ascii="標楷體" w:eastAsia="標楷體" w:hAnsi="標楷體" w:hint="eastAsia"/>
                <w:kern w:val="0"/>
              </w:rPr>
              <w:t>財務報表之總資產</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275,237,800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273,200,957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276,999,699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274,781,383 </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2</w:t>
            </w:r>
          </w:p>
        </w:tc>
        <w:tc>
          <w:tcPr>
            <w:tcW w:w="3657" w:type="dxa"/>
            <w:vAlign w:val="center"/>
          </w:tcPr>
          <w:p w:rsidR="00461565" w:rsidRPr="004D451D" w:rsidRDefault="00461565" w:rsidP="00BF53C1">
            <w:pPr>
              <w:widowControl/>
              <w:spacing w:line="320" w:lineRule="exact"/>
              <w:ind w:leftChars="100" w:left="720" w:hangingChars="200" w:hanging="480"/>
              <w:jc w:val="both"/>
              <w:rPr>
                <w:rFonts w:ascii="標楷體" w:eastAsia="標楷體" w:hAnsi="標楷體"/>
                <w:kern w:val="0"/>
              </w:rPr>
            </w:pPr>
            <w:r w:rsidRPr="004D451D">
              <w:rPr>
                <w:rFonts w:ascii="標楷體" w:eastAsia="標楷體" w:hAnsi="標楷體" w:hint="eastAsia"/>
                <w:kern w:val="0"/>
              </w:rPr>
              <w:t>減：第一類資本扣除項中與資產項目有關之調整</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-792,835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-949,501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-239,244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-417,439 </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3</w:t>
            </w:r>
          </w:p>
        </w:tc>
        <w:tc>
          <w:tcPr>
            <w:tcW w:w="3657" w:type="dxa"/>
            <w:vAlign w:val="center"/>
          </w:tcPr>
          <w:p w:rsidR="00461565" w:rsidRPr="004D451D" w:rsidRDefault="00461565" w:rsidP="00BF53C1">
            <w:pPr>
              <w:widowControl/>
              <w:spacing w:line="320" w:lineRule="exact"/>
              <w:jc w:val="both"/>
              <w:rPr>
                <w:rFonts w:ascii="標楷體" w:eastAsia="標楷體" w:hAnsi="標楷體"/>
                <w:kern w:val="0"/>
              </w:rPr>
            </w:pPr>
            <w:r w:rsidRPr="004D451D">
              <w:rPr>
                <w:rFonts w:ascii="標楷體" w:eastAsia="標楷體" w:hAnsi="標楷體" w:hint="eastAsia"/>
                <w:kern w:val="0"/>
              </w:rPr>
              <w:t>根據銀行會計作業架構，認列於資產負債表內但不計入槓桿比率暴險總額之信託資產調整</w:t>
            </w:r>
          </w:p>
        </w:tc>
        <w:tc>
          <w:tcPr>
            <w:tcW w:w="1749" w:type="dxa"/>
            <w:shd w:val="clear" w:color="auto" w:fill="BFBFBF"/>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1750" w:type="dxa"/>
            <w:shd w:val="clear" w:color="auto" w:fill="BFBFBF"/>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1750" w:type="dxa"/>
            <w:shd w:val="clear" w:color="auto" w:fill="BFBFBF"/>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1750" w:type="dxa"/>
            <w:shd w:val="clear" w:color="auto" w:fill="BFBFBF"/>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4</w:t>
            </w:r>
          </w:p>
        </w:tc>
        <w:tc>
          <w:tcPr>
            <w:tcW w:w="3657" w:type="dxa"/>
            <w:vAlign w:val="center"/>
          </w:tcPr>
          <w:p w:rsidR="00461565" w:rsidRPr="004D451D" w:rsidRDefault="00461565" w:rsidP="00BF53C1">
            <w:pPr>
              <w:widowControl/>
              <w:spacing w:line="320" w:lineRule="exact"/>
              <w:jc w:val="both"/>
              <w:rPr>
                <w:rFonts w:ascii="標楷體" w:eastAsia="標楷體" w:hAnsi="標楷體"/>
                <w:kern w:val="0"/>
              </w:rPr>
            </w:pPr>
            <w:r w:rsidRPr="004D451D">
              <w:rPr>
                <w:rFonts w:ascii="標楷體" w:eastAsia="標楷體" w:hAnsi="標楷體" w:hint="eastAsia"/>
                <w:kern w:val="0"/>
              </w:rPr>
              <w:t>衍生性金融工具之調整</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37,166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7,454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37,166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7,454 </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5</w:t>
            </w:r>
          </w:p>
        </w:tc>
        <w:tc>
          <w:tcPr>
            <w:tcW w:w="3657" w:type="dxa"/>
            <w:vAlign w:val="center"/>
          </w:tcPr>
          <w:p w:rsidR="00461565" w:rsidRPr="004D451D" w:rsidRDefault="00461565" w:rsidP="00BF53C1">
            <w:pPr>
              <w:widowControl/>
              <w:spacing w:line="320" w:lineRule="exact"/>
              <w:jc w:val="both"/>
              <w:rPr>
                <w:rFonts w:ascii="標楷體" w:eastAsia="標楷體" w:hAnsi="標楷體"/>
                <w:kern w:val="0"/>
              </w:rPr>
            </w:pPr>
            <w:r w:rsidRPr="004D451D">
              <w:rPr>
                <w:rFonts w:ascii="標楷體" w:eastAsia="標楷體" w:hAnsi="標楷體" w:hint="eastAsia"/>
                <w:kern w:val="0"/>
              </w:rPr>
              <w:t>有價證券融資交易</w:t>
            </w:r>
            <w:r w:rsidRPr="004D451D">
              <w:rPr>
                <w:rFonts w:ascii="標楷體" w:eastAsia="標楷體" w:hAnsi="標楷體"/>
                <w:kern w:val="0"/>
              </w:rPr>
              <w:t>(</w:t>
            </w:r>
            <w:r w:rsidRPr="004D451D">
              <w:rPr>
                <w:rFonts w:ascii="標楷體" w:eastAsia="標楷體" w:hAnsi="標楷體" w:hint="eastAsia"/>
                <w:kern w:val="0"/>
              </w:rPr>
              <w:t>即附買回和其他類似的擔保融通</w:t>
            </w:r>
            <w:r w:rsidRPr="004D451D">
              <w:rPr>
                <w:rFonts w:ascii="標楷體" w:eastAsia="標楷體" w:hAnsi="標楷體"/>
                <w:kern w:val="0"/>
              </w:rPr>
              <w:t>)</w:t>
            </w:r>
            <w:r w:rsidRPr="004D451D">
              <w:rPr>
                <w:rFonts w:ascii="標楷體" w:eastAsia="標楷體" w:hAnsi="標楷體" w:hint="eastAsia"/>
                <w:kern w:val="0"/>
              </w:rPr>
              <w:t>之調整</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14,374,093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15,701,825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14,374,093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15,701,825 </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6</w:t>
            </w:r>
          </w:p>
        </w:tc>
        <w:tc>
          <w:tcPr>
            <w:tcW w:w="3657" w:type="dxa"/>
            <w:vAlign w:val="center"/>
          </w:tcPr>
          <w:p w:rsidR="00461565" w:rsidRPr="004D451D" w:rsidRDefault="00461565" w:rsidP="00BF53C1">
            <w:pPr>
              <w:widowControl/>
              <w:spacing w:line="320" w:lineRule="exact"/>
              <w:jc w:val="both"/>
              <w:rPr>
                <w:rFonts w:ascii="標楷體" w:eastAsia="標楷體" w:hAnsi="標楷體"/>
                <w:kern w:val="0"/>
              </w:rPr>
            </w:pPr>
            <w:r w:rsidRPr="004D451D">
              <w:rPr>
                <w:rFonts w:ascii="標楷體" w:eastAsia="標楷體" w:hAnsi="標楷體" w:hint="eastAsia"/>
                <w:kern w:val="0"/>
              </w:rPr>
              <w:t>資產負債表表外項目之調整</w:t>
            </w:r>
            <w:r w:rsidRPr="004D451D">
              <w:rPr>
                <w:rFonts w:ascii="標楷體" w:eastAsia="標楷體" w:hAnsi="標楷體"/>
                <w:kern w:val="0"/>
              </w:rPr>
              <w:t>(</w:t>
            </w:r>
            <w:r w:rsidRPr="004D451D">
              <w:rPr>
                <w:rFonts w:ascii="標楷體" w:eastAsia="標楷體" w:hAnsi="標楷體" w:hint="eastAsia"/>
                <w:kern w:val="0"/>
              </w:rPr>
              <w:t>即資產負債表表外暴險轉換為信用相當額</w:t>
            </w:r>
            <w:r w:rsidRPr="004D451D">
              <w:rPr>
                <w:rFonts w:ascii="標楷體" w:eastAsia="標楷體" w:hAnsi="標楷體"/>
                <w:kern w:val="0"/>
              </w:rPr>
              <w:t>)</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4,479,819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3,491,226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4,479,819 </w:t>
            </w:r>
          </w:p>
        </w:tc>
        <w:tc>
          <w:tcPr>
            <w:tcW w:w="1750"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3,491,226 </w:t>
            </w:r>
          </w:p>
        </w:tc>
      </w:tr>
      <w:tr w:rsidR="004D451D"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kern w:val="0"/>
              </w:rPr>
            </w:pPr>
            <w:r w:rsidRPr="004D451D">
              <w:rPr>
                <w:rFonts w:eastAsia="標楷體"/>
                <w:kern w:val="0"/>
              </w:rPr>
              <w:t>7</w:t>
            </w:r>
          </w:p>
        </w:tc>
        <w:tc>
          <w:tcPr>
            <w:tcW w:w="3657" w:type="dxa"/>
            <w:vAlign w:val="center"/>
          </w:tcPr>
          <w:p w:rsidR="00461565" w:rsidRPr="004D451D" w:rsidRDefault="00461565" w:rsidP="00BF53C1">
            <w:pPr>
              <w:widowControl/>
              <w:spacing w:line="320" w:lineRule="exact"/>
              <w:jc w:val="both"/>
              <w:rPr>
                <w:rFonts w:ascii="標楷體" w:eastAsia="標楷體" w:hAnsi="標楷體"/>
                <w:kern w:val="0"/>
              </w:rPr>
            </w:pPr>
            <w:r w:rsidRPr="004D451D">
              <w:rPr>
                <w:rFonts w:ascii="標楷體" w:eastAsia="標楷體" w:hAnsi="標楷體" w:hint="eastAsia"/>
                <w:kern w:val="0"/>
              </w:rPr>
              <w:t>其他調整</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0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0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0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0 </w:t>
            </w:r>
          </w:p>
        </w:tc>
      </w:tr>
      <w:tr w:rsidR="00461565" w:rsidRPr="004D451D" w:rsidTr="00461565">
        <w:trPr>
          <w:trHeight w:val="296"/>
          <w:jc w:val="center"/>
        </w:trPr>
        <w:tc>
          <w:tcPr>
            <w:tcW w:w="453" w:type="dxa"/>
            <w:vAlign w:val="center"/>
          </w:tcPr>
          <w:p w:rsidR="00461565" w:rsidRPr="004D451D" w:rsidRDefault="00461565" w:rsidP="00BF53C1">
            <w:pPr>
              <w:widowControl/>
              <w:spacing w:line="240" w:lineRule="atLeast"/>
              <w:jc w:val="center"/>
              <w:rPr>
                <w:rFonts w:eastAsia="標楷體"/>
                <w:b/>
                <w:kern w:val="0"/>
              </w:rPr>
            </w:pPr>
            <w:r w:rsidRPr="004D451D">
              <w:rPr>
                <w:rFonts w:eastAsia="標楷體"/>
                <w:b/>
                <w:kern w:val="0"/>
              </w:rPr>
              <w:t>8</w:t>
            </w:r>
          </w:p>
        </w:tc>
        <w:tc>
          <w:tcPr>
            <w:tcW w:w="3657" w:type="dxa"/>
            <w:vAlign w:val="center"/>
          </w:tcPr>
          <w:p w:rsidR="00461565" w:rsidRPr="004D451D" w:rsidRDefault="00461565" w:rsidP="00BF53C1">
            <w:pPr>
              <w:widowControl/>
              <w:spacing w:line="320" w:lineRule="exact"/>
              <w:jc w:val="both"/>
              <w:rPr>
                <w:rFonts w:ascii="標楷體" w:eastAsia="標楷體" w:hAnsi="標楷體"/>
                <w:b/>
                <w:kern w:val="0"/>
              </w:rPr>
            </w:pPr>
            <w:r w:rsidRPr="004D451D">
              <w:rPr>
                <w:rFonts w:ascii="標楷體" w:eastAsia="標楷體" w:hAnsi="標楷體" w:hint="eastAsia"/>
                <w:b/>
                <w:kern w:val="0"/>
              </w:rPr>
              <w:t>槓桿比率暴險總額</w:t>
            </w:r>
          </w:p>
        </w:tc>
        <w:tc>
          <w:tcPr>
            <w:tcW w:w="1749" w:type="dxa"/>
            <w:vAlign w:val="center"/>
          </w:tcPr>
          <w:p w:rsidR="00461565" w:rsidRPr="004D451D" w:rsidRDefault="00461565" w:rsidP="00461565">
            <w:pPr>
              <w:jc w:val="right"/>
              <w:rPr>
                <w:rFonts w:ascii="Arial" w:eastAsia="標楷體" w:hAnsi="Arial" w:cs="Arial"/>
                <w:sz w:val="22"/>
                <w:szCs w:val="22"/>
              </w:rPr>
            </w:pPr>
            <w:r w:rsidRPr="004D451D">
              <w:rPr>
                <w:rFonts w:ascii="Arial" w:eastAsia="標楷體" w:hAnsi="Arial" w:cs="Arial" w:hint="eastAsia"/>
                <w:sz w:val="22"/>
                <w:szCs w:val="22"/>
              </w:rPr>
              <w:t xml:space="preserve"> 293,336,043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  291,451,962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  295,651,533 </w:t>
            </w:r>
          </w:p>
        </w:tc>
        <w:tc>
          <w:tcPr>
            <w:tcW w:w="1750" w:type="dxa"/>
            <w:vAlign w:val="center"/>
          </w:tcPr>
          <w:p w:rsidR="00461565" w:rsidRPr="004D451D" w:rsidRDefault="00461565">
            <w:pPr>
              <w:jc w:val="right"/>
              <w:rPr>
                <w:rFonts w:ascii="Arial" w:eastAsia="標楷體" w:hAnsi="Arial" w:cs="Arial"/>
                <w:sz w:val="22"/>
                <w:szCs w:val="22"/>
              </w:rPr>
            </w:pPr>
            <w:r w:rsidRPr="004D451D">
              <w:rPr>
                <w:rFonts w:ascii="Arial" w:eastAsia="標楷體" w:hAnsi="Arial" w:cs="Arial" w:hint="eastAsia"/>
                <w:sz w:val="22"/>
                <w:szCs w:val="22"/>
              </w:rPr>
              <w:t xml:space="preserve">  293,564,448 </w:t>
            </w:r>
          </w:p>
        </w:tc>
      </w:tr>
    </w:tbl>
    <w:p w:rsidR="00BF1989" w:rsidRPr="004D451D" w:rsidRDefault="00BF1989" w:rsidP="00BF1989">
      <w:pPr>
        <w:pStyle w:val="ad"/>
        <w:tabs>
          <w:tab w:val="left" w:pos="9360"/>
        </w:tabs>
        <w:spacing w:line="240" w:lineRule="auto"/>
        <w:ind w:left="0" w:right="28" w:firstLine="0"/>
        <w:rPr>
          <w:b/>
          <w:szCs w:val="32"/>
        </w:rPr>
      </w:pPr>
    </w:p>
    <w:p w:rsidR="00BF1989" w:rsidRPr="004D451D" w:rsidRDefault="00BF1989" w:rsidP="001968B8">
      <w:pPr>
        <w:spacing w:line="340" w:lineRule="exact"/>
        <w:ind w:left="541" w:hangingChars="225" w:hanging="541"/>
        <w:rPr>
          <w:rFonts w:ascii="標楷體" w:eastAsia="標楷體" w:hAnsi="標楷體" w:cs="新細明體"/>
          <w:b/>
          <w:bCs/>
          <w:kern w:val="0"/>
        </w:rPr>
      </w:pPr>
      <w:r w:rsidRPr="004D451D">
        <w:rPr>
          <w:rFonts w:ascii="標楷體" w:eastAsia="標楷體" w:hAnsi="標楷體" w:cs="新細明體" w:hint="eastAsia"/>
          <w:b/>
          <w:bCs/>
          <w:kern w:val="0"/>
        </w:rPr>
        <w:t>填表說明：</w:t>
      </w:r>
    </w:p>
    <w:p w:rsidR="00BF1989" w:rsidRPr="004D451D" w:rsidRDefault="00A92260" w:rsidP="00EF4134">
      <w:pPr>
        <w:numPr>
          <w:ilvl w:val="0"/>
          <w:numId w:val="93"/>
        </w:numPr>
        <w:spacing w:line="340" w:lineRule="exact"/>
        <w:ind w:leftChars="150" w:left="720" w:hangingChars="150"/>
        <w:jc w:val="both"/>
        <w:rPr>
          <w:rFonts w:eastAsia="標楷體"/>
        </w:rPr>
      </w:pPr>
      <w:r w:rsidRPr="004D451D">
        <w:rPr>
          <w:rFonts w:eastAsia="標楷體" w:hint="eastAsia"/>
        </w:rPr>
        <w:t>本表更新頻率：半年</w:t>
      </w:r>
      <w:r w:rsidR="002007E5" w:rsidRPr="004D451D">
        <w:rPr>
          <w:rFonts w:eastAsia="標楷體" w:hint="eastAsia"/>
        </w:rPr>
        <w:t>(</w:t>
      </w:r>
      <w:r w:rsidR="0096688B" w:rsidRPr="004D451D">
        <w:rPr>
          <w:rFonts w:eastAsia="標楷體" w:hint="eastAsia"/>
        </w:rPr>
        <w:t>每半年揭露</w:t>
      </w:r>
      <w:r w:rsidR="002007E5" w:rsidRPr="004D451D">
        <w:rPr>
          <w:rFonts w:eastAsia="標楷體" w:hint="eastAsia"/>
        </w:rPr>
        <w:t>近兩季資料，第一季與第三季資料得免經會計師複核</w:t>
      </w:r>
      <w:r w:rsidR="002007E5" w:rsidRPr="004D451D">
        <w:rPr>
          <w:rFonts w:eastAsia="標楷體" w:hint="eastAsia"/>
        </w:rPr>
        <w:t>)</w:t>
      </w:r>
      <w:r w:rsidR="00BF1989" w:rsidRPr="004D451D">
        <w:rPr>
          <w:rFonts w:eastAsia="標楷體" w:hint="eastAsia"/>
        </w:rPr>
        <w:t>。</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1</w:t>
      </w:r>
      <w:r w:rsidRPr="004D451D">
        <w:rPr>
          <w:rFonts w:eastAsia="標楷體" w:hint="eastAsia"/>
        </w:rPr>
        <w:t>項應列示銀行財務報表之表內總資產。</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2</w:t>
      </w:r>
      <w:r w:rsidRPr="004D451D">
        <w:rPr>
          <w:rFonts w:eastAsia="標楷體" w:hint="eastAsia"/>
        </w:rPr>
        <w:t>項應列示第一類資本扣除項金額，惟負債項目不得自暴險總額中扣除；扣除金額應以負數表示。本項同</w:t>
      </w:r>
      <w:r w:rsidR="0052366C" w:rsidRPr="004D451D">
        <w:rPr>
          <w:rFonts w:eastAsia="標楷體" w:hint="eastAsia"/>
        </w:rPr>
        <w:t>【</w:t>
      </w:r>
      <w:r w:rsidRPr="004D451D">
        <w:rPr>
          <w:rFonts w:eastAsia="標楷體" w:hint="eastAsia"/>
        </w:rPr>
        <w:t>附表六之一</w:t>
      </w:r>
      <w:r w:rsidR="0052366C" w:rsidRPr="004D451D">
        <w:rPr>
          <w:rFonts w:eastAsia="標楷體" w:hint="eastAsia"/>
        </w:rPr>
        <w:t>】</w:t>
      </w:r>
      <w:r w:rsidRPr="004D451D">
        <w:rPr>
          <w:rFonts w:eastAsia="標楷體" w:hint="eastAsia"/>
        </w:rPr>
        <w:t>的第</w:t>
      </w:r>
      <w:r w:rsidRPr="004D451D">
        <w:rPr>
          <w:rFonts w:eastAsia="標楷體"/>
        </w:rPr>
        <w:t>2</w:t>
      </w:r>
      <w:r w:rsidRPr="004D451D">
        <w:rPr>
          <w:rFonts w:eastAsia="標楷體" w:hint="eastAsia"/>
        </w:rPr>
        <w:t>項。</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3</w:t>
      </w:r>
      <w:r w:rsidRPr="004D451D">
        <w:rPr>
          <w:rFonts w:eastAsia="標楷體" w:hint="eastAsia"/>
        </w:rPr>
        <w:t>項本國不適用。</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4</w:t>
      </w:r>
      <w:r w:rsidRPr="004D451D">
        <w:rPr>
          <w:rFonts w:eastAsia="標楷體" w:hint="eastAsia"/>
        </w:rPr>
        <w:t>項應列示衍生性金融商品總暴險額與衍生性金融商品於表內資產項目餘額之差異。</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5</w:t>
      </w:r>
      <w:r w:rsidRPr="004D451D">
        <w:rPr>
          <w:rFonts w:eastAsia="標楷體" w:hint="eastAsia"/>
        </w:rPr>
        <w:t>項應列示有價證券融資交易總暴險額與有價證券融資交易於表內資產項目餘額之差異。</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6</w:t>
      </w:r>
      <w:r w:rsidRPr="004D451D">
        <w:rPr>
          <w:rFonts w:eastAsia="標楷體" w:hint="eastAsia"/>
        </w:rPr>
        <w:t>項應列示表外項目信用相當額。本項同</w:t>
      </w:r>
      <w:r w:rsidR="0052366C" w:rsidRPr="004D451D">
        <w:rPr>
          <w:rFonts w:eastAsia="標楷體" w:hint="eastAsia"/>
        </w:rPr>
        <w:t>【</w:t>
      </w:r>
      <w:r w:rsidRPr="004D451D">
        <w:rPr>
          <w:rFonts w:eastAsia="標楷體" w:hint="eastAsia"/>
        </w:rPr>
        <w:t>附表六之一</w:t>
      </w:r>
      <w:r w:rsidR="0052366C" w:rsidRPr="004D451D">
        <w:rPr>
          <w:rFonts w:eastAsia="標楷體" w:hint="eastAsia"/>
        </w:rPr>
        <w:t>】</w:t>
      </w:r>
      <w:r w:rsidRPr="004D451D">
        <w:rPr>
          <w:rFonts w:eastAsia="標楷體" w:hint="eastAsia"/>
        </w:rPr>
        <w:t>的第</w:t>
      </w:r>
      <w:r w:rsidRPr="004D451D">
        <w:rPr>
          <w:rFonts w:eastAsia="標楷體"/>
        </w:rPr>
        <w:t>19</w:t>
      </w:r>
      <w:r w:rsidRPr="004D451D">
        <w:rPr>
          <w:rFonts w:eastAsia="標楷體" w:hint="eastAsia"/>
        </w:rPr>
        <w:t>項。</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7</w:t>
      </w:r>
      <w:r w:rsidRPr="004D451D">
        <w:rPr>
          <w:rFonts w:eastAsia="標楷體" w:hint="eastAsia"/>
        </w:rPr>
        <w:t>項應列示所有其他調整；扣除金額應以負數表示</w:t>
      </w:r>
      <w:r w:rsidR="004A5224" w:rsidRPr="004D451D">
        <w:rPr>
          <w:rFonts w:eastAsia="標楷體" w:hint="eastAsia"/>
        </w:rPr>
        <w:t>(</w:t>
      </w:r>
      <w:r w:rsidRPr="004D451D">
        <w:rPr>
          <w:rFonts w:eastAsia="標楷體" w:hint="eastAsia"/>
        </w:rPr>
        <w:t>如</w:t>
      </w:r>
      <w:r w:rsidRPr="004D451D">
        <w:rPr>
          <w:rFonts w:ascii="標楷體" w:eastAsia="標楷體" w:hAnsi="標楷體" w:hint="eastAsia"/>
        </w:rPr>
        <w:t>：</w:t>
      </w:r>
      <w:r w:rsidRPr="004D451D">
        <w:rPr>
          <w:rFonts w:eastAsia="標楷體" w:hint="eastAsia"/>
        </w:rPr>
        <w:t>應收承兌票款之調整</w:t>
      </w:r>
      <w:r w:rsidR="004A5224" w:rsidRPr="004D451D">
        <w:rPr>
          <w:rFonts w:eastAsia="標楷體" w:hint="eastAsia"/>
        </w:rPr>
        <w:t>)</w:t>
      </w:r>
      <w:r w:rsidRPr="004D451D">
        <w:rPr>
          <w:rFonts w:eastAsia="標楷體" w:hint="eastAsia"/>
        </w:rPr>
        <w:t>。</w:t>
      </w:r>
    </w:p>
    <w:p w:rsidR="00BF1989" w:rsidRPr="004D451D" w:rsidRDefault="00BF1989" w:rsidP="00EF4134">
      <w:pPr>
        <w:numPr>
          <w:ilvl w:val="0"/>
          <w:numId w:val="9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8</w:t>
      </w:r>
      <w:r w:rsidRPr="004D451D">
        <w:rPr>
          <w:rFonts w:eastAsia="標楷體" w:hint="eastAsia"/>
        </w:rPr>
        <w:t>項應列示槓桿比率暴險總額，其應為前述項目之總和，也應與</w:t>
      </w:r>
      <w:r w:rsidR="0014369B" w:rsidRPr="004D451D">
        <w:rPr>
          <w:rFonts w:eastAsia="標楷體" w:hint="eastAsia"/>
        </w:rPr>
        <w:t>【</w:t>
      </w:r>
      <w:r w:rsidRPr="004D451D">
        <w:rPr>
          <w:rFonts w:eastAsia="標楷體" w:hint="eastAsia"/>
        </w:rPr>
        <w:t>附表六之一</w:t>
      </w:r>
      <w:r w:rsidR="0014369B" w:rsidRPr="004D451D">
        <w:rPr>
          <w:rFonts w:eastAsia="標楷體" w:hint="eastAsia"/>
        </w:rPr>
        <w:t>】</w:t>
      </w:r>
      <w:r w:rsidRPr="004D451D">
        <w:rPr>
          <w:rFonts w:eastAsia="標楷體" w:hint="eastAsia"/>
        </w:rPr>
        <w:t>中的第</w:t>
      </w:r>
      <w:r w:rsidRPr="004D451D">
        <w:rPr>
          <w:rFonts w:eastAsia="標楷體"/>
        </w:rPr>
        <w:t>21</w:t>
      </w:r>
      <w:r w:rsidRPr="004D451D">
        <w:rPr>
          <w:rFonts w:eastAsia="標楷體" w:hint="eastAsia"/>
        </w:rPr>
        <w:t>項一致。</w:t>
      </w:r>
    </w:p>
    <w:p w:rsidR="00BF1989" w:rsidRPr="004D451D" w:rsidRDefault="00BF1989" w:rsidP="00BF1989">
      <w:pPr>
        <w:jc w:val="center"/>
        <w:rPr>
          <w:rFonts w:eastAsia="標楷體"/>
          <w:b/>
          <w:w w:val="90"/>
          <w:sz w:val="32"/>
          <w:szCs w:val="40"/>
        </w:rPr>
      </w:pPr>
    </w:p>
    <w:p w:rsidR="00F4452D" w:rsidRPr="004D451D" w:rsidRDefault="00BF1989" w:rsidP="00BF1989">
      <w:pPr>
        <w:widowControl/>
        <w:spacing w:line="400" w:lineRule="exact"/>
        <w:rPr>
          <w:rFonts w:ascii="標楷體" w:eastAsia="標楷體" w:hAnsi="標楷體"/>
          <w:sz w:val="32"/>
          <w:szCs w:val="32"/>
        </w:rPr>
      </w:pPr>
      <w:r w:rsidRPr="004D451D">
        <w:rPr>
          <w:rFonts w:ascii="標楷體" w:eastAsia="標楷體" w:hAnsi="標楷體" w:cs="Arial"/>
          <w:kern w:val="0"/>
          <w:sz w:val="32"/>
          <w:szCs w:val="32"/>
        </w:rPr>
        <w:br w:type="page"/>
      </w:r>
      <w:r w:rsidR="00F4452D" w:rsidRPr="004D451D">
        <w:rPr>
          <w:rFonts w:ascii="標楷體" w:eastAsia="標楷體" w:hAnsi="標楷體" w:hint="eastAsia"/>
          <w:b/>
          <w:sz w:val="32"/>
          <w:szCs w:val="32"/>
        </w:rPr>
        <w:lastRenderedPageBreak/>
        <w:t>【</w:t>
      </w:r>
      <w:r w:rsidR="00F4452D" w:rsidRPr="004D451D">
        <w:rPr>
          <w:rFonts w:ascii="Garamond" w:eastAsia="標楷體" w:hAnsi="標楷體" w:hint="eastAsia"/>
          <w:b/>
          <w:sz w:val="32"/>
          <w:szCs w:val="32"/>
        </w:rPr>
        <w:t>附表六之一</w:t>
      </w:r>
      <w:r w:rsidR="00F4452D" w:rsidRPr="004D451D">
        <w:rPr>
          <w:rFonts w:ascii="標楷體" w:eastAsia="標楷體" w:hAnsi="標楷體" w:hint="eastAsia"/>
          <w:b/>
          <w:sz w:val="32"/>
          <w:szCs w:val="32"/>
        </w:rPr>
        <w:t>】</w:t>
      </w:r>
    </w:p>
    <w:p w:rsidR="00F4452D" w:rsidRPr="004D451D" w:rsidRDefault="00F4452D" w:rsidP="00F4452D">
      <w:pPr>
        <w:pStyle w:val="ad"/>
        <w:spacing w:line="240" w:lineRule="auto"/>
        <w:ind w:left="0" w:firstLine="0"/>
        <w:jc w:val="center"/>
        <w:rPr>
          <w:b/>
        </w:rPr>
      </w:pPr>
      <w:r w:rsidRPr="004D451D">
        <w:rPr>
          <w:rFonts w:hint="eastAsia"/>
          <w:b/>
        </w:rPr>
        <w:t>槓桿比率組成項目揭露表</w:t>
      </w:r>
    </w:p>
    <w:p w:rsidR="00F4452D" w:rsidRPr="004D451D" w:rsidRDefault="00F4452D" w:rsidP="00902C55">
      <w:pPr>
        <w:wordWrap w:val="0"/>
        <w:spacing w:line="400" w:lineRule="exact"/>
        <w:jc w:val="right"/>
        <w:rPr>
          <w:rFonts w:ascii="標楷體" w:eastAsia="標楷體" w:hAnsi="標楷體"/>
          <w:b/>
          <w:bCs/>
        </w:rPr>
      </w:pPr>
      <w:r w:rsidRPr="004D451D">
        <w:rPr>
          <w:rFonts w:ascii="標楷體" w:eastAsia="標楷體" w:hAnsi="標楷體"/>
          <w:b/>
          <w:bCs/>
          <w:sz w:val="32"/>
          <w:szCs w:val="32"/>
        </w:rPr>
        <w:t xml:space="preserve"> </w:t>
      </w:r>
      <w:r w:rsidRPr="004D451D">
        <w:rPr>
          <w:rFonts w:ascii="標楷體" w:eastAsia="標楷體" w:hAnsi="標楷體"/>
          <w:bCs/>
          <w:sz w:val="32"/>
          <w:szCs w:val="32"/>
        </w:rPr>
        <w:t xml:space="preserve">   </w:t>
      </w:r>
      <w:r w:rsidR="000F0354" w:rsidRPr="004D451D">
        <w:rPr>
          <w:rFonts w:ascii="標楷體" w:eastAsia="標楷體" w:hAnsi="標楷體" w:hint="eastAsia"/>
          <w:bCs/>
          <w:sz w:val="32"/>
          <w:szCs w:val="32"/>
        </w:rPr>
        <w:t>10</w:t>
      </w:r>
      <w:r w:rsidR="00163153" w:rsidRPr="004D451D">
        <w:rPr>
          <w:rFonts w:ascii="標楷體" w:eastAsia="標楷體" w:hAnsi="標楷體" w:hint="eastAsia"/>
          <w:bCs/>
          <w:sz w:val="32"/>
          <w:szCs w:val="32"/>
        </w:rPr>
        <w:t>7</w:t>
      </w:r>
      <w:r w:rsidRPr="004D451D">
        <w:rPr>
          <w:rFonts w:ascii="標楷體" w:eastAsia="標楷體" w:hAnsi="標楷體" w:hint="eastAsia"/>
          <w:bCs/>
          <w:sz w:val="32"/>
          <w:szCs w:val="32"/>
        </w:rPr>
        <w:t>年</w:t>
      </w:r>
      <w:r w:rsidR="00163153" w:rsidRPr="004D451D">
        <w:rPr>
          <w:rFonts w:ascii="標楷體" w:eastAsia="標楷體" w:hAnsi="標楷體" w:hint="eastAsia"/>
          <w:bCs/>
          <w:sz w:val="32"/>
          <w:szCs w:val="32"/>
        </w:rPr>
        <w:t>06</w:t>
      </w:r>
      <w:r w:rsidRPr="004D451D">
        <w:rPr>
          <w:rFonts w:ascii="標楷體" w:eastAsia="標楷體" w:hAnsi="標楷體" w:hint="eastAsia"/>
          <w:bCs/>
          <w:sz w:val="32"/>
          <w:szCs w:val="32"/>
        </w:rPr>
        <w:t>月</w:t>
      </w:r>
      <w:r w:rsidR="000F0354" w:rsidRPr="004D451D">
        <w:rPr>
          <w:rFonts w:ascii="標楷體" w:eastAsia="標楷體" w:hAnsi="標楷體" w:hint="eastAsia"/>
          <w:bCs/>
          <w:sz w:val="32"/>
          <w:szCs w:val="32"/>
        </w:rPr>
        <w:t>3</w:t>
      </w:r>
      <w:r w:rsidR="00163153" w:rsidRPr="004D451D">
        <w:rPr>
          <w:rFonts w:ascii="標楷體" w:eastAsia="標楷體" w:hAnsi="標楷體" w:hint="eastAsia"/>
          <w:bCs/>
          <w:sz w:val="32"/>
          <w:szCs w:val="32"/>
        </w:rPr>
        <w:t>0</w:t>
      </w:r>
      <w:r w:rsidRPr="004D451D">
        <w:rPr>
          <w:rFonts w:ascii="標楷體" w:eastAsia="標楷體" w:hAnsi="標楷體" w:hint="eastAsia"/>
          <w:bCs/>
          <w:sz w:val="32"/>
          <w:szCs w:val="32"/>
        </w:rPr>
        <w:t>日</w:t>
      </w:r>
      <w:r w:rsidRPr="004D451D">
        <w:rPr>
          <w:rFonts w:ascii="標楷體" w:eastAsia="標楷體" w:hAnsi="標楷體"/>
          <w:b/>
          <w:bCs/>
        </w:rPr>
        <w:t xml:space="preserve">         </w:t>
      </w:r>
      <w:r w:rsidR="00531C88" w:rsidRPr="004D451D">
        <w:rPr>
          <w:rFonts w:ascii="標楷體" w:eastAsia="標楷體" w:hAnsi="標楷體" w:hint="eastAsia"/>
          <w:bCs/>
        </w:rPr>
        <w:t>（</w:t>
      </w:r>
      <w:r w:rsidRPr="004D451D">
        <w:rPr>
          <w:rFonts w:ascii="標楷體" w:eastAsia="標楷體" w:hAnsi="標楷體" w:cs="Arial" w:hint="eastAsia"/>
        </w:rPr>
        <w:t>單位：新臺幣千元，％</w:t>
      </w:r>
      <w:r w:rsidR="00531C88" w:rsidRPr="004D451D">
        <w:rPr>
          <w:rFonts w:ascii="標楷體" w:eastAsia="標楷體" w:hAnsi="標楷體" w:cs="Arial" w:hint="eastAsia"/>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3648"/>
        <w:gridCol w:w="1633"/>
        <w:gridCol w:w="1633"/>
        <w:gridCol w:w="1633"/>
        <w:gridCol w:w="1657"/>
      </w:tblGrid>
      <w:tr w:rsidR="004D451D" w:rsidRPr="004D451D" w:rsidTr="00C056B5">
        <w:trPr>
          <w:trHeight w:val="179"/>
        </w:trPr>
        <w:tc>
          <w:tcPr>
            <w:tcW w:w="570" w:type="dxa"/>
            <w:vMerge w:val="restart"/>
            <w:vAlign w:val="center"/>
          </w:tcPr>
          <w:p w:rsidR="00C056B5" w:rsidRPr="004D451D" w:rsidRDefault="00C056B5" w:rsidP="009E68F1">
            <w:pPr>
              <w:widowControl/>
              <w:jc w:val="center"/>
              <w:rPr>
                <w:rFonts w:eastAsia="標楷體"/>
                <w:b/>
                <w:kern w:val="0"/>
                <w:sz w:val="20"/>
                <w:szCs w:val="20"/>
              </w:rPr>
            </w:pPr>
          </w:p>
        </w:tc>
        <w:tc>
          <w:tcPr>
            <w:tcW w:w="3648" w:type="dxa"/>
            <w:vMerge w:val="restart"/>
            <w:vAlign w:val="center"/>
          </w:tcPr>
          <w:p w:rsidR="00C056B5" w:rsidRPr="004D451D" w:rsidRDefault="00C056B5" w:rsidP="009E68F1">
            <w:pPr>
              <w:widowControl/>
              <w:jc w:val="center"/>
              <w:rPr>
                <w:rFonts w:eastAsia="標楷體"/>
                <w:b/>
                <w:kern w:val="0"/>
                <w:sz w:val="20"/>
                <w:szCs w:val="20"/>
              </w:rPr>
            </w:pPr>
            <w:r w:rsidRPr="004D451D">
              <w:rPr>
                <w:rFonts w:eastAsia="標楷體" w:hint="eastAsia"/>
                <w:b/>
                <w:kern w:val="0"/>
                <w:sz w:val="20"/>
                <w:szCs w:val="20"/>
              </w:rPr>
              <w:t>項目</w:t>
            </w:r>
          </w:p>
        </w:tc>
        <w:tc>
          <w:tcPr>
            <w:tcW w:w="3266" w:type="dxa"/>
            <w:gridSpan w:val="2"/>
            <w:vAlign w:val="center"/>
          </w:tcPr>
          <w:p w:rsidR="00C056B5" w:rsidRPr="004D451D" w:rsidRDefault="00C056B5" w:rsidP="00902C55">
            <w:pPr>
              <w:widowControl/>
              <w:spacing w:line="240" w:lineRule="exact"/>
              <w:jc w:val="center"/>
              <w:rPr>
                <w:rFonts w:ascii="標楷體" w:eastAsia="標楷體" w:hAnsi="標楷體" w:cs="新細明體"/>
                <w:kern w:val="0"/>
                <w:sz w:val="20"/>
                <w:szCs w:val="20"/>
              </w:rPr>
            </w:pPr>
            <w:r w:rsidRPr="004D451D">
              <w:rPr>
                <w:rFonts w:ascii="標楷體" w:eastAsia="標楷體" w:hAnsi="標楷體" w:cs="新細明體" w:hint="eastAsia"/>
                <w:kern w:val="0"/>
                <w:sz w:val="20"/>
                <w:szCs w:val="20"/>
              </w:rPr>
              <w:t>本行</w:t>
            </w:r>
          </w:p>
        </w:tc>
        <w:tc>
          <w:tcPr>
            <w:tcW w:w="3290" w:type="dxa"/>
            <w:gridSpan w:val="2"/>
            <w:vAlign w:val="center"/>
          </w:tcPr>
          <w:p w:rsidR="00C056B5" w:rsidRPr="004D451D" w:rsidRDefault="00C056B5" w:rsidP="00902C55">
            <w:pPr>
              <w:widowControl/>
              <w:spacing w:line="240" w:lineRule="exact"/>
              <w:jc w:val="center"/>
              <w:rPr>
                <w:rFonts w:ascii="標楷體" w:eastAsia="標楷體" w:hAnsi="標楷體" w:cs="新細明體"/>
                <w:kern w:val="0"/>
                <w:sz w:val="20"/>
                <w:szCs w:val="20"/>
              </w:rPr>
            </w:pPr>
            <w:r w:rsidRPr="004D451D">
              <w:rPr>
                <w:rFonts w:ascii="標楷體" w:eastAsia="標楷體" w:hAnsi="標楷體" w:cs="新細明體" w:hint="eastAsia"/>
                <w:kern w:val="0"/>
                <w:sz w:val="20"/>
                <w:szCs w:val="20"/>
              </w:rPr>
              <w:t>合併</w:t>
            </w:r>
          </w:p>
        </w:tc>
      </w:tr>
      <w:tr w:rsidR="004D451D" w:rsidRPr="004D451D" w:rsidTr="00C056B5">
        <w:trPr>
          <w:trHeight w:val="251"/>
        </w:trPr>
        <w:tc>
          <w:tcPr>
            <w:tcW w:w="570" w:type="dxa"/>
            <w:vMerge/>
          </w:tcPr>
          <w:p w:rsidR="00C056B5" w:rsidRPr="004D451D" w:rsidRDefault="00C056B5" w:rsidP="009E68F1">
            <w:pPr>
              <w:widowControl/>
              <w:jc w:val="center"/>
              <w:rPr>
                <w:rFonts w:eastAsia="標楷體"/>
                <w:b/>
                <w:kern w:val="0"/>
                <w:sz w:val="20"/>
                <w:szCs w:val="20"/>
              </w:rPr>
            </w:pPr>
          </w:p>
        </w:tc>
        <w:tc>
          <w:tcPr>
            <w:tcW w:w="3648" w:type="dxa"/>
            <w:vMerge/>
          </w:tcPr>
          <w:p w:rsidR="00C056B5" w:rsidRPr="004D451D" w:rsidRDefault="00C056B5" w:rsidP="009E68F1">
            <w:pPr>
              <w:widowControl/>
              <w:jc w:val="center"/>
              <w:rPr>
                <w:rFonts w:eastAsia="標楷體"/>
                <w:b/>
                <w:kern w:val="0"/>
                <w:sz w:val="20"/>
                <w:szCs w:val="20"/>
              </w:rPr>
            </w:pPr>
          </w:p>
        </w:tc>
        <w:tc>
          <w:tcPr>
            <w:tcW w:w="1633" w:type="dxa"/>
            <w:vAlign w:val="center"/>
          </w:tcPr>
          <w:p w:rsidR="00C056B5" w:rsidRPr="004D451D" w:rsidRDefault="00C056B5" w:rsidP="00F92F33">
            <w:pPr>
              <w:widowControl/>
              <w:spacing w:line="200" w:lineRule="exact"/>
              <w:jc w:val="center"/>
              <w:rPr>
                <w:rFonts w:eastAsia="標楷體"/>
                <w:kern w:val="0"/>
                <w:sz w:val="20"/>
                <w:szCs w:val="20"/>
              </w:rPr>
            </w:pPr>
            <w:r w:rsidRPr="004D451D">
              <w:rPr>
                <w:rFonts w:eastAsia="標楷體" w:hint="eastAsia"/>
                <w:kern w:val="0"/>
                <w:sz w:val="20"/>
                <w:szCs w:val="20"/>
              </w:rPr>
              <w:t>本</w:t>
            </w:r>
            <w:r w:rsidRPr="004D451D">
              <w:rPr>
                <w:rFonts w:eastAsia="標楷體"/>
                <w:kern w:val="0"/>
                <w:sz w:val="20"/>
                <w:szCs w:val="20"/>
              </w:rPr>
              <w:t>季</w:t>
            </w:r>
            <w:r w:rsidRPr="004D451D">
              <w:rPr>
                <w:rFonts w:eastAsia="標楷體"/>
                <w:kern w:val="0"/>
                <w:sz w:val="20"/>
                <w:szCs w:val="20"/>
              </w:rPr>
              <w:t>A</w:t>
            </w:r>
          </w:p>
        </w:tc>
        <w:tc>
          <w:tcPr>
            <w:tcW w:w="1633" w:type="dxa"/>
            <w:vAlign w:val="center"/>
          </w:tcPr>
          <w:p w:rsidR="00C056B5" w:rsidRPr="004D451D" w:rsidRDefault="00C056B5" w:rsidP="00F92F33">
            <w:pPr>
              <w:widowControl/>
              <w:spacing w:line="200" w:lineRule="exact"/>
              <w:jc w:val="center"/>
              <w:rPr>
                <w:rFonts w:eastAsia="標楷體"/>
                <w:kern w:val="0"/>
                <w:sz w:val="20"/>
                <w:szCs w:val="20"/>
              </w:rPr>
            </w:pPr>
            <w:r w:rsidRPr="004D451D">
              <w:rPr>
                <w:rFonts w:eastAsia="標楷體"/>
                <w:kern w:val="0"/>
                <w:sz w:val="20"/>
                <w:szCs w:val="20"/>
              </w:rPr>
              <w:t>前一季</w:t>
            </w:r>
            <w:r w:rsidRPr="004D451D">
              <w:rPr>
                <w:rFonts w:eastAsia="標楷體"/>
                <w:kern w:val="0"/>
                <w:sz w:val="20"/>
                <w:szCs w:val="20"/>
              </w:rPr>
              <w:t>B</w:t>
            </w:r>
          </w:p>
        </w:tc>
        <w:tc>
          <w:tcPr>
            <w:tcW w:w="1633" w:type="dxa"/>
            <w:vAlign w:val="center"/>
          </w:tcPr>
          <w:p w:rsidR="00C056B5" w:rsidRPr="004D451D" w:rsidRDefault="00C056B5" w:rsidP="00F92F33">
            <w:pPr>
              <w:widowControl/>
              <w:spacing w:line="200" w:lineRule="exact"/>
              <w:jc w:val="center"/>
              <w:rPr>
                <w:rFonts w:eastAsia="標楷體"/>
                <w:kern w:val="0"/>
                <w:sz w:val="20"/>
                <w:szCs w:val="20"/>
              </w:rPr>
            </w:pPr>
            <w:r w:rsidRPr="004D451D">
              <w:rPr>
                <w:rFonts w:eastAsia="標楷體" w:hint="eastAsia"/>
                <w:kern w:val="0"/>
                <w:sz w:val="20"/>
                <w:szCs w:val="20"/>
              </w:rPr>
              <w:t>本</w:t>
            </w:r>
            <w:r w:rsidRPr="004D451D">
              <w:rPr>
                <w:rFonts w:eastAsia="標楷體"/>
                <w:kern w:val="0"/>
                <w:sz w:val="20"/>
                <w:szCs w:val="20"/>
              </w:rPr>
              <w:t>季</w:t>
            </w:r>
            <w:r w:rsidRPr="004D451D">
              <w:rPr>
                <w:rFonts w:eastAsia="標楷體"/>
                <w:kern w:val="0"/>
                <w:sz w:val="20"/>
                <w:szCs w:val="20"/>
              </w:rPr>
              <w:t>C</w:t>
            </w:r>
          </w:p>
        </w:tc>
        <w:tc>
          <w:tcPr>
            <w:tcW w:w="1657" w:type="dxa"/>
            <w:vAlign w:val="center"/>
          </w:tcPr>
          <w:p w:rsidR="00C056B5" w:rsidRPr="004D451D" w:rsidRDefault="00C056B5" w:rsidP="00F92F33">
            <w:pPr>
              <w:widowControl/>
              <w:spacing w:line="200" w:lineRule="exact"/>
              <w:jc w:val="center"/>
              <w:rPr>
                <w:rFonts w:eastAsia="標楷體"/>
                <w:kern w:val="0"/>
                <w:sz w:val="20"/>
                <w:szCs w:val="20"/>
              </w:rPr>
            </w:pPr>
            <w:r w:rsidRPr="004D451D">
              <w:rPr>
                <w:rFonts w:eastAsia="標楷體"/>
                <w:kern w:val="0"/>
                <w:sz w:val="20"/>
                <w:szCs w:val="20"/>
              </w:rPr>
              <w:t>前一季</w:t>
            </w:r>
            <w:r w:rsidRPr="004D451D">
              <w:rPr>
                <w:rFonts w:eastAsia="標楷體"/>
                <w:kern w:val="0"/>
                <w:sz w:val="20"/>
                <w:szCs w:val="20"/>
              </w:rPr>
              <w:t>D</w:t>
            </w:r>
          </w:p>
        </w:tc>
      </w:tr>
      <w:tr w:rsidR="004D451D" w:rsidRPr="004D451D" w:rsidTr="00C056B5">
        <w:trPr>
          <w:trHeight w:val="251"/>
        </w:trPr>
        <w:tc>
          <w:tcPr>
            <w:tcW w:w="570" w:type="dxa"/>
            <w:vMerge/>
          </w:tcPr>
          <w:p w:rsidR="00C056B5" w:rsidRPr="004D451D" w:rsidRDefault="00C056B5" w:rsidP="009E68F1">
            <w:pPr>
              <w:widowControl/>
              <w:jc w:val="center"/>
              <w:rPr>
                <w:rFonts w:eastAsia="標楷體"/>
                <w:b/>
                <w:kern w:val="0"/>
                <w:sz w:val="20"/>
                <w:szCs w:val="20"/>
              </w:rPr>
            </w:pPr>
          </w:p>
        </w:tc>
        <w:tc>
          <w:tcPr>
            <w:tcW w:w="3648" w:type="dxa"/>
            <w:vMerge/>
          </w:tcPr>
          <w:p w:rsidR="00C056B5" w:rsidRPr="004D451D" w:rsidRDefault="00C056B5" w:rsidP="009E68F1">
            <w:pPr>
              <w:widowControl/>
              <w:jc w:val="center"/>
              <w:rPr>
                <w:rFonts w:eastAsia="標楷體"/>
                <w:b/>
                <w:kern w:val="0"/>
                <w:sz w:val="20"/>
                <w:szCs w:val="20"/>
              </w:rPr>
            </w:pPr>
          </w:p>
        </w:tc>
        <w:tc>
          <w:tcPr>
            <w:tcW w:w="1633" w:type="dxa"/>
            <w:vAlign w:val="center"/>
          </w:tcPr>
          <w:p w:rsidR="00C056B5" w:rsidRPr="004D451D" w:rsidRDefault="00C056B5" w:rsidP="00F12FCF">
            <w:pPr>
              <w:pStyle w:val="ad"/>
              <w:spacing w:before="60" w:after="60" w:line="240" w:lineRule="auto"/>
              <w:ind w:left="0" w:firstLine="0"/>
              <w:jc w:val="center"/>
              <w:rPr>
                <w:rFonts w:cs="Arial"/>
                <w:sz w:val="18"/>
                <w:szCs w:val="18"/>
              </w:rPr>
            </w:pPr>
            <w:r w:rsidRPr="004D451D">
              <w:rPr>
                <w:rFonts w:cs="Arial" w:hint="eastAsia"/>
                <w:sz w:val="18"/>
                <w:szCs w:val="18"/>
              </w:rPr>
              <w:t>107年06月30日</w:t>
            </w:r>
          </w:p>
        </w:tc>
        <w:tc>
          <w:tcPr>
            <w:tcW w:w="1633" w:type="dxa"/>
            <w:vAlign w:val="center"/>
          </w:tcPr>
          <w:p w:rsidR="00C056B5" w:rsidRPr="004D451D" w:rsidRDefault="00C056B5" w:rsidP="00F12FCF">
            <w:pPr>
              <w:pStyle w:val="ad"/>
              <w:spacing w:before="60" w:after="60" w:line="240" w:lineRule="auto"/>
              <w:ind w:left="0" w:firstLine="0"/>
              <w:jc w:val="center"/>
              <w:rPr>
                <w:rFonts w:cs="Arial"/>
                <w:sz w:val="18"/>
                <w:szCs w:val="18"/>
              </w:rPr>
            </w:pPr>
            <w:r w:rsidRPr="004D451D">
              <w:rPr>
                <w:rFonts w:cs="Arial" w:hint="eastAsia"/>
                <w:sz w:val="18"/>
                <w:szCs w:val="18"/>
              </w:rPr>
              <w:t>107年03月31日</w:t>
            </w:r>
          </w:p>
        </w:tc>
        <w:tc>
          <w:tcPr>
            <w:tcW w:w="1633" w:type="dxa"/>
            <w:vAlign w:val="center"/>
          </w:tcPr>
          <w:p w:rsidR="00C056B5" w:rsidRPr="004D451D" w:rsidRDefault="00C056B5" w:rsidP="00F12FCF">
            <w:pPr>
              <w:pStyle w:val="ad"/>
              <w:spacing w:before="60" w:after="60" w:line="240" w:lineRule="auto"/>
              <w:ind w:left="0" w:firstLine="0"/>
              <w:jc w:val="center"/>
              <w:rPr>
                <w:rFonts w:cs="Arial"/>
                <w:sz w:val="18"/>
                <w:szCs w:val="18"/>
              </w:rPr>
            </w:pPr>
            <w:r w:rsidRPr="004D451D">
              <w:rPr>
                <w:rFonts w:cs="Arial" w:hint="eastAsia"/>
                <w:sz w:val="18"/>
                <w:szCs w:val="18"/>
              </w:rPr>
              <w:t>107年06月30日</w:t>
            </w:r>
          </w:p>
        </w:tc>
        <w:tc>
          <w:tcPr>
            <w:tcW w:w="1657" w:type="dxa"/>
            <w:vAlign w:val="center"/>
          </w:tcPr>
          <w:p w:rsidR="00C056B5" w:rsidRPr="004D451D" w:rsidRDefault="00C056B5" w:rsidP="00F12FCF">
            <w:pPr>
              <w:pStyle w:val="ad"/>
              <w:spacing w:before="60" w:after="60" w:line="240" w:lineRule="auto"/>
              <w:ind w:left="0" w:firstLine="0"/>
              <w:jc w:val="center"/>
              <w:rPr>
                <w:rFonts w:cs="Arial"/>
                <w:sz w:val="18"/>
                <w:szCs w:val="18"/>
              </w:rPr>
            </w:pPr>
            <w:r w:rsidRPr="004D451D">
              <w:rPr>
                <w:rFonts w:cs="Arial" w:hint="eastAsia"/>
                <w:sz w:val="18"/>
                <w:szCs w:val="18"/>
              </w:rPr>
              <w:t>107年03月31日</w:t>
            </w:r>
          </w:p>
        </w:tc>
      </w:tr>
      <w:tr w:rsidR="004D451D" w:rsidRPr="004D451D" w:rsidTr="00C056B5">
        <w:trPr>
          <w:trHeight w:val="403"/>
        </w:trPr>
        <w:tc>
          <w:tcPr>
            <w:tcW w:w="10774" w:type="dxa"/>
            <w:gridSpan w:val="6"/>
            <w:shd w:val="clear" w:color="auto" w:fill="D9D9D9"/>
            <w:vAlign w:val="center"/>
          </w:tcPr>
          <w:p w:rsidR="00C056B5" w:rsidRPr="004D451D" w:rsidRDefault="00C056B5" w:rsidP="009E68F1">
            <w:pPr>
              <w:widowControl/>
              <w:rPr>
                <w:rFonts w:eastAsia="標楷體"/>
                <w:kern w:val="0"/>
                <w:sz w:val="20"/>
                <w:szCs w:val="20"/>
              </w:rPr>
            </w:pPr>
            <w:r w:rsidRPr="004D451D">
              <w:rPr>
                <w:rFonts w:eastAsia="標楷體" w:hint="eastAsia"/>
                <w:b/>
                <w:kern w:val="0"/>
              </w:rPr>
              <w:t>資產負債表表內暴險</w:t>
            </w:r>
          </w:p>
        </w:tc>
      </w:tr>
      <w:tr w:rsidR="004D451D" w:rsidRPr="004D451D" w:rsidTr="00C056B5">
        <w:trPr>
          <w:trHeight w:val="403"/>
        </w:trPr>
        <w:tc>
          <w:tcPr>
            <w:tcW w:w="570" w:type="dxa"/>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w:t>
            </w:r>
          </w:p>
        </w:tc>
        <w:tc>
          <w:tcPr>
            <w:tcW w:w="3648" w:type="dxa"/>
          </w:tcPr>
          <w:p w:rsidR="00C056B5" w:rsidRPr="004D451D" w:rsidRDefault="00C056B5" w:rsidP="00902C55">
            <w:pPr>
              <w:widowControl/>
              <w:spacing w:line="260" w:lineRule="exact"/>
              <w:jc w:val="both"/>
              <w:rPr>
                <w:rFonts w:eastAsia="標楷體"/>
                <w:kern w:val="0"/>
                <w:sz w:val="20"/>
                <w:szCs w:val="20"/>
              </w:rPr>
            </w:pPr>
            <w:r w:rsidRPr="004D451D">
              <w:rPr>
                <w:rFonts w:eastAsia="標楷體" w:hint="eastAsia"/>
                <w:kern w:val="0"/>
                <w:sz w:val="20"/>
                <w:szCs w:val="20"/>
              </w:rPr>
              <w:t>資產負債表表內項目</w:t>
            </w:r>
          </w:p>
          <w:p w:rsidR="00C056B5" w:rsidRPr="004D451D" w:rsidRDefault="00C056B5" w:rsidP="00902C55">
            <w:pPr>
              <w:widowControl/>
              <w:spacing w:line="260" w:lineRule="exact"/>
              <w:jc w:val="both"/>
              <w:rPr>
                <w:rFonts w:eastAsia="標楷體"/>
                <w:kern w:val="0"/>
                <w:sz w:val="20"/>
                <w:szCs w:val="20"/>
              </w:rPr>
            </w:pPr>
            <w:r w:rsidRPr="004D451D">
              <w:rPr>
                <w:rFonts w:eastAsia="標楷體"/>
                <w:kern w:val="0"/>
                <w:sz w:val="20"/>
                <w:szCs w:val="20"/>
              </w:rPr>
              <w:t>(</w:t>
            </w:r>
            <w:r w:rsidRPr="004D451D">
              <w:rPr>
                <w:rFonts w:eastAsia="標楷體" w:hint="eastAsia"/>
                <w:kern w:val="0"/>
                <w:sz w:val="20"/>
                <w:szCs w:val="20"/>
              </w:rPr>
              <w:t>不含衍生性金融商品與有價證券融資交易</w:t>
            </w:r>
            <w:r w:rsidRPr="004D451D">
              <w:rPr>
                <w:rFonts w:eastAsia="標楷體" w:hint="eastAsia"/>
                <w:kern w:val="0"/>
                <w:sz w:val="20"/>
                <w:szCs w:val="20"/>
              </w:rPr>
              <w:t>(SFTs)</w:t>
            </w:r>
            <w:r w:rsidRPr="004D451D">
              <w:rPr>
                <w:rFonts w:eastAsia="標楷體"/>
                <w:kern w:val="0"/>
                <w:sz w:val="20"/>
                <w:szCs w:val="20"/>
              </w:rPr>
              <w:t>)</w:t>
            </w:r>
          </w:p>
        </w:tc>
        <w:tc>
          <w:tcPr>
            <w:tcW w:w="1633" w:type="dxa"/>
            <w:vAlign w:val="center"/>
          </w:tcPr>
          <w:p w:rsidR="00C056B5" w:rsidRPr="004D451D" w:rsidRDefault="00C056B5" w:rsidP="00F12FCF">
            <w:pPr>
              <w:jc w:val="right"/>
              <w:rPr>
                <w:rFonts w:ascii="Arial" w:eastAsia="標楷體" w:hAnsi="Arial" w:cs="Arial"/>
                <w:sz w:val="22"/>
                <w:szCs w:val="22"/>
              </w:rPr>
            </w:pPr>
            <w:r w:rsidRPr="004D451D">
              <w:rPr>
                <w:rFonts w:ascii="Arial" w:eastAsia="標楷體" w:hAnsi="Arial" w:cs="Arial" w:hint="eastAsia"/>
                <w:sz w:val="22"/>
                <w:szCs w:val="22"/>
              </w:rPr>
              <w:t xml:space="preserve"> 275,075,499 </w:t>
            </w:r>
          </w:p>
        </w:tc>
        <w:tc>
          <w:tcPr>
            <w:tcW w:w="1633" w:type="dxa"/>
            <w:vAlign w:val="center"/>
          </w:tcPr>
          <w:p w:rsidR="00C056B5" w:rsidRPr="004D451D" w:rsidRDefault="00C056B5" w:rsidP="00F12FCF">
            <w:pPr>
              <w:jc w:val="right"/>
              <w:rPr>
                <w:rFonts w:ascii="Arial" w:eastAsia="標楷體" w:hAnsi="Arial" w:cs="Arial"/>
                <w:sz w:val="22"/>
                <w:szCs w:val="22"/>
              </w:rPr>
            </w:pPr>
            <w:r w:rsidRPr="004D451D">
              <w:rPr>
                <w:rFonts w:ascii="Arial" w:eastAsia="標楷體" w:hAnsi="Arial" w:cs="Arial" w:hint="eastAsia"/>
                <w:sz w:val="22"/>
                <w:szCs w:val="22"/>
              </w:rPr>
              <w:t xml:space="preserve"> 270,578,517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276,837,399</w:t>
            </w:r>
          </w:p>
        </w:tc>
        <w:tc>
          <w:tcPr>
            <w:tcW w:w="1657" w:type="dxa"/>
            <w:shd w:val="clear" w:color="auto" w:fill="7F7F7F" w:themeFill="text1" w:themeFillTint="80"/>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2</w:t>
            </w:r>
          </w:p>
        </w:tc>
        <w:tc>
          <w:tcPr>
            <w:tcW w:w="3648" w:type="dxa"/>
          </w:tcPr>
          <w:p w:rsidR="00C056B5" w:rsidRPr="004D451D" w:rsidRDefault="00C056B5" w:rsidP="009E68F1">
            <w:pPr>
              <w:widowControl/>
              <w:ind w:leftChars="100" w:left="240"/>
              <w:jc w:val="both"/>
              <w:rPr>
                <w:rFonts w:eastAsia="標楷體"/>
                <w:kern w:val="0"/>
                <w:sz w:val="20"/>
                <w:szCs w:val="20"/>
              </w:rPr>
            </w:pPr>
            <w:r w:rsidRPr="004D451D">
              <w:rPr>
                <w:rFonts w:eastAsia="標楷體" w:hint="eastAsia"/>
                <w:kern w:val="0"/>
                <w:sz w:val="20"/>
                <w:szCs w:val="20"/>
              </w:rPr>
              <w:t>減：第一類資本扣除項中與資產項目有關之調整</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-792,835</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-949,501</w:t>
            </w:r>
          </w:p>
        </w:tc>
        <w:tc>
          <w:tcPr>
            <w:tcW w:w="1633" w:type="dxa"/>
            <w:vAlign w:val="center"/>
          </w:tcPr>
          <w:p w:rsidR="00C056B5" w:rsidRPr="004D451D" w:rsidRDefault="00C056B5" w:rsidP="00C056B5">
            <w:pPr>
              <w:widowControl/>
              <w:jc w:val="right"/>
              <w:rPr>
                <w:rFonts w:ascii="Arial" w:eastAsia="標楷體" w:hAnsi="Arial" w:cs="Arial"/>
                <w:sz w:val="22"/>
                <w:szCs w:val="22"/>
              </w:rPr>
            </w:pPr>
            <w:r w:rsidRPr="004D451D">
              <w:rPr>
                <w:rFonts w:ascii="Arial" w:eastAsia="標楷體" w:hAnsi="Arial" w:cs="Arial"/>
                <w:sz w:val="22"/>
                <w:szCs w:val="22"/>
              </w:rPr>
              <w:t>-239,244</w:t>
            </w:r>
          </w:p>
        </w:tc>
        <w:tc>
          <w:tcPr>
            <w:tcW w:w="1657" w:type="dxa"/>
            <w:shd w:val="clear" w:color="auto" w:fill="7F7F7F" w:themeFill="text1" w:themeFillTint="80"/>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3</w:t>
            </w:r>
          </w:p>
        </w:tc>
        <w:tc>
          <w:tcPr>
            <w:tcW w:w="3648" w:type="dxa"/>
          </w:tcPr>
          <w:p w:rsidR="00C056B5" w:rsidRPr="004D451D" w:rsidRDefault="00C056B5" w:rsidP="00902C55">
            <w:pPr>
              <w:widowControl/>
              <w:spacing w:line="260" w:lineRule="exact"/>
              <w:jc w:val="both"/>
              <w:rPr>
                <w:rFonts w:eastAsia="標楷體"/>
                <w:b/>
                <w:kern w:val="0"/>
                <w:sz w:val="20"/>
                <w:szCs w:val="20"/>
              </w:rPr>
            </w:pPr>
            <w:r w:rsidRPr="004D451D">
              <w:rPr>
                <w:rFonts w:eastAsia="標楷體" w:hint="eastAsia"/>
                <w:b/>
                <w:kern w:val="0"/>
                <w:sz w:val="20"/>
                <w:szCs w:val="20"/>
              </w:rPr>
              <w:t>資產負債表表內總暴險</w:t>
            </w:r>
          </w:p>
          <w:p w:rsidR="00C056B5" w:rsidRPr="004D451D" w:rsidRDefault="00C056B5" w:rsidP="00902C55">
            <w:pPr>
              <w:widowControl/>
              <w:spacing w:line="260" w:lineRule="exact"/>
              <w:jc w:val="both"/>
              <w:rPr>
                <w:rFonts w:eastAsia="標楷體"/>
                <w:b/>
                <w:kern w:val="0"/>
                <w:sz w:val="20"/>
                <w:szCs w:val="20"/>
              </w:rPr>
            </w:pPr>
            <w:r w:rsidRPr="004D451D">
              <w:rPr>
                <w:rFonts w:eastAsia="標楷體"/>
                <w:kern w:val="0"/>
                <w:sz w:val="20"/>
                <w:szCs w:val="20"/>
              </w:rPr>
              <w:t>(</w:t>
            </w:r>
            <w:r w:rsidRPr="004D451D">
              <w:rPr>
                <w:rFonts w:eastAsia="標楷體" w:hint="eastAsia"/>
                <w:kern w:val="0"/>
                <w:sz w:val="20"/>
                <w:szCs w:val="20"/>
              </w:rPr>
              <w:t>不含衍生性金融商品與有價證券融資交易</w:t>
            </w:r>
            <w:r w:rsidRPr="004D451D">
              <w:rPr>
                <w:rFonts w:eastAsia="標楷體"/>
                <w:kern w:val="0"/>
                <w:sz w:val="20"/>
                <w:szCs w:val="20"/>
              </w:rPr>
              <w:t>)</w:t>
            </w:r>
            <w:r w:rsidRPr="004D451D">
              <w:rPr>
                <w:rFonts w:eastAsia="標楷體"/>
                <w:b/>
                <w:kern w:val="0"/>
                <w:sz w:val="20"/>
                <w:szCs w:val="20"/>
              </w:rPr>
              <w:t xml:space="preserve"> </w:t>
            </w:r>
          </w:p>
          <w:p w:rsidR="00C056B5" w:rsidRPr="004D451D" w:rsidRDefault="00C056B5" w:rsidP="00902C55">
            <w:pPr>
              <w:widowControl/>
              <w:spacing w:line="260" w:lineRule="exact"/>
              <w:jc w:val="both"/>
              <w:rPr>
                <w:rFonts w:eastAsia="標楷體"/>
                <w:b/>
                <w:kern w:val="0"/>
                <w:sz w:val="20"/>
                <w:szCs w:val="20"/>
              </w:rPr>
            </w:pPr>
            <w:r w:rsidRPr="004D451D">
              <w:rPr>
                <w:rFonts w:eastAsia="標楷體"/>
                <w:b/>
                <w:kern w:val="0"/>
                <w:sz w:val="20"/>
                <w:szCs w:val="20"/>
              </w:rPr>
              <w:t>(</w:t>
            </w:r>
            <w:r w:rsidRPr="004D451D">
              <w:rPr>
                <w:rFonts w:eastAsia="標楷體" w:hint="eastAsia"/>
                <w:b/>
                <w:kern w:val="0"/>
                <w:sz w:val="20"/>
                <w:szCs w:val="20"/>
              </w:rPr>
              <w:t>本項為第</w:t>
            </w:r>
            <w:r w:rsidRPr="004D451D">
              <w:rPr>
                <w:rFonts w:eastAsia="標楷體"/>
                <w:b/>
                <w:kern w:val="0"/>
                <w:sz w:val="20"/>
                <w:szCs w:val="20"/>
              </w:rPr>
              <w:t>1</w:t>
            </w:r>
            <w:r w:rsidRPr="004D451D">
              <w:rPr>
                <w:rFonts w:eastAsia="標楷體" w:hint="eastAsia"/>
                <w:b/>
                <w:kern w:val="0"/>
                <w:sz w:val="20"/>
                <w:szCs w:val="20"/>
              </w:rPr>
              <w:t>項和第</w:t>
            </w:r>
            <w:r w:rsidRPr="004D451D">
              <w:rPr>
                <w:rFonts w:eastAsia="標楷體"/>
                <w:b/>
                <w:kern w:val="0"/>
                <w:sz w:val="20"/>
                <w:szCs w:val="20"/>
              </w:rPr>
              <w:t>2</w:t>
            </w:r>
            <w:r w:rsidRPr="004D451D">
              <w:rPr>
                <w:rFonts w:eastAsia="標楷體" w:hint="eastAsia"/>
                <w:b/>
                <w:kern w:val="0"/>
                <w:sz w:val="20"/>
                <w:szCs w:val="20"/>
              </w:rPr>
              <w:t>項之加總</w:t>
            </w:r>
            <w:r w:rsidRPr="004D451D">
              <w:rPr>
                <w:rFonts w:eastAsia="標楷體"/>
                <w:b/>
                <w:kern w:val="0"/>
                <w:sz w:val="20"/>
                <w:szCs w:val="20"/>
              </w:rPr>
              <w:t>)</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274,282,664</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269,629,01</w:t>
            </w:r>
            <w:r w:rsidRPr="004D451D">
              <w:rPr>
                <w:rFonts w:ascii="Arial" w:eastAsia="標楷體" w:hAnsi="Arial" w:cs="Arial" w:hint="eastAsia"/>
                <w:sz w:val="22"/>
                <w:szCs w:val="22"/>
              </w:rPr>
              <w:t>6</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276,598,155 </w:t>
            </w:r>
          </w:p>
        </w:tc>
        <w:tc>
          <w:tcPr>
            <w:tcW w:w="1657" w:type="dxa"/>
            <w:shd w:val="clear" w:color="auto" w:fill="7F7F7F" w:themeFill="text1" w:themeFillTint="80"/>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10774" w:type="dxa"/>
            <w:gridSpan w:val="6"/>
            <w:shd w:val="clear" w:color="auto" w:fill="D9D9D9"/>
            <w:vAlign w:val="center"/>
          </w:tcPr>
          <w:p w:rsidR="00C056B5" w:rsidRPr="004D451D" w:rsidRDefault="00C056B5" w:rsidP="009E68F1">
            <w:pPr>
              <w:widowControl/>
              <w:jc w:val="both"/>
              <w:rPr>
                <w:rFonts w:eastAsia="標楷體"/>
                <w:kern w:val="0"/>
                <w:sz w:val="20"/>
                <w:szCs w:val="20"/>
              </w:rPr>
            </w:pPr>
            <w:r w:rsidRPr="004D451D">
              <w:rPr>
                <w:rFonts w:eastAsia="標楷體" w:hint="eastAsia"/>
                <w:b/>
                <w:kern w:val="0"/>
              </w:rPr>
              <w:t>衍生性金融商品暴險</w:t>
            </w: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4</w:t>
            </w:r>
          </w:p>
        </w:tc>
        <w:tc>
          <w:tcPr>
            <w:tcW w:w="3648" w:type="dxa"/>
            <w:vAlign w:val="center"/>
          </w:tcPr>
          <w:p w:rsidR="00C056B5" w:rsidRPr="004D451D" w:rsidRDefault="00C056B5" w:rsidP="00C056B5">
            <w:pPr>
              <w:widowControl/>
              <w:spacing w:line="260" w:lineRule="exact"/>
              <w:jc w:val="both"/>
              <w:rPr>
                <w:rFonts w:eastAsia="標楷體"/>
                <w:kern w:val="0"/>
                <w:sz w:val="20"/>
                <w:szCs w:val="20"/>
              </w:rPr>
            </w:pPr>
            <w:r w:rsidRPr="004D451D">
              <w:rPr>
                <w:rFonts w:eastAsia="標楷體" w:hint="eastAsia"/>
                <w:kern w:val="0"/>
                <w:sz w:val="20"/>
                <w:szCs w:val="20"/>
              </w:rPr>
              <w:t>所有衍生性金融商品交易相關之重置成本</w:t>
            </w:r>
            <w:r w:rsidRPr="004D451D">
              <w:rPr>
                <w:rFonts w:eastAsia="標楷體"/>
                <w:kern w:val="0"/>
                <w:sz w:val="20"/>
                <w:szCs w:val="20"/>
              </w:rPr>
              <w:t>(</w:t>
            </w:r>
            <w:r w:rsidRPr="004D451D">
              <w:rPr>
                <w:rFonts w:eastAsia="標楷體" w:hint="eastAsia"/>
                <w:kern w:val="0"/>
                <w:sz w:val="20"/>
                <w:szCs w:val="20"/>
              </w:rPr>
              <w:t>扣除合格現金價格變動保證金</w:t>
            </w:r>
            <w:r w:rsidRPr="004D451D">
              <w:rPr>
                <w:rFonts w:eastAsia="標楷體"/>
                <w:kern w:val="0"/>
                <w:sz w:val="20"/>
                <w:szCs w:val="20"/>
              </w:rPr>
              <w:t>)</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79,570</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309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79,570 </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5</w:t>
            </w:r>
          </w:p>
        </w:tc>
        <w:tc>
          <w:tcPr>
            <w:tcW w:w="3648" w:type="dxa"/>
            <w:vAlign w:val="center"/>
          </w:tcPr>
          <w:p w:rsidR="00C056B5" w:rsidRPr="004D451D" w:rsidRDefault="00C056B5" w:rsidP="00902C55">
            <w:pPr>
              <w:widowControl/>
              <w:spacing w:line="260" w:lineRule="exact"/>
              <w:jc w:val="both"/>
              <w:rPr>
                <w:rFonts w:eastAsia="標楷體"/>
                <w:kern w:val="0"/>
                <w:sz w:val="20"/>
                <w:szCs w:val="20"/>
              </w:rPr>
            </w:pPr>
            <w:r w:rsidRPr="004D451D">
              <w:rPr>
                <w:rFonts w:eastAsia="標楷體" w:hint="eastAsia"/>
                <w:kern w:val="0"/>
                <w:sz w:val="20"/>
                <w:szCs w:val="20"/>
              </w:rPr>
              <w:t>所有衍生性金融商品交易之未來潛在暴險額</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47,892</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31,635</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47,892</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6</w:t>
            </w:r>
          </w:p>
        </w:tc>
        <w:tc>
          <w:tcPr>
            <w:tcW w:w="3648" w:type="dxa"/>
            <w:vAlign w:val="center"/>
          </w:tcPr>
          <w:p w:rsidR="00C056B5" w:rsidRPr="004D451D" w:rsidRDefault="00C056B5" w:rsidP="00902C55">
            <w:pPr>
              <w:widowControl/>
              <w:spacing w:line="260" w:lineRule="exact"/>
              <w:jc w:val="both"/>
              <w:rPr>
                <w:rFonts w:eastAsia="標楷體"/>
                <w:kern w:val="0"/>
                <w:sz w:val="20"/>
                <w:szCs w:val="20"/>
              </w:rPr>
            </w:pPr>
            <w:r w:rsidRPr="004D451D">
              <w:rPr>
                <w:rFonts w:eastAsia="標楷體" w:hint="eastAsia"/>
                <w:kern w:val="0"/>
                <w:sz w:val="20"/>
                <w:szCs w:val="20"/>
              </w:rPr>
              <w:t>加回依據會計作業架構自資產負債表資產餘額扣除所提供之衍生性金融商品擔保品</w:t>
            </w:r>
          </w:p>
        </w:tc>
        <w:tc>
          <w:tcPr>
            <w:tcW w:w="1633" w:type="dxa"/>
            <w:shd w:val="clear" w:color="auto" w:fill="7F7F7F"/>
            <w:vAlign w:val="center"/>
          </w:tcPr>
          <w:p w:rsidR="00C056B5" w:rsidRPr="004D451D" w:rsidRDefault="00C056B5" w:rsidP="009E68F1">
            <w:pPr>
              <w:widowControl/>
              <w:jc w:val="both"/>
              <w:rPr>
                <w:rFonts w:eastAsia="標楷體"/>
                <w:kern w:val="0"/>
                <w:sz w:val="20"/>
                <w:szCs w:val="20"/>
              </w:rPr>
            </w:pPr>
          </w:p>
        </w:tc>
        <w:tc>
          <w:tcPr>
            <w:tcW w:w="1633" w:type="dxa"/>
            <w:shd w:val="clear" w:color="auto" w:fill="7F7F7F"/>
            <w:vAlign w:val="center"/>
          </w:tcPr>
          <w:p w:rsidR="00C056B5" w:rsidRPr="004D451D" w:rsidRDefault="00C056B5" w:rsidP="009E68F1">
            <w:pPr>
              <w:widowControl/>
              <w:jc w:val="both"/>
              <w:rPr>
                <w:rFonts w:eastAsia="標楷體"/>
                <w:kern w:val="0"/>
                <w:sz w:val="20"/>
                <w:szCs w:val="20"/>
              </w:rPr>
            </w:pPr>
          </w:p>
        </w:tc>
        <w:tc>
          <w:tcPr>
            <w:tcW w:w="1633" w:type="dxa"/>
            <w:shd w:val="clear" w:color="auto" w:fill="7F7F7F"/>
            <w:vAlign w:val="center"/>
          </w:tcPr>
          <w:p w:rsidR="00C056B5" w:rsidRPr="004D451D" w:rsidRDefault="00C056B5" w:rsidP="009E68F1">
            <w:pPr>
              <w:widowControl/>
              <w:jc w:val="both"/>
              <w:rPr>
                <w:rFonts w:eastAsia="標楷體"/>
                <w:kern w:val="0"/>
                <w:sz w:val="20"/>
                <w:szCs w:val="20"/>
              </w:rPr>
            </w:pPr>
          </w:p>
        </w:tc>
        <w:tc>
          <w:tcPr>
            <w:tcW w:w="1657" w:type="dxa"/>
            <w:shd w:val="clear" w:color="auto" w:fill="7F7F7F"/>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7</w:t>
            </w:r>
          </w:p>
        </w:tc>
        <w:tc>
          <w:tcPr>
            <w:tcW w:w="3648" w:type="dxa"/>
            <w:vAlign w:val="center"/>
          </w:tcPr>
          <w:p w:rsidR="00C056B5" w:rsidRPr="004D451D" w:rsidRDefault="00C056B5" w:rsidP="00902C55">
            <w:pPr>
              <w:widowControl/>
              <w:spacing w:line="260" w:lineRule="exact"/>
              <w:jc w:val="both"/>
              <w:rPr>
                <w:rFonts w:eastAsia="標楷體"/>
                <w:kern w:val="0"/>
                <w:sz w:val="20"/>
                <w:szCs w:val="20"/>
              </w:rPr>
            </w:pPr>
            <w:r w:rsidRPr="004D451D">
              <w:rPr>
                <w:rFonts w:eastAsia="標楷體" w:hint="eastAsia"/>
                <w:kern w:val="0"/>
                <w:sz w:val="20"/>
                <w:szCs w:val="20"/>
              </w:rPr>
              <w:t>減：衍生性金融商品交易因提供現金價格變動保證金仍帳列銀行資產之金額</w:t>
            </w:r>
          </w:p>
        </w:tc>
        <w:tc>
          <w:tcPr>
            <w:tcW w:w="1633" w:type="dxa"/>
            <w:tcBorders>
              <w:bottom w:val="single" w:sz="4" w:space="0" w:color="auto"/>
            </w:tcBorders>
            <w:vAlign w:val="center"/>
          </w:tcPr>
          <w:p w:rsidR="00C056B5" w:rsidRPr="004D451D" w:rsidRDefault="00C056B5" w:rsidP="009E68F1">
            <w:pPr>
              <w:widowControl/>
              <w:jc w:val="both"/>
              <w:rPr>
                <w:rFonts w:eastAsia="標楷體"/>
                <w:kern w:val="0"/>
                <w:sz w:val="20"/>
                <w:szCs w:val="20"/>
              </w:rPr>
            </w:pPr>
          </w:p>
        </w:tc>
        <w:tc>
          <w:tcPr>
            <w:tcW w:w="1633" w:type="dxa"/>
            <w:tcBorders>
              <w:bottom w:val="single" w:sz="4" w:space="0" w:color="auto"/>
            </w:tcBorders>
            <w:vAlign w:val="center"/>
          </w:tcPr>
          <w:p w:rsidR="00C056B5" w:rsidRPr="004D451D" w:rsidRDefault="00C056B5" w:rsidP="009E68F1">
            <w:pPr>
              <w:widowControl/>
              <w:jc w:val="both"/>
              <w:rPr>
                <w:rFonts w:eastAsia="標楷體"/>
                <w:kern w:val="0"/>
                <w:sz w:val="20"/>
                <w:szCs w:val="20"/>
              </w:rPr>
            </w:pPr>
          </w:p>
        </w:tc>
        <w:tc>
          <w:tcPr>
            <w:tcW w:w="1633" w:type="dxa"/>
            <w:tcBorders>
              <w:bottom w:val="single" w:sz="4" w:space="0" w:color="auto"/>
            </w:tcBorders>
            <w:vAlign w:val="center"/>
          </w:tcPr>
          <w:p w:rsidR="00C056B5" w:rsidRPr="004D451D" w:rsidRDefault="00C056B5" w:rsidP="009E68F1">
            <w:pPr>
              <w:widowControl/>
              <w:jc w:val="both"/>
              <w:rPr>
                <w:rFonts w:eastAsia="標楷體"/>
                <w:kern w:val="0"/>
                <w:sz w:val="20"/>
                <w:szCs w:val="20"/>
              </w:rPr>
            </w:pPr>
          </w:p>
        </w:tc>
        <w:tc>
          <w:tcPr>
            <w:tcW w:w="1657" w:type="dxa"/>
            <w:tcBorders>
              <w:bottom w:val="single" w:sz="4" w:space="0" w:color="auto"/>
            </w:tcBorders>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8</w:t>
            </w:r>
          </w:p>
        </w:tc>
        <w:tc>
          <w:tcPr>
            <w:tcW w:w="3648" w:type="dxa"/>
            <w:vAlign w:val="center"/>
          </w:tcPr>
          <w:p w:rsidR="00C056B5" w:rsidRPr="004D451D" w:rsidRDefault="00C056B5" w:rsidP="000A5199">
            <w:pPr>
              <w:widowControl/>
              <w:spacing w:line="260" w:lineRule="exact"/>
              <w:jc w:val="both"/>
              <w:rPr>
                <w:rFonts w:eastAsia="標楷體"/>
                <w:kern w:val="0"/>
                <w:sz w:val="20"/>
                <w:szCs w:val="20"/>
              </w:rPr>
            </w:pPr>
            <w:r w:rsidRPr="004D451D">
              <w:rPr>
                <w:rFonts w:eastAsia="標楷體" w:hint="eastAsia"/>
                <w:kern w:val="0"/>
                <w:sz w:val="20"/>
                <w:szCs w:val="20"/>
              </w:rPr>
              <w:t>減：因提供客戶交易清算服務而產生但得豁免計算之集中結算交易對手暴險</w:t>
            </w:r>
          </w:p>
        </w:tc>
        <w:tc>
          <w:tcPr>
            <w:tcW w:w="1633" w:type="dxa"/>
            <w:shd w:val="clear" w:color="auto" w:fill="auto"/>
            <w:vAlign w:val="center"/>
          </w:tcPr>
          <w:p w:rsidR="00C056B5" w:rsidRPr="004D451D" w:rsidRDefault="00C056B5" w:rsidP="009E68F1">
            <w:pPr>
              <w:widowControl/>
              <w:jc w:val="both"/>
              <w:rPr>
                <w:rFonts w:eastAsia="標楷體"/>
                <w:kern w:val="0"/>
                <w:sz w:val="20"/>
                <w:szCs w:val="20"/>
              </w:rPr>
            </w:pPr>
          </w:p>
        </w:tc>
        <w:tc>
          <w:tcPr>
            <w:tcW w:w="1633" w:type="dxa"/>
            <w:shd w:val="clear" w:color="auto" w:fill="auto"/>
            <w:vAlign w:val="center"/>
          </w:tcPr>
          <w:p w:rsidR="00C056B5" w:rsidRPr="004D451D" w:rsidRDefault="00C056B5" w:rsidP="009E68F1">
            <w:pPr>
              <w:widowControl/>
              <w:jc w:val="both"/>
              <w:rPr>
                <w:rFonts w:eastAsia="標楷體"/>
                <w:b/>
                <w:kern w:val="0"/>
                <w:sz w:val="20"/>
                <w:szCs w:val="20"/>
              </w:rPr>
            </w:pPr>
          </w:p>
        </w:tc>
        <w:tc>
          <w:tcPr>
            <w:tcW w:w="1633" w:type="dxa"/>
            <w:shd w:val="clear" w:color="auto" w:fill="auto"/>
            <w:vAlign w:val="center"/>
          </w:tcPr>
          <w:p w:rsidR="00C056B5" w:rsidRPr="004D451D" w:rsidRDefault="00C056B5" w:rsidP="009E68F1">
            <w:pPr>
              <w:widowControl/>
              <w:jc w:val="both"/>
              <w:rPr>
                <w:rFonts w:eastAsia="標楷體"/>
                <w:kern w:val="0"/>
                <w:sz w:val="20"/>
                <w:szCs w:val="20"/>
              </w:rPr>
            </w:pP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9</w:t>
            </w:r>
          </w:p>
        </w:tc>
        <w:tc>
          <w:tcPr>
            <w:tcW w:w="3648" w:type="dxa"/>
            <w:vAlign w:val="center"/>
          </w:tcPr>
          <w:p w:rsidR="00C056B5" w:rsidRPr="004D451D" w:rsidRDefault="00C056B5" w:rsidP="009E68F1">
            <w:pPr>
              <w:widowControl/>
              <w:jc w:val="both"/>
              <w:rPr>
                <w:rFonts w:eastAsia="標楷體"/>
                <w:kern w:val="0"/>
                <w:sz w:val="20"/>
                <w:szCs w:val="20"/>
              </w:rPr>
            </w:pPr>
            <w:r w:rsidRPr="004D451D">
              <w:rPr>
                <w:rFonts w:eastAsia="標楷體" w:hint="eastAsia"/>
                <w:kern w:val="0"/>
                <w:sz w:val="20"/>
                <w:szCs w:val="20"/>
              </w:rPr>
              <w:t>信用保障提供人之調整後有效名目本金</w:t>
            </w:r>
          </w:p>
        </w:tc>
        <w:tc>
          <w:tcPr>
            <w:tcW w:w="1633" w:type="dxa"/>
            <w:vAlign w:val="center"/>
          </w:tcPr>
          <w:p w:rsidR="00C056B5" w:rsidRPr="004D451D" w:rsidRDefault="00C056B5" w:rsidP="009E68F1">
            <w:pPr>
              <w:widowControl/>
              <w:jc w:val="both"/>
              <w:rPr>
                <w:rFonts w:eastAsia="標楷體"/>
                <w:kern w:val="0"/>
                <w:sz w:val="20"/>
                <w:szCs w:val="20"/>
              </w:rPr>
            </w:pPr>
          </w:p>
        </w:tc>
        <w:tc>
          <w:tcPr>
            <w:tcW w:w="1633" w:type="dxa"/>
            <w:vAlign w:val="center"/>
          </w:tcPr>
          <w:p w:rsidR="00C056B5" w:rsidRPr="004D451D" w:rsidRDefault="00C056B5" w:rsidP="009E68F1">
            <w:pPr>
              <w:widowControl/>
              <w:jc w:val="both"/>
              <w:rPr>
                <w:rFonts w:eastAsia="標楷體"/>
                <w:kern w:val="0"/>
                <w:sz w:val="20"/>
                <w:szCs w:val="20"/>
              </w:rPr>
            </w:pPr>
          </w:p>
        </w:tc>
        <w:tc>
          <w:tcPr>
            <w:tcW w:w="1633" w:type="dxa"/>
            <w:vAlign w:val="center"/>
          </w:tcPr>
          <w:p w:rsidR="00C056B5" w:rsidRPr="004D451D" w:rsidRDefault="00C056B5" w:rsidP="009E68F1">
            <w:pPr>
              <w:widowControl/>
              <w:jc w:val="both"/>
              <w:rPr>
                <w:rFonts w:eastAsia="標楷體"/>
                <w:kern w:val="0"/>
                <w:sz w:val="20"/>
                <w:szCs w:val="20"/>
              </w:rPr>
            </w:pP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10</w:t>
            </w:r>
          </w:p>
        </w:tc>
        <w:tc>
          <w:tcPr>
            <w:tcW w:w="3648" w:type="dxa"/>
            <w:vAlign w:val="center"/>
          </w:tcPr>
          <w:p w:rsidR="00C056B5" w:rsidRPr="004D451D" w:rsidRDefault="00C056B5" w:rsidP="00C056B5">
            <w:pPr>
              <w:widowControl/>
              <w:spacing w:line="240" w:lineRule="exact"/>
              <w:ind w:leftChars="100" w:left="640" w:hangingChars="200" w:hanging="400"/>
              <w:jc w:val="both"/>
              <w:rPr>
                <w:rFonts w:eastAsia="標楷體"/>
                <w:kern w:val="0"/>
                <w:sz w:val="20"/>
                <w:szCs w:val="20"/>
              </w:rPr>
            </w:pPr>
            <w:r w:rsidRPr="004D451D">
              <w:rPr>
                <w:rFonts w:eastAsia="標楷體" w:hint="eastAsia"/>
                <w:kern w:val="0"/>
                <w:sz w:val="20"/>
                <w:szCs w:val="20"/>
              </w:rPr>
              <w:t>減：信用保障提供人之有效名目本金抵減數</w:t>
            </w:r>
          </w:p>
        </w:tc>
        <w:tc>
          <w:tcPr>
            <w:tcW w:w="1633" w:type="dxa"/>
            <w:vAlign w:val="center"/>
          </w:tcPr>
          <w:p w:rsidR="00C056B5" w:rsidRPr="004D451D" w:rsidRDefault="00C056B5" w:rsidP="009E68F1">
            <w:pPr>
              <w:widowControl/>
              <w:jc w:val="both"/>
              <w:rPr>
                <w:rFonts w:eastAsia="標楷體"/>
                <w:kern w:val="0"/>
                <w:sz w:val="20"/>
                <w:szCs w:val="20"/>
              </w:rPr>
            </w:pPr>
          </w:p>
        </w:tc>
        <w:tc>
          <w:tcPr>
            <w:tcW w:w="1633" w:type="dxa"/>
            <w:vAlign w:val="center"/>
          </w:tcPr>
          <w:p w:rsidR="00C056B5" w:rsidRPr="004D451D" w:rsidRDefault="00C056B5" w:rsidP="009E68F1">
            <w:pPr>
              <w:widowControl/>
              <w:jc w:val="both"/>
              <w:rPr>
                <w:rFonts w:eastAsia="標楷體"/>
                <w:kern w:val="0"/>
                <w:sz w:val="20"/>
                <w:szCs w:val="20"/>
              </w:rPr>
            </w:pPr>
          </w:p>
        </w:tc>
        <w:tc>
          <w:tcPr>
            <w:tcW w:w="1633" w:type="dxa"/>
            <w:vAlign w:val="center"/>
          </w:tcPr>
          <w:p w:rsidR="00C056B5" w:rsidRPr="004D451D" w:rsidRDefault="00C056B5" w:rsidP="009E68F1">
            <w:pPr>
              <w:widowControl/>
              <w:jc w:val="both"/>
              <w:rPr>
                <w:rFonts w:eastAsia="標楷體"/>
                <w:kern w:val="0"/>
                <w:sz w:val="20"/>
                <w:szCs w:val="20"/>
              </w:rPr>
            </w:pP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shd w:val="clear" w:color="auto" w:fill="FFFFFF"/>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11</w:t>
            </w:r>
          </w:p>
        </w:tc>
        <w:tc>
          <w:tcPr>
            <w:tcW w:w="3648" w:type="dxa"/>
            <w:shd w:val="clear" w:color="auto" w:fill="FFFFFF"/>
            <w:vAlign w:val="center"/>
          </w:tcPr>
          <w:p w:rsidR="00C056B5" w:rsidRPr="004D451D" w:rsidRDefault="00C056B5" w:rsidP="00902C55">
            <w:pPr>
              <w:widowControl/>
              <w:spacing w:line="260" w:lineRule="exact"/>
              <w:jc w:val="both"/>
              <w:rPr>
                <w:rFonts w:eastAsia="標楷體"/>
                <w:b/>
                <w:kern w:val="0"/>
                <w:sz w:val="20"/>
                <w:szCs w:val="20"/>
              </w:rPr>
            </w:pPr>
            <w:r w:rsidRPr="004D451D">
              <w:rPr>
                <w:rFonts w:eastAsia="標楷體" w:hint="eastAsia"/>
                <w:b/>
                <w:kern w:val="0"/>
                <w:sz w:val="20"/>
                <w:szCs w:val="20"/>
              </w:rPr>
              <w:t>衍生性金融商品總暴險</w:t>
            </w:r>
          </w:p>
          <w:p w:rsidR="00C056B5" w:rsidRPr="004D451D" w:rsidRDefault="00C056B5" w:rsidP="00902C55">
            <w:pPr>
              <w:widowControl/>
              <w:spacing w:line="260" w:lineRule="exact"/>
              <w:jc w:val="both"/>
              <w:rPr>
                <w:rFonts w:eastAsia="標楷體"/>
                <w:b/>
                <w:kern w:val="0"/>
                <w:sz w:val="20"/>
                <w:szCs w:val="20"/>
              </w:rPr>
            </w:pPr>
            <w:r w:rsidRPr="004D451D">
              <w:rPr>
                <w:rFonts w:eastAsia="標楷體"/>
                <w:b/>
                <w:kern w:val="0"/>
                <w:sz w:val="20"/>
                <w:szCs w:val="20"/>
              </w:rPr>
              <w:t>(</w:t>
            </w:r>
            <w:r w:rsidRPr="004D451D">
              <w:rPr>
                <w:rFonts w:eastAsia="標楷體" w:hint="eastAsia"/>
                <w:b/>
                <w:kern w:val="0"/>
                <w:sz w:val="20"/>
                <w:szCs w:val="20"/>
              </w:rPr>
              <w:t>本項為第</w:t>
            </w:r>
            <w:r w:rsidRPr="004D451D">
              <w:rPr>
                <w:rFonts w:eastAsia="標楷體"/>
                <w:b/>
                <w:kern w:val="0"/>
                <w:sz w:val="20"/>
                <w:szCs w:val="20"/>
              </w:rPr>
              <w:t>4</w:t>
            </w:r>
            <w:r w:rsidRPr="004D451D">
              <w:rPr>
                <w:rFonts w:eastAsia="標楷體" w:hint="eastAsia"/>
                <w:b/>
                <w:kern w:val="0"/>
                <w:sz w:val="20"/>
                <w:szCs w:val="20"/>
              </w:rPr>
              <w:t>項至第</w:t>
            </w:r>
            <w:r w:rsidRPr="004D451D">
              <w:rPr>
                <w:rFonts w:eastAsia="標楷體"/>
                <w:b/>
                <w:kern w:val="0"/>
                <w:sz w:val="20"/>
                <w:szCs w:val="20"/>
              </w:rPr>
              <w:t>10</w:t>
            </w:r>
            <w:r w:rsidRPr="004D451D">
              <w:rPr>
                <w:rFonts w:eastAsia="標楷體" w:hint="eastAsia"/>
                <w:b/>
                <w:kern w:val="0"/>
                <w:sz w:val="20"/>
                <w:szCs w:val="20"/>
              </w:rPr>
              <w:t>項之加總</w:t>
            </w:r>
            <w:r w:rsidRPr="004D451D">
              <w:rPr>
                <w:rFonts w:eastAsia="標楷體"/>
                <w:b/>
                <w:kern w:val="0"/>
                <w:sz w:val="20"/>
                <w:szCs w:val="20"/>
              </w:rPr>
              <w:t>)</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 xml:space="preserve">127,462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 xml:space="preserve">31,944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   </w:t>
            </w:r>
            <w:r w:rsidRPr="004D451D">
              <w:rPr>
                <w:rFonts w:ascii="Arial" w:eastAsia="標楷體" w:hAnsi="Arial" w:cs="Arial"/>
                <w:sz w:val="22"/>
                <w:szCs w:val="22"/>
              </w:rPr>
              <w:t xml:space="preserve"> 127,462</w:t>
            </w:r>
            <w:r w:rsidRPr="004D451D">
              <w:rPr>
                <w:rFonts w:ascii="Arial" w:eastAsia="標楷體" w:hAnsi="Arial" w:cs="Arial" w:hint="eastAsia"/>
                <w:sz w:val="22"/>
                <w:szCs w:val="22"/>
              </w:rPr>
              <w:t xml:space="preserve"> </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10774" w:type="dxa"/>
            <w:gridSpan w:val="6"/>
            <w:shd w:val="clear" w:color="auto" w:fill="D9D9D9"/>
            <w:vAlign w:val="center"/>
          </w:tcPr>
          <w:p w:rsidR="00C056B5" w:rsidRPr="004D451D" w:rsidRDefault="00C056B5" w:rsidP="009E68F1">
            <w:pPr>
              <w:widowControl/>
              <w:jc w:val="both"/>
              <w:rPr>
                <w:rFonts w:eastAsia="標楷體"/>
                <w:kern w:val="0"/>
                <w:sz w:val="20"/>
                <w:szCs w:val="20"/>
              </w:rPr>
            </w:pPr>
            <w:r w:rsidRPr="004D451D">
              <w:rPr>
                <w:rFonts w:eastAsia="標楷體" w:hint="eastAsia"/>
                <w:b/>
                <w:kern w:val="0"/>
              </w:rPr>
              <w:t>有價證券融資交易暴險</w:t>
            </w: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12</w:t>
            </w:r>
          </w:p>
        </w:tc>
        <w:tc>
          <w:tcPr>
            <w:tcW w:w="3648" w:type="dxa"/>
            <w:vAlign w:val="center"/>
          </w:tcPr>
          <w:p w:rsidR="00C056B5" w:rsidRPr="004D451D" w:rsidRDefault="00C056B5" w:rsidP="009E68F1">
            <w:pPr>
              <w:widowControl/>
              <w:jc w:val="both"/>
              <w:rPr>
                <w:rFonts w:eastAsia="標楷體"/>
                <w:kern w:val="0"/>
                <w:sz w:val="20"/>
                <w:szCs w:val="20"/>
              </w:rPr>
            </w:pPr>
            <w:r w:rsidRPr="004D451D">
              <w:rPr>
                <w:rFonts w:eastAsia="標楷體" w:hint="eastAsia"/>
                <w:kern w:val="0"/>
                <w:sz w:val="20"/>
                <w:szCs w:val="20"/>
              </w:rPr>
              <w:t>有價證券融資交易資產毛額</w:t>
            </w:r>
            <w:r w:rsidRPr="004D451D">
              <w:rPr>
                <w:rFonts w:eastAsia="標楷體"/>
                <w:kern w:val="0"/>
                <w:sz w:val="20"/>
                <w:szCs w:val="20"/>
              </w:rPr>
              <w:t>(</w:t>
            </w:r>
            <w:r w:rsidRPr="004D451D">
              <w:rPr>
                <w:rFonts w:eastAsia="標楷體" w:hint="eastAsia"/>
                <w:kern w:val="0"/>
                <w:sz w:val="20"/>
                <w:szCs w:val="20"/>
              </w:rPr>
              <w:t>未認列互抵</w:t>
            </w:r>
            <w:r w:rsidRPr="004D451D">
              <w:rPr>
                <w:rFonts w:eastAsia="標楷體"/>
                <w:kern w:val="0"/>
                <w:sz w:val="20"/>
                <w:szCs w:val="20"/>
              </w:rPr>
              <w:t>)</w:t>
            </w:r>
          </w:p>
        </w:tc>
        <w:tc>
          <w:tcPr>
            <w:tcW w:w="1633" w:type="dxa"/>
            <w:vAlign w:val="center"/>
          </w:tcPr>
          <w:p w:rsidR="00C056B5" w:rsidRPr="004D451D" w:rsidRDefault="00C056B5" w:rsidP="006B1AC2">
            <w:pPr>
              <w:jc w:val="right"/>
              <w:rPr>
                <w:rFonts w:ascii="Arial" w:eastAsia="標楷體" w:hAnsi="Arial" w:cs="Arial"/>
                <w:sz w:val="22"/>
                <w:szCs w:val="22"/>
              </w:rPr>
            </w:pPr>
            <w:r w:rsidRPr="004D451D">
              <w:rPr>
                <w:rFonts w:ascii="Arial" w:eastAsia="標楷體" w:hAnsi="Arial" w:cs="Arial"/>
                <w:sz w:val="22"/>
                <w:szCs w:val="22"/>
              </w:rPr>
              <w:t>72,004</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2,597,950</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72,004</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13</w:t>
            </w:r>
          </w:p>
        </w:tc>
        <w:tc>
          <w:tcPr>
            <w:tcW w:w="3648" w:type="dxa"/>
            <w:vAlign w:val="center"/>
          </w:tcPr>
          <w:p w:rsidR="00C056B5" w:rsidRPr="004D451D" w:rsidRDefault="00C056B5" w:rsidP="00C056B5">
            <w:pPr>
              <w:widowControl/>
              <w:spacing w:line="240" w:lineRule="exact"/>
              <w:ind w:leftChars="100" w:left="240"/>
              <w:jc w:val="both"/>
              <w:rPr>
                <w:rFonts w:eastAsia="標楷體"/>
                <w:kern w:val="0"/>
                <w:sz w:val="20"/>
                <w:szCs w:val="20"/>
              </w:rPr>
            </w:pPr>
            <w:r w:rsidRPr="004D451D">
              <w:rPr>
                <w:rFonts w:eastAsia="標楷體" w:hint="eastAsia"/>
                <w:kern w:val="0"/>
                <w:sz w:val="20"/>
                <w:szCs w:val="20"/>
              </w:rPr>
              <w:t>減：有價證券融資交易資產毛額應收應付款項抵减額</w:t>
            </w:r>
          </w:p>
        </w:tc>
        <w:tc>
          <w:tcPr>
            <w:tcW w:w="1633" w:type="dxa"/>
            <w:vAlign w:val="center"/>
          </w:tcPr>
          <w:p w:rsidR="00C056B5" w:rsidRPr="004D451D" w:rsidRDefault="00C056B5" w:rsidP="00F92F33">
            <w:pPr>
              <w:jc w:val="right"/>
              <w:rPr>
                <w:rFonts w:ascii="Arial" w:eastAsia="標楷體" w:hAnsi="Arial" w:cs="Arial"/>
                <w:sz w:val="22"/>
                <w:szCs w:val="22"/>
              </w:rPr>
            </w:pPr>
          </w:p>
        </w:tc>
        <w:tc>
          <w:tcPr>
            <w:tcW w:w="1633" w:type="dxa"/>
            <w:vAlign w:val="center"/>
          </w:tcPr>
          <w:p w:rsidR="00C056B5" w:rsidRPr="004D451D" w:rsidRDefault="00C056B5" w:rsidP="00571EB9">
            <w:pPr>
              <w:jc w:val="right"/>
              <w:rPr>
                <w:rFonts w:ascii="Arial" w:eastAsia="標楷體" w:hAnsi="Arial" w:cs="Arial"/>
                <w:sz w:val="22"/>
                <w:szCs w:val="22"/>
              </w:rPr>
            </w:pPr>
          </w:p>
        </w:tc>
        <w:tc>
          <w:tcPr>
            <w:tcW w:w="1633" w:type="dxa"/>
            <w:vAlign w:val="center"/>
          </w:tcPr>
          <w:p w:rsidR="00C056B5" w:rsidRPr="004D451D" w:rsidRDefault="00C056B5" w:rsidP="00571EB9">
            <w:pPr>
              <w:jc w:val="right"/>
              <w:rPr>
                <w:rFonts w:ascii="Arial" w:eastAsia="標楷體" w:hAnsi="Arial" w:cs="Arial"/>
                <w:sz w:val="22"/>
                <w:szCs w:val="22"/>
              </w:rPr>
            </w:pP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14</w:t>
            </w:r>
          </w:p>
        </w:tc>
        <w:tc>
          <w:tcPr>
            <w:tcW w:w="3648" w:type="dxa"/>
            <w:vAlign w:val="center"/>
          </w:tcPr>
          <w:p w:rsidR="00C056B5" w:rsidRPr="004D451D" w:rsidRDefault="00C056B5" w:rsidP="00C056B5">
            <w:pPr>
              <w:widowControl/>
              <w:spacing w:line="240" w:lineRule="exact"/>
              <w:jc w:val="both"/>
              <w:rPr>
                <w:rFonts w:eastAsia="標楷體"/>
                <w:kern w:val="0"/>
                <w:sz w:val="20"/>
                <w:szCs w:val="20"/>
              </w:rPr>
            </w:pPr>
            <w:r w:rsidRPr="004D451D">
              <w:rPr>
                <w:rFonts w:eastAsia="標楷體" w:hint="eastAsia"/>
                <w:kern w:val="0"/>
                <w:sz w:val="20"/>
                <w:szCs w:val="20"/>
              </w:rPr>
              <w:t>有價證券融資交易資產之交易對手信用風險暴險額</w:t>
            </w:r>
          </w:p>
        </w:tc>
        <w:tc>
          <w:tcPr>
            <w:tcW w:w="1633" w:type="dxa"/>
            <w:vAlign w:val="center"/>
          </w:tcPr>
          <w:p w:rsidR="00C056B5" w:rsidRPr="004D451D" w:rsidRDefault="00C056B5" w:rsidP="00F92F33">
            <w:pPr>
              <w:jc w:val="right"/>
              <w:rPr>
                <w:rFonts w:ascii="Arial" w:eastAsia="標楷體" w:hAnsi="Arial" w:cs="Arial"/>
                <w:sz w:val="22"/>
                <w:szCs w:val="22"/>
              </w:rPr>
            </w:pPr>
            <w:r w:rsidRPr="004D451D">
              <w:rPr>
                <w:rFonts w:ascii="Arial" w:eastAsia="標楷體" w:hAnsi="Arial" w:cs="Arial"/>
                <w:sz w:val="22"/>
                <w:szCs w:val="22"/>
              </w:rPr>
              <w:t>14,374,093</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15,701,825</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14,374,093</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15</w:t>
            </w:r>
          </w:p>
        </w:tc>
        <w:tc>
          <w:tcPr>
            <w:tcW w:w="3648" w:type="dxa"/>
            <w:vAlign w:val="center"/>
          </w:tcPr>
          <w:p w:rsidR="00C056B5" w:rsidRPr="004D451D" w:rsidRDefault="00C056B5" w:rsidP="009E68F1">
            <w:pPr>
              <w:widowControl/>
              <w:jc w:val="both"/>
              <w:rPr>
                <w:rFonts w:eastAsia="標楷體"/>
                <w:kern w:val="0"/>
                <w:sz w:val="20"/>
                <w:szCs w:val="20"/>
              </w:rPr>
            </w:pPr>
            <w:r w:rsidRPr="004D451D">
              <w:rPr>
                <w:rFonts w:eastAsia="標楷體" w:hint="eastAsia"/>
                <w:kern w:val="0"/>
                <w:sz w:val="20"/>
                <w:szCs w:val="20"/>
              </w:rPr>
              <w:t>經紀交易之暴險額</w:t>
            </w:r>
          </w:p>
        </w:tc>
        <w:tc>
          <w:tcPr>
            <w:tcW w:w="1633" w:type="dxa"/>
            <w:shd w:val="clear" w:color="auto" w:fill="7F7F7F"/>
            <w:vAlign w:val="center"/>
          </w:tcPr>
          <w:p w:rsidR="00C056B5" w:rsidRPr="004D451D" w:rsidRDefault="00C056B5" w:rsidP="00F92F33">
            <w:pPr>
              <w:jc w:val="right"/>
              <w:rPr>
                <w:rFonts w:ascii="Arial" w:eastAsia="標楷體" w:hAnsi="Arial" w:cs="Arial"/>
                <w:sz w:val="22"/>
                <w:szCs w:val="22"/>
              </w:rPr>
            </w:pPr>
          </w:p>
        </w:tc>
        <w:tc>
          <w:tcPr>
            <w:tcW w:w="1633" w:type="dxa"/>
            <w:shd w:val="clear" w:color="auto" w:fill="7F7F7F"/>
            <w:vAlign w:val="center"/>
          </w:tcPr>
          <w:p w:rsidR="00C056B5" w:rsidRPr="004D451D" w:rsidRDefault="00C056B5" w:rsidP="00571EB9">
            <w:pPr>
              <w:jc w:val="right"/>
              <w:rPr>
                <w:rFonts w:ascii="Arial" w:eastAsia="標楷體" w:hAnsi="Arial" w:cs="Arial"/>
                <w:sz w:val="22"/>
                <w:szCs w:val="22"/>
              </w:rPr>
            </w:pPr>
          </w:p>
        </w:tc>
        <w:tc>
          <w:tcPr>
            <w:tcW w:w="1633" w:type="dxa"/>
            <w:shd w:val="clear" w:color="auto" w:fill="7F7F7F"/>
            <w:vAlign w:val="center"/>
          </w:tcPr>
          <w:p w:rsidR="00C056B5" w:rsidRPr="004D451D" w:rsidRDefault="00C056B5" w:rsidP="00571EB9">
            <w:pPr>
              <w:jc w:val="right"/>
              <w:rPr>
                <w:rFonts w:ascii="Arial" w:eastAsia="標楷體" w:hAnsi="Arial" w:cs="Arial"/>
                <w:sz w:val="22"/>
                <w:szCs w:val="22"/>
              </w:rPr>
            </w:pPr>
          </w:p>
        </w:tc>
        <w:tc>
          <w:tcPr>
            <w:tcW w:w="1657" w:type="dxa"/>
            <w:shd w:val="clear" w:color="auto" w:fill="7F7F7F"/>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shd w:val="clear" w:color="auto" w:fill="FFFFFF"/>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16</w:t>
            </w:r>
          </w:p>
        </w:tc>
        <w:tc>
          <w:tcPr>
            <w:tcW w:w="3648" w:type="dxa"/>
            <w:shd w:val="clear" w:color="auto" w:fill="FFFFFF"/>
          </w:tcPr>
          <w:p w:rsidR="00C056B5" w:rsidRPr="004D451D" w:rsidRDefault="00C056B5" w:rsidP="00902C55">
            <w:pPr>
              <w:widowControl/>
              <w:spacing w:line="260" w:lineRule="exact"/>
              <w:rPr>
                <w:rFonts w:eastAsia="標楷體"/>
                <w:b/>
                <w:kern w:val="0"/>
                <w:sz w:val="20"/>
                <w:szCs w:val="20"/>
              </w:rPr>
            </w:pPr>
            <w:r w:rsidRPr="004D451D">
              <w:rPr>
                <w:rFonts w:eastAsia="標楷體" w:hint="eastAsia"/>
                <w:b/>
                <w:kern w:val="0"/>
                <w:sz w:val="20"/>
                <w:szCs w:val="20"/>
              </w:rPr>
              <w:t>有價證券融資交易總暴險</w:t>
            </w:r>
          </w:p>
          <w:p w:rsidR="00C056B5" w:rsidRPr="004D451D" w:rsidRDefault="00C056B5" w:rsidP="00902C55">
            <w:pPr>
              <w:widowControl/>
              <w:spacing w:line="260" w:lineRule="exact"/>
              <w:rPr>
                <w:rFonts w:eastAsia="標楷體"/>
                <w:b/>
                <w:kern w:val="0"/>
                <w:sz w:val="20"/>
                <w:szCs w:val="20"/>
              </w:rPr>
            </w:pPr>
            <w:r w:rsidRPr="004D451D">
              <w:rPr>
                <w:rFonts w:eastAsia="標楷體"/>
                <w:b/>
                <w:kern w:val="0"/>
                <w:sz w:val="20"/>
                <w:szCs w:val="20"/>
              </w:rPr>
              <w:t>(</w:t>
            </w:r>
            <w:r w:rsidRPr="004D451D">
              <w:rPr>
                <w:rFonts w:eastAsia="標楷體" w:hint="eastAsia"/>
                <w:b/>
                <w:kern w:val="0"/>
                <w:sz w:val="20"/>
                <w:szCs w:val="20"/>
              </w:rPr>
              <w:t>本項為第</w:t>
            </w:r>
            <w:r w:rsidRPr="004D451D">
              <w:rPr>
                <w:rFonts w:eastAsia="標楷體"/>
                <w:b/>
                <w:kern w:val="0"/>
                <w:sz w:val="20"/>
                <w:szCs w:val="20"/>
              </w:rPr>
              <w:t>12</w:t>
            </w:r>
            <w:r w:rsidRPr="004D451D">
              <w:rPr>
                <w:rFonts w:eastAsia="標楷體" w:hint="eastAsia"/>
                <w:b/>
                <w:kern w:val="0"/>
                <w:sz w:val="20"/>
                <w:szCs w:val="20"/>
              </w:rPr>
              <w:t>項至第</w:t>
            </w:r>
            <w:r w:rsidRPr="004D451D">
              <w:rPr>
                <w:rFonts w:eastAsia="標楷體"/>
                <w:b/>
                <w:kern w:val="0"/>
                <w:sz w:val="20"/>
                <w:szCs w:val="20"/>
              </w:rPr>
              <w:t>15</w:t>
            </w:r>
            <w:r w:rsidRPr="004D451D">
              <w:rPr>
                <w:rFonts w:eastAsia="標楷體" w:hint="eastAsia"/>
                <w:b/>
                <w:kern w:val="0"/>
                <w:sz w:val="20"/>
                <w:szCs w:val="20"/>
              </w:rPr>
              <w:t>項之加總</w:t>
            </w:r>
            <w:r w:rsidRPr="004D451D">
              <w:rPr>
                <w:rFonts w:eastAsia="標楷體"/>
                <w:b/>
                <w:kern w:val="0"/>
                <w:sz w:val="20"/>
                <w:szCs w:val="20"/>
              </w:rPr>
              <w:t>)</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14,446,097</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18,299,775</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14,446,097</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10774" w:type="dxa"/>
            <w:gridSpan w:val="6"/>
            <w:shd w:val="clear" w:color="auto" w:fill="D9D9D9"/>
            <w:vAlign w:val="center"/>
          </w:tcPr>
          <w:p w:rsidR="00C056B5" w:rsidRPr="004D451D" w:rsidRDefault="00C056B5" w:rsidP="009E68F1">
            <w:pPr>
              <w:widowControl/>
              <w:jc w:val="both"/>
              <w:rPr>
                <w:rFonts w:eastAsia="標楷體"/>
                <w:kern w:val="0"/>
                <w:sz w:val="20"/>
                <w:szCs w:val="20"/>
              </w:rPr>
            </w:pPr>
            <w:r w:rsidRPr="004D451D">
              <w:rPr>
                <w:rFonts w:eastAsia="標楷體" w:hint="eastAsia"/>
                <w:b/>
                <w:kern w:val="0"/>
              </w:rPr>
              <w:t>資產負債表表外暴險</w:t>
            </w: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17</w:t>
            </w:r>
          </w:p>
        </w:tc>
        <w:tc>
          <w:tcPr>
            <w:tcW w:w="3648" w:type="dxa"/>
            <w:vAlign w:val="center"/>
          </w:tcPr>
          <w:p w:rsidR="00C056B5" w:rsidRPr="004D451D" w:rsidRDefault="00C056B5" w:rsidP="009E68F1">
            <w:pPr>
              <w:widowControl/>
              <w:jc w:val="both"/>
              <w:rPr>
                <w:rFonts w:eastAsia="標楷體"/>
                <w:kern w:val="0"/>
                <w:sz w:val="20"/>
                <w:szCs w:val="20"/>
              </w:rPr>
            </w:pPr>
            <w:r w:rsidRPr="004D451D">
              <w:rPr>
                <w:rFonts w:eastAsia="標楷體" w:hint="eastAsia"/>
                <w:kern w:val="0"/>
                <w:sz w:val="20"/>
                <w:szCs w:val="20"/>
              </w:rPr>
              <w:t>資產負債表表外暴險毛額</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 xml:space="preserve"> 20,541,248</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  20,110,850 </w:t>
            </w:r>
          </w:p>
        </w:tc>
        <w:tc>
          <w:tcPr>
            <w:tcW w:w="1633" w:type="dxa"/>
            <w:vAlign w:val="center"/>
          </w:tcPr>
          <w:p w:rsidR="00C056B5" w:rsidRPr="004D451D" w:rsidRDefault="00C056B5" w:rsidP="00C056B5">
            <w:pPr>
              <w:widowControl/>
              <w:jc w:val="right"/>
              <w:rPr>
                <w:rFonts w:ascii="Arial" w:eastAsia="標楷體" w:hAnsi="Arial" w:cs="Arial"/>
                <w:sz w:val="22"/>
                <w:szCs w:val="22"/>
              </w:rPr>
            </w:pPr>
            <w:r w:rsidRPr="004D451D">
              <w:rPr>
                <w:rFonts w:ascii="Arial" w:eastAsia="標楷體" w:hAnsi="Arial" w:cs="Arial"/>
                <w:sz w:val="22"/>
                <w:szCs w:val="22"/>
              </w:rPr>
              <w:t>20,541,248</w:t>
            </w:r>
          </w:p>
        </w:tc>
        <w:tc>
          <w:tcPr>
            <w:tcW w:w="1657" w:type="dxa"/>
            <w:shd w:val="clear" w:color="auto" w:fill="7F7F7F" w:themeFill="text1" w:themeFillTint="80"/>
            <w:vAlign w:val="center"/>
          </w:tcPr>
          <w:p w:rsidR="00C056B5" w:rsidRPr="004D451D" w:rsidRDefault="00C056B5" w:rsidP="00C056B5">
            <w:pPr>
              <w:widowControl/>
              <w:jc w:val="right"/>
              <w:rPr>
                <w:rFonts w:eastAsia="標楷體"/>
                <w:kern w:val="0"/>
                <w:sz w:val="20"/>
                <w:szCs w:val="20"/>
              </w:rPr>
            </w:pPr>
          </w:p>
        </w:tc>
      </w:tr>
      <w:tr w:rsidR="004D451D" w:rsidRPr="004D451D" w:rsidTr="00C056B5">
        <w:trPr>
          <w:trHeight w:val="403"/>
        </w:trPr>
        <w:tc>
          <w:tcPr>
            <w:tcW w:w="570" w:type="dxa"/>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18</w:t>
            </w:r>
          </w:p>
        </w:tc>
        <w:tc>
          <w:tcPr>
            <w:tcW w:w="3648" w:type="dxa"/>
            <w:vAlign w:val="center"/>
          </w:tcPr>
          <w:p w:rsidR="00C056B5" w:rsidRPr="004D451D" w:rsidRDefault="00C056B5" w:rsidP="009E68F1">
            <w:pPr>
              <w:widowControl/>
              <w:ind w:leftChars="100" w:left="240"/>
              <w:jc w:val="both"/>
              <w:rPr>
                <w:rFonts w:eastAsia="標楷體"/>
                <w:kern w:val="0"/>
                <w:sz w:val="20"/>
                <w:szCs w:val="20"/>
              </w:rPr>
            </w:pPr>
            <w:r w:rsidRPr="004D451D">
              <w:rPr>
                <w:rFonts w:eastAsia="標楷體" w:hint="eastAsia"/>
                <w:kern w:val="0"/>
                <w:sz w:val="20"/>
                <w:szCs w:val="20"/>
              </w:rPr>
              <w:t>減：轉換為信用相當額之調整數</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 xml:space="preserve">-16,061,429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-16,619,624 </w:t>
            </w:r>
          </w:p>
        </w:tc>
        <w:tc>
          <w:tcPr>
            <w:tcW w:w="1633" w:type="dxa"/>
            <w:vAlign w:val="center"/>
          </w:tcPr>
          <w:p w:rsidR="00C056B5" w:rsidRPr="004D451D" w:rsidRDefault="00C056B5" w:rsidP="00C056B5">
            <w:pPr>
              <w:widowControl/>
              <w:jc w:val="right"/>
              <w:rPr>
                <w:rFonts w:ascii="Arial" w:eastAsia="標楷體" w:hAnsi="Arial" w:cs="Arial"/>
                <w:sz w:val="22"/>
                <w:szCs w:val="22"/>
              </w:rPr>
            </w:pPr>
            <w:r w:rsidRPr="004D451D">
              <w:rPr>
                <w:rFonts w:ascii="Arial" w:eastAsia="標楷體" w:hAnsi="Arial" w:cs="Arial"/>
                <w:sz w:val="22"/>
                <w:szCs w:val="22"/>
              </w:rPr>
              <w:t>-16,061,429</w:t>
            </w:r>
          </w:p>
        </w:tc>
        <w:tc>
          <w:tcPr>
            <w:tcW w:w="1657" w:type="dxa"/>
            <w:shd w:val="clear" w:color="auto" w:fill="7F7F7F" w:themeFill="text1" w:themeFillTint="80"/>
            <w:vAlign w:val="center"/>
          </w:tcPr>
          <w:p w:rsidR="00C056B5" w:rsidRPr="004D451D" w:rsidRDefault="00C056B5" w:rsidP="00C056B5">
            <w:pPr>
              <w:widowControl/>
              <w:jc w:val="right"/>
              <w:rPr>
                <w:rFonts w:eastAsia="標楷體"/>
                <w:kern w:val="0"/>
                <w:sz w:val="20"/>
                <w:szCs w:val="20"/>
              </w:rPr>
            </w:pPr>
          </w:p>
        </w:tc>
      </w:tr>
      <w:tr w:rsidR="004D451D" w:rsidRPr="004D451D" w:rsidTr="00C056B5">
        <w:trPr>
          <w:trHeight w:val="403"/>
        </w:trPr>
        <w:tc>
          <w:tcPr>
            <w:tcW w:w="570" w:type="dxa"/>
            <w:shd w:val="clear" w:color="auto" w:fill="FFFFFF"/>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19</w:t>
            </w:r>
          </w:p>
        </w:tc>
        <w:tc>
          <w:tcPr>
            <w:tcW w:w="3648" w:type="dxa"/>
            <w:shd w:val="clear" w:color="auto" w:fill="FFFFFF"/>
            <w:vAlign w:val="center"/>
          </w:tcPr>
          <w:p w:rsidR="00C056B5" w:rsidRPr="004D451D" w:rsidRDefault="00C056B5" w:rsidP="00902C55">
            <w:pPr>
              <w:widowControl/>
              <w:spacing w:line="260" w:lineRule="exact"/>
              <w:jc w:val="both"/>
              <w:rPr>
                <w:rFonts w:eastAsia="標楷體"/>
                <w:b/>
                <w:kern w:val="0"/>
                <w:sz w:val="20"/>
                <w:szCs w:val="20"/>
              </w:rPr>
            </w:pPr>
            <w:r w:rsidRPr="004D451D">
              <w:rPr>
                <w:rFonts w:eastAsia="標楷體" w:hint="eastAsia"/>
                <w:b/>
                <w:kern w:val="0"/>
                <w:sz w:val="20"/>
                <w:szCs w:val="20"/>
              </w:rPr>
              <w:t>資產負債表表外總暴險</w:t>
            </w:r>
          </w:p>
          <w:p w:rsidR="00C056B5" w:rsidRPr="004D451D" w:rsidRDefault="00C056B5" w:rsidP="00902C55">
            <w:pPr>
              <w:widowControl/>
              <w:spacing w:line="260" w:lineRule="exact"/>
              <w:jc w:val="both"/>
              <w:rPr>
                <w:rFonts w:eastAsia="標楷體"/>
                <w:b/>
                <w:kern w:val="0"/>
                <w:sz w:val="20"/>
                <w:szCs w:val="20"/>
              </w:rPr>
            </w:pPr>
            <w:r w:rsidRPr="004D451D">
              <w:rPr>
                <w:rFonts w:eastAsia="標楷體"/>
                <w:b/>
                <w:kern w:val="0"/>
                <w:sz w:val="20"/>
                <w:szCs w:val="20"/>
              </w:rPr>
              <w:t>(</w:t>
            </w:r>
            <w:r w:rsidRPr="004D451D">
              <w:rPr>
                <w:rFonts w:eastAsia="標楷體" w:hint="eastAsia"/>
                <w:b/>
                <w:kern w:val="0"/>
                <w:sz w:val="20"/>
                <w:szCs w:val="20"/>
              </w:rPr>
              <w:t>本項為第</w:t>
            </w:r>
            <w:r w:rsidRPr="004D451D">
              <w:rPr>
                <w:rFonts w:eastAsia="標楷體"/>
                <w:b/>
                <w:kern w:val="0"/>
                <w:sz w:val="20"/>
                <w:szCs w:val="20"/>
              </w:rPr>
              <w:t>17</w:t>
            </w:r>
            <w:r w:rsidRPr="004D451D">
              <w:rPr>
                <w:rFonts w:eastAsia="標楷體" w:hint="eastAsia"/>
                <w:b/>
                <w:kern w:val="0"/>
                <w:sz w:val="20"/>
                <w:szCs w:val="20"/>
              </w:rPr>
              <w:t>項和第</w:t>
            </w:r>
            <w:r w:rsidRPr="004D451D">
              <w:rPr>
                <w:rFonts w:eastAsia="標楷體"/>
                <w:b/>
                <w:kern w:val="0"/>
                <w:sz w:val="20"/>
                <w:szCs w:val="20"/>
              </w:rPr>
              <w:t>18</w:t>
            </w:r>
            <w:r w:rsidRPr="004D451D">
              <w:rPr>
                <w:rFonts w:eastAsia="標楷體" w:hint="eastAsia"/>
                <w:b/>
                <w:kern w:val="0"/>
                <w:sz w:val="20"/>
                <w:szCs w:val="20"/>
              </w:rPr>
              <w:t>項之加總</w:t>
            </w:r>
            <w:r w:rsidRPr="004D451D">
              <w:rPr>
                <w:rFonts w:eastAsia="標楷體"/>
                <w:b/>
                <w:kern w:val="0"/>
                <w:sz w:val="20"/>
                <w:szCs w:val="20"/>
              </w:rPr>
              <w:t>)</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 </w:t>
            </w:r>
            <w:r w:rsidRPr="004D451D">
              <w:rPr>
                <w:rFonts w:ascii="Arial" w:eastAsia="標楷體" w:hAnsi="Arial" w:cs="Arial"/>
                <w:sz w:val="22"/>
                <w:szCs w:val="22"/>
              </w:rPr>
              <w:t xml:space="preserve"> 4,479,819 </w:t>
            </w:r>
            <w:r w:rsidRPr="004D451D">
              <w:rPr>
                <w:rFonts w:ascii="Arial" w:eastAsia="標楷體" w:hAnsi="Arial" w:cs="Arial" w:hint="eastAsia"/>
                <w:sz w:val="22"/>
                <w:szCs w:val="22"/>
              </w:rPr>
              <w:t xml:space="preserve">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 xml:space="preserve">3,491,226 </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 xml:space="preserve">4,479,819 </w:t>
            </w:r>
          </w:p>
        </w:tc>
        <w:tc>
          <w:tcPr>
            <w:tcW w:w="1657" w:type="dxa"/>
            <w:shd w:val="clear" w:color="auto" w:fill="7F7F7F" w:themeFill="text1" w:themeFillTint="80"/>
            <w:vAlign w:val="center"/>
          </w:tcPr>
          <w:p w:rsidR="00C056B5" w:rsidRPr="004D451D" w:rsidRDefault="00C056B5" w:rsidP="00C056B5">
            <w:pPr>
              <w:widowControl/>
              <w:jc w:val="right"/>
              <w:rPr>
                <w:rFonts w:eastAsia="標楷體"/>
                <w:kern w:val="0"/>
                <w:sz w:val="20"/>
                <w:szCs w:val="20"/>
              </w:rPr>
            </w:pPr>
          </w:p>
        </w:tc>
      </w:tr>
      <w:tr w:rsidR="004D451D" w:rsidRPr="004D451D" w:rsidTr="00C056B5">
        <w:trPr>
          <w:trHeight w:val="403"/>
        </w:trPr>
        <w:tc>
          <w:tcPr>
            <w:tcW w:w="10774" w:type="dxa"/>
            <w:gridSpan w:val="6"/>
            <w:shd w:val="clear" w:color="auto" w:fill="D9D9D9"/>
            <w:vAlign w:val="center"/>
          </w:tcPr>
          <w:p w:rsidR="00C056B5" w:rsidRPr="004D451D" w:rsidRDefault="00C056B5" w:rsidP="009E68F1">
            <w:pPr>
              <w:widowControl/>
              <w:jc w:val="both"/>
              <w:rPr>
                <w:rFonts w:eastAsia="標楷體"/>
                <w:kern w:val="0"/>
                <w:sz w:val="20"/>
                <w:szCs w:val="20"/>
              </w:rPr>
            </w:pPr>
            <w:r w:rsidRPr="004D451D">
              <w:rPr>
                <w:rFonts w:eastAsia="標楷體" w:hint="eastAsia"/>
                <w:b/>
                <w:kern w:val="0"/>
              </w:rPr>
              <w:t>資本與總暴險</w:t>
            </w:r>
          </w:p>
        </w:tc>
      </w:tr>
      <w:tr w:rsidR="004D451D" w:rsidRPr="004D451D" w:rsidTr="00C056B5">
        <w:trPr>
          <w:trHeight w:val="403"/>
        </w:trPr>
        <w:tc>
          <w:tcPr>
            <w:tcW w:w="570" w:type="dxa"/>
            <w:shd w:val="clear" w:color="auto" w:fill="FFFFFF"/>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lastRenderedPageBreak/>
              <w:t>20</w:t>
            </w:r>
          </w:p>
        </w:tc>
        <w:tc>
          <w:tcPr>
            <w:tcW w:w="3648" w:type="dxa"/>
            <w:shd w:val="clear" w:color="auto" w:fill="FFFFFF"/>
            <w:vAlign w:val="center"/>
          </w:tcPr>
          <w:p w:rsidR="00C056B5" w:rsidRPr="004D451D" w:rsidRDefault="00C056B5" w:rsidP="009E68F1">
            <w:pPr>
              <w:widowControl/>
              <w:jc w:val="both"/>
              <w:rPr>
                <w:rFonts w:eastAsia="標楷體"/>
                <w:b/>
                <w:kern w:val="0"/>
                <w:sz w:val="20"/>
                <w:szCs w:val="20"/>
              </w:rPr>
            </w:pPr>
            <w:r w:rsidRPr="004D451D">
              <w:rPr>
                <w:rFonts w:eastAsia="標楷體" w:hint="eastAsia"/>
                <w:b/>
                <w:kern w:val="0"/>
                <w:sz w:val="20"/>
                <w:szCs w:val="20"/>
              </w:rPr>
              <w:t>第一類資本淨額</w:t>
            </w:r>
          </w:p>
        </w:tc>
        <w:tc>
          <w:tcPr>
            <w:tcW w:w="1633" w:type="dxa"/>
            <w:vAlign w:val="center"/>
          </w:tcPr>
          <w:p w:rsidR="00C056B5" w:rsidRPr="004D451D" w:rsidRDefault="00C056B5" w:rsidP="006B1AC2">
            <w:pPr>
              <w:jc w:val="right"/>
              <w:rPr>
                <w:rFonts w:ascii="Arial" w:eastAsia="標楷體" w:hAnsi="Arial" w:cs="Arial"/>
                <w:sz w:val="22"/>
                <w:szCs w:val="22"/>
              </w:rPr>
            </w:pPr>
            <w:r w:rsidRPr="004D451D">
              <w:rPr>
                <w:rFonts w:ascii="Arial" w:eastAsia="標楷體" w:hAnsi="Arial" w:cs="Arial"/>
                <w:sz w:val="22"/>
                <w:szCs w:val="22"/>
              </w:rPr>
              <w:t>33,799,409</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34,714,319</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34,353,001</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570" w:type="dxa"/>
            <w:shd w:val="clear" w:color="auto" w:fill="FFFFFF"/>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21</w:t>
            </w:r>
          </w:p>
        </w:tc>
        <w:tc>
          <w:tcPr>
            <w:tcW w:w="3648" w:type="dxa"/>
            <w:shd w:val="clear" w:color="auto" w:fill="FFFFFF"/>
            <w:vAlign w:val="center"/>
          </w:tcPr>
          <w:p w:rsidR="00C056B5" w:rsidRPr="004D451D" w:rsidRDefault="00C056B5" w:rsidP="00902C55">
            <w:pPr>
              <w:widowControl/>
              <w:spacing w:line="260" w:lineRule="exact"/>
              <w:jc w:val="both"/>
              <w:rPr>
                <w:rFonts w:eastAsia="標楷體"/>
                <w:b/>
                <w:kern w:val="0"/>
                <w:sz w:val="20"/>
                <w:szCs w:val="20"/>
              </w:rPr>
            </w:pPr>
            <w:r w:rsidRPr="004D451D">
              <w:rPr>
                <w:rFonts w:eastAsia="標楷體" w:hint="eastAsia"/>
                <w:b/>
                <w:kern w:val="0"/>
                <w:sz w:val="20"/>
                <w:szCs w:val="20"/>
              </w:rPr>
              <w:t>暴險總額</w:t>
            </w:r>
          </w:p>
          <w:p w:rsidR="00C056B5" w:rsidRPr="004D451D" w:rsidRDefault="00C056B5" w:rsidP="00902C55">
            <w:pPr>
              <w:widowControl/>
              <w:spacing w:line="260" w:lineRule="exact"/>
              <w:jc w:val="both"/>
              <w:rPr>
                <w:rFonts w:eastAsia="標楷體"/>
                <w:b/>
                <w:kern w:val="0"/>
                <w:sz w:val="20"/>
                <w:szCs w:val="20"/>
              </w:rPr>
            </w:pPr>
            <w:r w:rsidRPr="004D451D">
              <w:rPr>
                <w:rFonts w:eastAsia="標楷體"/>
                <w:b/>
                <w:kern w:val="0"/>
                <w:sz w:val="20"/>
                <w:szCs w:val="20"/>
              </w:rPr>
              <w:t>(</w:t>
            </w:r>
            <w:r w:rsidRPr="004D451D">
              <w:rPr>
                <w:rFonts w:eastAsia="標楷體" w:hint="eastAsia"/>
                <w:b/>
                <w:kern w:val="0"/>
                <w:sz w:val="20"/>
                <w:szCs w:val="20"/>
              </w:rPr>
              <w:t>本項為第</w:t>
            </w:r>
            <w:r w:rsidRPr="004D451D">
              <w:rPr>
                <w:rFonts w:eastAsia="標楷體"/>
                <w:b/>
                <w:kern w:val="0"/>
                <w:sz w:val="20"/>
                <w:szCs w:val="20"/>
              </w:rPr>
              <w:t>3</w:t>
            </w:r>
            <w:r w:rsidRPr="004D451D">
              <w:rPr>
                <w:rFonts w:eastAsia="標楷體" w:hint="eastAsia"/>
                <w:b/>
                <w:kern w:val="0"/>
                <w:sz w:val="20"/>
                <w:szCs w:val="20"/>
              </w:rPr>
              <w:t>項、第</w:t>
            </w:r>
            <w:r w:rsidRPr="004D451D">
              <w:rPr>
                <w:rFonts w:eastAsia="標楷體"/>
                <w:b/>
                <w:kern w:val="0"/>
                <w:sz w:val="20"/>
                <w:szCs w:val="20"/>
              </w:rPr>
              <w:t>11</w:t>
            </w:r>
            <w:r w:rsidRPr="004D451D">
              <w:rPr>
                <w:rFonts w:eastAsia="標楷體" w:hint="eastAsia"/>
                <w:b/>
                <w:kern w:val="0"/>
                <w:sz w:val="20"/>
                <w:szCs w:val="20"/>
              </w:rPr>
              <w:t>項、第</w:t>
            </w:r>
            <w:r w:rsidRPr="004D451D">
              <w:rPr>
                <w:rFonts w:eastAsia="標楷體"/>
                <w:b/>
                <w:kern w:val="0"/>
                <w:sz w:val="20"/>
                <w:szCs w:val="20"/>
              </w:rPr>
              <w:t>16</w:t>
            </w:r>
            <w:r w:rsidRPr="004D451D">
              <w:rPr>
                <w:rFonts w:eastAsia="標楷體" w:hint="eastAsia"/>
                <w:b/>
                <w:kern w:val="0"/>
                <w:sz w:val="20"/>
                <w:szCs w:val="20"/>
              </w:rPr>
              <w:t>項和第</w:t>
            </w:r>
            <w:r w:rsidRPr="004D451D">
              <w:rPr>
                <w:rFonts w:eastAsia="標楷體"/>
                <w:b/>
                <w:kern w:val="0"/>
                <w:sz w:val="20"/>
                <w:szCs w:val="20"/>
              </w:rPr>
              <w:t>19</w:t>
            </w:r>
            <w:r w:rsidRPr="004D451D">
              <w:rPr>
                <w:rFonts w:eastAsia="標楷體" w:hint="eastAsia"/>
                <w:b/>
                <w:kern w:val="0"/>
                <w:sz w:val="20"/>
                <w:szCs w:val="20"/>
              </w:rPr>
              <w:t>項之加總</w:t>
            </w:r>
            <w:r w:rsidRPr="004D451D">
              <w:rPr>
                <w:rFonts w:eastAsia="標楷體"/>
                <w:b/>
                <w:kern w:val="0"/>
                <w:sz w:val="20"/>
                <w:szCs w:val="20"/>
              </w:rPr>
              <w:t>)</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293,336,042</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sz w:val="22"/>
                <w:szCs w:val="22"/>
              </w:rPr>
              <w:t>291,451,96</w:t>
            </w:r>
            <w:r w:rsidRPr="004D451D">
              <w:rPr>
                <w:rFonts w:ascii="Arial" w:eastAsia="標楷體" w:hAnsi="Arial" w:cs="Arial" w:hint="eastAsia"/>
                <w:sz w:val="22"/>
                <w:szCs w:val="22"/>
              </w:rPr>
              <w:t>2</w:t>
            </w:r>
          </w:p>
        </w:tc>
        <w:tc>
          <w:tcPr>
            <w:tcW w:w="1633" w:type="dxa"/>
            <w:vAlign w:val="center"/>
          </w:tcPr>
          <w:p w:rsidR="00C056B5" w:rsidRPr="004D451D" w:rsidRDefault="00C056B5" w:rsidP="00C056B5">
            <w:pPr>
              <w:jc w:val="right"/>
              <w:rPr>
                <w:rFonts w:ascii="Arial" w:eastAsia="標楷體" w:hAnsi="Arial" w:cs="Arial"/>
                <w:sz w:val="22"/>
                <w:szCs w:val="22"/>
              </w:rPr>
            </w:pPr>
            <w:r w:rsidRPr="004D451D">
              <w:rPr>
                <w:rFonts w:ascii="Arial" w:eastAsia="標楷體" w:hAnsi="Arial" w:cs="Arial" w:hint="eastAsia"/>
                <w:sz w:val="22"/>
                <w:szCs w:val="22"/>
              </w:rPr>
              <w:t xml:space="preserve"> 295,651,533 </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r w:rsidR="004D451D" w:rsidRPr="004D451D" w:rsidTr="00C056B5">
        <w:trPr>
          <w:trHeight w:val="403"/>
        </w:trPr>
        <w:tc>
          <w:tcPr>
            <w:tcW w:w="10774" w:type="dxa"/>
            <w:gridSpan w:val="6"/>
            <w:shd w:val="clear" w:color="auto" w:fill="D9D9D9"/>
            <w:vAlign w:val="center"/>
          </w:tcPr>
          <w:p w:rsidR="00C056B5" w:rsidRPr="004D451D" w:rsidRDefault="00C056B5" w:rsidP="009E68F1">
            <w:pPr>
              <w:widowControl/>
              <w:jc w:val="both"/>
              <w:rPr>
                <w:rFonts w:eastAsia="標楷體"/>
                <w:kern w:val="0"/>
                <w:sz w:val="20"/>
                <w:szCs w:val="20"/>
              </w:rPr>
            </w:pPr>
            <w:r w:rsidRPr="004D451D">
              <w:rPr>
                <w:rFonts w:eastAsia="標楷體" w:hint="eastAsia"/>
                <w:b/>
                <w:kern w:val="0"/>
              </w:rPr>
              <w:t>槓桿比率</w:t>
            </w:r>
          </w:p>
        </w:tc>
      </w:tr>
      <w:tr w:rsidR="004D451D" w:rsidRPr="004D451D" w:rsidTr="00C056B5">
        <w:trPr>
          <w:trHeight w:val="403"/>
        </w:trPr>
        <w:tc>
          <w:tcPr>
            <w:tcW w:w="570" w:type="dxa"/>
            <w:shd w:val="clear" w:color="auto" w:fill="FFFFFF"/>
            <w:vAlign w:val="center"/>
          </w:tcPr>
          <w:p w:rsidR="00C056B5" w:rsidRPr="004D451D" w:rsidRDefault="00C056B5" w:rsidP="009E68F1">
            <w:pPr>
              <w:widowControl/>
              <w:jc w:val="center"/>
              <w:rPr>
                <w:rFonts w:eastAsia="標楷體"/>
                <w:kern w:val="0"/>
                <w:sz w:val="20"/>
                <w:szCs w:val="20"/>
              </w:rPr>
            </w:pPr>
            <w:r w:rsidRPr="004D451D">
              <w:rPr>
                <w:rFonts w:eastAsia="標楷體"/>
                <w:kern w:val="0"/>
                <w:sz w:val="20"/>
                <w:szCs w:val="20"/>
              </w:rPr>
              <w:t>22</w:t>
            </w:r>
          </w:p>
        </w:tc>
        <w:tc>
          <w:tcPr>
            <w:tcW w:w="3648" w:type="dxa"/>
            <w:shd w:val="clear" w:color="auto" w:fill="FFFFFF"/>
            <w:vAlign w:val="center"/>
          </w:tcPr>
          <w:p w:rsidR="00C056B5" w:rsidRPr="004D451D" w:rsidRDefault="00C056B5" w:rsidP="009E68F1">
            <w:pPr>
              <w:widowControl/>
              <w:jc w:val="both"/>
              <w:rPr>
                <w:rFonts w:eastAsia="標楷體"/>
                <w:b/>
                <w:kern w:val="0"/>
                <w:sz w:val="20"/>
                <w:szCs w:val="20"/>
              </w:rPr>
            </w:pPr>
            <w:r w:rsidRPr="004D451D">
              <w:rPr>
                <w:rFonts w:eastAsia="標楷體" w:hint="eastAsia"/>
                <w:b/>
                <w:kern w:val="0"/>
                <w:sz w:val="20"/>
                <w:szCs w:val="20"/>
              </w:rPr>
              <w:t>槓桿比率</w:t>
            </w:r>
          </w:p>
        </w:tc>
        <w:tc>
          <w:tcPr>
            <w:tcW w:w="1633" w:type="dxa"/>
            <w:vAlign w:val="center"/>
          </w:tcPr>
          <w:p w:rsidR="00C056B5" w:rsidRPr="004D451D" w:rsidRDefault="00C056B5" w:rsidP="00F92F33">
            <w:pPr>
              <w:jc w:val="right"/>
              <w:rPr>
                <w:rFonts w:ascii="Arial" w:eastAsia="標楷體" w:hAnsi="Arial" w:cs="Arial"/>
                <w:sz w:val="22"/>
                <w:szCs w:val="22"/>
              </w:rPr>
            </w:pPr>
            <w:r w:rsidRPr="004D451D">
              <w:rPr>
                <w:rFonts w:ascii="Arial" w:eastAsia="標楷體" w:hAnsi="Arial" w:cs="Arial"/>
                <w:sz w:val="22"/>
                <w:szCs w:val="22"/>
              </w:rPr>
              <w:t>11.52%</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11.91%</w:t>
            </w:r>
          </w:p>
        </w:tc>
        <w:tc>
          <w:tcPr>
            <w:tcW w:w="1633" w:type="dxa"/>
            <w:vAlign w:val="center"/>
          </w:tcPr>
          <w:p w:rsidR="00C056B5" w:rsidRPr="004D451D" w:rsidRDefault="00C056B5" w:rsidP="00571EB9">
            <w:pPr>
              <w:jc w:val="right"/>
              <w:rPr>
                <w:rFonts w:ascii="Arial" w:eastAsia="標楷體" w:hAnsi="Arial" w:cs="Arial"/>
                <w:sz w:val="22"/>
                <w:szCs w:val="22"/>
              </w:rPr>
            </w:pPr>
            <w:r w:rsidRPr="004D451D">
              <w:rPr>
                <w:rFonts w:ascii="Arial" w:eastAsia="標楷體" w:hAnsi="Arial" w:cs="Arial"/>
                <w:sz w:val="22"/>
                <w:szCs w:val="22"/>
              </w:rPr>
              <w:t>11.62%</w:t>
            </w:r>
          </w:p>
        </w:tc>
        <w:tc>
          <w:tcPr>
            <w:tcW w:w="1657" w:type="dxa"/>
            <w:shd w:val="clear" w:color="auto" w:fill="7F7F7F" w:themeFill="text1" w:themeFillTint="80"/>
            <w:vAlign w:val="center"/>
          </w:tcPr>
          <w:p w:rsidR="00C056B5" w:rsidRPr="004D451D" w:rsidRDefault="00C056B5" w:rsidP="009E68F1">
            <w:pPr>
              <w:widowControl/>
              <w:jc w:val="both"/>
              <w:rPr>
                <w:rFonts w:eastAsia="標楷體"/>
                <w:kern w:val="0"/>
                <w:sz w:val="20"/>
                <w:szCs w:val="20"/>
              </w:rPr>
            </w:pPr>
          </w:p>
        </w:tc>
      </w:tr>
    </w:tbl>
    <w:p w:rsidR="00F4452D" w:rsidRPr="004D451D" w:rsidRDefault="00F4452D" w:rsidP="00F4452D">
      <w:pPr>
        <w:rPr>
          <w:rFonts w:ascii="標楷體" w:eastAsia="標楷體" w:hAnsi="標楷體"/>
          <w:b/>
          <w:bCs/>
        </w:rPr>
      </w:pPr>
    </w:p>
    <w:p w:rsidR="00F4452D" w:rsidRPr="004D451D" w:rsidRDefault="00F4452D" w:rsidP="00F4452D">
      <w:pPr>
        <w:spacing w:line="340" w:lineRule="exact"/>
        <w:ind w:left="1"/>
        <w:jc w:val="both"/>
        <w:rPr>
          <w:rFonts w:ascii="標楷體" w:eastAsia="標楷體" w:hAnsi="標楷體" w:cs="新細明體"/>
          <w:b/>
          <w:bCs/>
          <w:kern w:val="0"/>
        </w:rPr>
      </w:pPr>
      <w:r w:rsidRPr="004D451D">
        <w:rPr>
          <w:rFonts w:ascii="標楷體" w:eastAsia="標楷體" w:hAnsi="標楷體" w:cs="新細明體" w:hint="eastAsia"/>
          <w:b/>
          <w:bCs/>
          <w:kern w:val="0"/>
        </w:rPr>
        <w:t>填表說明：</w:t>
      </w:r>
    </w:p>
    <w:p w:rsidR="00F4452D" w:rsidRPr="004D451D" w:rsidRDefault="00393B8D" w:rsidP="00EF4134">
      <w:pPr>
        <w:numPr>
          <w:ilvl w:val="0"/>
          <w:numId w:val="83"/>
        </w:numPr>
        <w:spacing w:line="340" w:lineRule="exact"/>
        <w:ind w:leftChars="150" w:left="720" w:hangingChars="150"/>
        <w:jc w:val="both"/>
        <w:rPr>
          <w:rFonts w:eastAsia="標楷體"/>
        </w:rPr>
      </w:pPr>
      <w:r w:rsidRPr="004D451D">
        <w:rPr>
          <w:rFonts w:eastAsia="標楷體" w:hint="eastAsia"/>
        </w:rPr>
        <w:t>本表更新頻率：半年</w:t>
      </w:r>
      <w:r w:rsidR="002007E5" w:rsidRPr="004D451D">
        <w:rPr>
          <w:rFonts w:eastAsia="標楷體" w:hint="eastAsia"/>
        </w:rPr>
        <w:t>(</w:t>
      </w:r>
      <w:r w:rsidR="0096688B" w:rsidRPr="004D451D">
        <w:rPr>
          <w:rFonts w:eastAsia="標楷體" w:hint="eastAsia"/>
        </w:rPr>
        <w:t>每半年揭露</w:t>
      </w:r>
      <w:r w:rsidR="002007E5" w:rsidRPr="004D451D">
        <w:rPr>
          <w:rFonts w:eastAsia="標楷體" w:hint="eastAsia"/>
        </w:rPr>
        <w:t>近兩季資料，第一季與第三季資料得免經會計師複核</w:t>
      </w:r>
      <w:r w:rsidR="002007E5" w:rsidRPr="004D451D">
        <w:rPr>
          <w:rFonts w:eastAsia="標楷體" w:hint="eastAsia"/>
        </w:rPr>
        <w:t>)</w:t>
      </w:r>
      <w:r w:rsidR="00F4452D" w:rsidRPr="004D451D">
        <w:rPr>
          <w:rFonts w:eastAsia="標楷體" w:hint="eastAsia"/>
        </w:rPr>
        <w:t>。</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1</w:t>
      </w:r>
      <w:r w:rsidRPr="004D451D">
        <w:rPr>
          <w:rFonts w:eastAsia="標楷體" w:hint="eastAsia"/>
        </w:rPr>
        <w:t>項：資產負債表表內項目</w:t>
      </w:r>
      <w:r w:rsidRPr="004D451D">
        <w:rPr>
          <w:rFonts w:eastAsia="標楷體"/>
        </w:rPr>
        <w:t>=(</w:t>
      </w:r>
      <w:r w:rsidRPr="004D451D">
        <w:rPr>
          <w:rFonts w:eastAsia="標楷體" w:hint="eastAsia"/>
        </w:rPr>
        <w:t>銀行財務報表之總資產</w:t>
      </w:r>
      <w:r w:rsidRPr="004D451D">
        <w:rPr>
          <w:rFonts w:eastAsia="標楷體"/>
        </w:rPr>
        <w:t>)</w:t>
      </w:r>
      <w:r w:rsidRPr="004D451D">
        <w:rPr>
          <w:rFonts w:ascii="標楷體" w:eastAsia="標楷體" w:hAnsi="標楷體" w:hint="eastAsia"/>
        </w:rPr>
        <w:t>－</w:t>
      </w:r>
      <w:r w:rsidRPr="004D451D">
        <w:rPr>
          <w:rFonts w:eastAsia="標楷體"/>
        </w:rPr>
        <w:t>(</w:t>
      </w:r>
      <w:r w:rsidRPr="004D451D">
        <w:rPr>
          <w:rFonts w:eastAsia="標楷體" w:hint="eastAsia"/>
        </w:rPr>
        <w:t>衍生性金融商品於表內資產項目餘額</w:t>
      </w:r>
      <w:r w:rsidRPr="004D451D">
        <w:rPr>
          <w:rFonts w:eastAsia="標楷體"/>
        </w:rPr>
        <w:t>)</w:t>
      </w:r>
      <w:r w:rsidRPr="004D451D">
        <w:rPr>
          <w:rFonts w:ascii="標楷體" w:eastAsia="標楷體" w:hAnsi="標楷體" w:hint="eastAsia"/>
        </w:rPr>
        <w:t>－</w:t>
      </w:r>
      <w:r w:rsidRPr="004D451D">
        <w:rPr>
          <w:rFonts w:eastAsia="標楷體"/>
        </w:rPr>
        <w:t>(</w:t>
      </w:r>
      <w:r w:rsidRPr="004D451D">
        <w:rPr>
          <w:rFonts w:eastAsia="標楷體" w:hint="eastAsia"/>
        </w:rPr>
        <w:t>有價證券融資交易於表內資產項目餘額</w:t>
      </w:r>
      <w:r w:rsidRPr="004D451D">
        <w:rPr>
          <w:rFonts w:eastAsia="標楷體"/>
        </w:rPr>
        <w:t>)</w:t>
      </w:r>
      <w:r w:rsidRPr="004D451D">
        <w:rPr>
          <w:rFonts w:ascii="標楷體" w:eastAsia="標楷體" w:hAnsi="標楷體" w:hint="eastAsia"/>
        </w:rPr>
        <w:t>－</w:t>
      </w:r>
      <w:r w:rsidRPr="004D451D">
        <w:rPr>
          <w:rFonts w:eastAsia="標楷體"/>
        </w:rPr>
        <w:t>(</w:t>
      </w:r>
      <w:r w:rsidRPr="004D451D">
        <w:rPr>
          <w:rFonts w:eastAsia="標楷體" w:hint="eastAsia"/>
        </w:rPr>
        <w:t>其他調整</w:t>
      </w:r>
      <w:r w:rsidR="004E4F78" w:rsidRPr="004D451D">
        <w:rPr>
          <w:rFonts w:eastAsia="標楷體" w:hint="eastAsia"/>
        </w:rPr>
        <w:t>，如：表內資產項目分類為表外暴險者</w:t>
      </w:r>
      <w:r w:rsidRPr="004D451D">
        <w:rPr>
          <w:rFonts w:eastAsia="標楷體"/>
        </w:rPr>
        <w:t>)</w:t>
      </w:r>
      <w:r w:rsidRPr="004D451D">
        <w:rPr>
          <w:rFonts w:eastAsia="標楷體" w:hint="eastAsia"/>
        </w:rPr>
        <w:t>。</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00393B8D" w:rsidRPr="004D451D">
        <w:rPr>
          <w:rFonts w:eastAsia="標楷體" w:hint="eastAsia"/>
        </w:rPr>
        <w:t>2</w:t>
      </w:r>
      <w:r w:rsidRPr="004D451D">
        <w:rPr>
          <w:rFonts w:eastAsia="標楷體" w:hint="eastAsia"/>
        </w:rPr>
        <w:t>項應列示第一類資本扣除項金額，惟負債項目不得自暴險總額中扣除。</w:t>
      </w:r>
    </w:p>
    <w:p w:rsidR="00164173"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00393B8D" w:rsidRPr="004D451D">
        <w:rPr>
          <w:rFonts w:eastAsia="標楷體" w:hint="eastAsia"/>
        </w:rPr>
        <w:t>5</w:t>
      </w:r>
      <w:r w:rsidRPr="004D451D">
        <w:rPr>
          <w:rFonts w:eastAsia="標楷體" w:hint="eastAsia"/>
        </w:rPr>
        <w:t>項應列示衍生性金融商品之未來潛在暴險額，惟信用衍生性金融商品之信用保障提供人無須計算未來潛在暴險額。</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009B74FD" w:rsidRPr="004D451D">
        <w:rPr>
          <w:rFonts w:eastAsia="標楷體" w:hint="eastAsia"/>
        </w:rPr>
        <w:t>6</w:t>
      </w:r>
      <w:r w:rsidRPr="004D451D">
        <w:rPr>
          <w:rFonts w:eastAsia="標楷體" w:hint="eastAsia"/>
        </w:rPr>
        <w:t>、</w:t>
      </w:r>
      <w:r w:rsidRPr="004D451D">
        <w:rPr>
          <w:rFonts w:eastAsia="標楷體"/>
        </w:rPr>
        <w:t>15</w:t>
      </w:r>
      <w:r w:rsidRPr="004D451D">
        <w:rPr>
          <w:rFonts w:eastAsia="標楷體" w:hint="eastAsia"/>
        </w:rPr>
        <w:t>項本國不適用。</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9</w:t>
      </w:r>
      <w:r w:rsidRPr="004D451D">
        <w:rPr>
          <w:rFonts w:eastAsia="標楷體" w:hint="eastAsia"/>
        </w:rPr>
        <w:t>項係指信用保障提供人扣除公平價值負數調整後之有效名目本金。</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10</w:t>
      </w:r>
      <w:r w:rsidRPr="004D451D">
        <w:rPr>
          <w:rFonts w:eastAsia="標楷體" w:hint="eastAsia"/>
        </w:rPr>
        <w:t>項係指對於同一標的信用資產承買信用保障之抵減金額。</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2</w:t>
      </w:r>
      <w:r w:rsidRPr="004D451D">
        <w:rPr>
          <w:rFonts w:eastAsia="標楷體" w:hint="eastAsia"/>
        </w:rPr>
        <w:t>、</w:t>
      </w:r>
      <w:r w:rsidRPr="004D451D">
        <w:rPr>
          <w:rFonts w:eastAsia="標楷體"/>
        </w:rPr>
        <w:t>7</w:t>
      </w:r>
      <w:r w:rsidRPr="004D451D">
        <w:rPr>
          <w:rFonts w:eastAsia="標楷體" w:hint="eastAsia"/>
        </w:rPr>
        <w:t>、</w:t>
      </w:r>
      <w:r w:rsidRPr="004D451D">
        <w:rPr>
          <w:rFonts w:eastAsia="標楷體"/>
        </w:rPr>
        <w:t>10</w:t>
      </w:r>
      <w:r w:rsidRPr="004D451D">
        <w:rPr>
          <w:rFonts w:eastAsia="標楷體" w:hint="eastAsia"/>
        </w:rPr>
        <w:t>、</w:t>
      </w:r>
      <w:r w:rsidRPr="004D451D">
        <w:rPr>
          <w:rFonts w:eastAsia="標楷體"/>
        </w:rPr>
        <w:t>13</w:t>
      </w:r>
      <w:r w:rsidRPr="004D451D">
        <w:rPr>
          <w:rFonts w:eastAsia="標楷體" w:hint="eastAsia"/>
        </w:rPr>
        <w:t>、</w:t>
      </w:r>
      <w:r w:rsidRPr="004D451D">
        <w:rPr>
          <w:rFonts w:eastAsia="標楷體"/>
        </w:rPr>
        <w:t>18</w:t>
      </w:r>
      <w:r w:rsidRPr="004D451D">
        <w:rPr>
          <w:rFonts w:eastAsia="標楷體" w:hint="eastAsia"/>
        </w:rPr>
        <w:t>項為抵減項，應以負數表示。</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第</w:t>
      </w:r>
      <w:r w:rsidRPr="004D451D">
        <w:rPr>
          <w:rFonts w:eastAsia="標楷體"/>
        </w:rPr>
        <w:t>17</w:t>
      </w:r>
      <w:r w:rsidRPr="004D451D">
        <w:rPr>
          <w:rFonts w:eastAsia="標楷體" w:hint="eastAsia"/>
        </w:rPr>
        <w:t>項：資產負債表表外暴險毛額</w:t>
      </w:r>
      <w:r w:rsidRPr="004D451D">
        <w:rPr>
          <w:rFonts w:eastAsia="標楷體"/>
        </w:rPr>
        <w:t>=(</w:t>
      </w:r>
      <w:r w:rsidRPr="004D451D">
        <w:rPr>
          <w:rFonts w:eastAsia="標楷體" w:hint="eastAsia"/>
        </w:rPr>
        <w:t>資產負債表表外項目帳面總金額</w:t>
      </w:r>
      <w:r w:rsidRPr="004D451D">
        <w:rPr>
          <w:rFonts w:eastAsia="標楷體"/>
        </w:rPr>
        <w:t>)</w:t>
      </w:r>
      <w:r w:rsidRPr="004D451D">
        <w:rPr>
          <w:rFonts w:ascii="標楷體" w:eastAsia="標楷體" w:hAnsi="標楷體" w:hint="eastAsia"/>
        </w:rPr>
        <w:t>＋</w:t>
      </w:r>
      <w:r w:rsidRPr="004D451D">
        <w:rPr>
          <w:rFonts w:eastAsia="標楷體"/>
        </w:rPr>
        <w:t>(</w:t>
      </w:r>
      <w:r w:rsidRPr="004D451D">
        <w:rPr>
          <w:rFonts w:eastAsia="標楷體" w:hint="eastAsia"/>
        </w:rPr>
        <w:t>其他調整，</w:t>
      </w:r>
      <w:r w:rsidR="004E4F78" w:rsidRPr="004D451D">
        <w:rPr>
          <w:rFonts w:eastAsia="標楷體" w:hint="eastAsia"/>
        </w:rPr>
        <w:t>如：表內資產項目分類為表外暴險者</w:t>
      </w:r>
      <w:r w:rsidRPr="004D451D">
        <w:rPr>
          <w:rFonts w:eastAsia="標楷體"/>
        </w:rPr>
        <w:t>)</w:t>
      </w:r>
      <w:r w:rsidRPr="004D451D">
        <w:rPr>
          <w:rFonts w:eastAsia="標楷體" w:hint="eastAsia"/>
        </w:rPr>
        <w:t>。</w:t>
      </w:r>
    </w:p>
    <w:p w:rsidR="00F4452D" w:rsidRPr="004D451D" w:rsidRDefault="00F4452D" w:rsidP="00EF4134">
      <w:pPr>
        <w:numPr>
          <w:ilvl w:val="0"/>
          <w:numId w:val="83"/>
        </w:numPr>
        <w:spacing w:line="340" w:lineRule="exact"/>
        <w:ind w:leftChars="150" w:left="720" w:hangingChars="150"/>
        <w:jc w:val="both"/>
        <w:rPr>
          <w:rFonts w:eastAsia="標楷體"/>
        </w:rPr>
      </w:pPr>
      <w:r w:rsidRPr="004D451D">
        <w:rPr>
          <w:rFonts w:eastAsia="標楷體" w:hint="eastAsia"/>
        </w:rPr>
        <w:t>填表時應先計算第</w:t>
      </w:r>
      <w:r w:rsidRPr="004D451D">
        <w:rPr>
          <w:rFonts w:eastAsia="標楷體"/>
        </w:rPr>
        <w:t>19</w:t>
      </w:r>
      <w:r w:rsidRPr="004D451D">
        <w:rPr>
          <w:rFonts w:eastAsia="標楷體" w:hint="eastAsia"/>
        </w:rPr>
        <w:t>項：表外項目信用相當額；第</w:t>
      </w:r>
      <w:r w:rsidRPr="004D451D">
        <w:rPr>
          <w:rFonts w:eastAsia="標楷體"/>
        </w:rPr>
        <w:t>18</w:t>
      </w:r>
      <w:r w:rsidRPr="004D451D">
        <w:rPr>
          <w:rFonts w:eastAsia="標楷體" w:hint="eastAsia"/>
        </w:rPr>
        <w:t>項：轉換為信用相當額之調整數</w:t>
      </w:r>
      <w:r w:rsidRPr="004D451D">
        <w:rPr>
          <w:rFonts w:eastAsia="標楷體"/>
        </w:rPr>
        <w:t>=</w:t>
      </w:r>
      <w:r w:rsidRPr="004D451D">
        <w:rPr>
          <w:rFonts w:eastAsia="標楷體" w:hint="eastAsia"/>
        </w:rPr>
        <w:t>第</w:t>
      </w:r>
      <w:r w:rsidRPr="004D451D">
        <w:rPr>
          <w:rFonts w:eastAsia="標楷體"/>
        </w:rPr>
        <w:t>17</w:t>
      </w:r>
      <w:r w:rsidRPr="004D451D">
        <w:rPr>
          <w:rFonts w:eastAsia="標楷體" w:hint="eastAsia"/>
        </w:rPr>
        <w:t>項</w:t>
      </w:r>
      <w:r w:rsidRPr="004D451D">
        <w:rPr>
          <w:rFonts w:ascii="標楷體" w:eastAsia="標楷體" w:hAnsi="標楷體" w:hint="eastAsia"/>
        </w:rPr>
        <w:t>－</w:t>
      </w:r>
      <w:r w:rsidRPr="004D451D">
        <w:rPr>
          <w:rFonts w:eastAsia="標楷體" w:hint="eastAsia"/>
        </w:rPr>
        <w:t>第</w:t>
      </w:r>
      <w:r w:rsidRPr="004D451D">
        <w:rPr>
          <w:rFonts w:eastAsia="標楷體"/>
        </w:rPr>
        <w:t>19</w:t>
      </w:r>
      <w:r w:rsidRPr="004D451D">
        <w:rPr>
          <w:rFonts w:eastAsia="標楷體" w:hint="eastAsia"/>
        </w:rPr>
        <w:t>項。</w:t>
      </w:r>
    </w:p>
    <w:p w:rsidR="00393B8D" w:rsidRPr="004D451D" w:rsidRDefault="00393B8D" w:rsidP="00393B8D">
      <w:pPr>
        <w:spacing w:line="340" w:lineRule="exact"/>
        <w:jc w:val="both"/>
        <w:rPr>
          <w:rFonts w:eastAsia="標楷體"/>
        </w:rPr>
      </w:pPr>
    </w:p>
    <w:p w:rsidR="00393B8D" w:rsidRPr="004D451D" w:rsidRDefault="00393B8D" w:rsidP="00393B8D">
      <w:pPr>
        <w:spacing w:line="340" w:lineRule="exact"/>
        <w:jc w:val="both"/>
        <w:rPr>
          <w:rFonts w:eastAsia="標楷體"/>
          <w:b/>
        </w:rPr>
      </w:pPr>
      <w:r w:rsidRPr="004D451D">
        <w:rPr>
          <w:rFonts w:eastAsia="標楷體" w:hint="eastAsia"/>
          <w:b/>
        </w:rPr>
        <w:t>跨表檢核：</w:t>
      </w:r>
    </w:p>
    <w:p w:rsidR="00393B8D" w:rsidRPr="004D451D" w:rsidRDefault="00393B8D" w:rsidP="009F53B0">
      <w:pPr>
        <w:pStyle w:val="affb"/>
        <w:numPr>
          <w:ilvl w:val="0"/>
          <w:numId w:val="99"/>
        </w:numPr>
        <w:spacing w:line="340" w:lineRule="exact"/>
        <w:ind w:leftChars="150" w:left="720" w:hangingChars="150"/>
        <w:jc w:val="both"/>
        <w:rPr>
          <w:rFonts w:eastAsia="標楷體"/>
        </w:rPr>
      </w:pPr>
      <w:r w:rsidRPr="004D451D">
        <w:rPr>
          <w:rFonts w:eastAsia="標楷體" w:hint="eastAsia"/>
        </w:rPr>
        <w:t>【附表六之一】</w:t>
      </w:r>
      <w:r w:rsidRPr="004D451D">
        <w:rPr>
          <w:rFonts w:eastAsia="標楷體" w:hint="eastAsia"/>
        </w:rPr>
        <w:t>20A=</w:t>
      </w:r>
      <w:r w:rsidRPr="004D451D">
        <w:rPr>
          <w:rFonts w:eastAsia="標楷體" w:hint="eastAsia"/>
        </w:rPr>
        <w:t>【附表八】</w:t>
      </w:r>
      <w:r w:rsidRPr="004D451D">
        <w:rPr>
          <w:rFonts w:eastAsia="標楷體" w:hint="eastAsia"/>
        </w:rPr>
        <w:t>2A</w:t>
      </w:r>
    </w:p>
    <w:p w:rsidR="00393B8D" w:rsidRPr="004D451D" w:rsidRDefault="00393B8D" w:rsidP="009F53B0">
      <w:pPr>
        <w:pStyle w:val="affb"/>
        <w:numPr>
          <w:ilvl w:val="0"/>
          <w:numId w:val="99"/>
        </w:numPr>
        <w:spacing w:line="340" w:lineRule="exact"/>
        <w:ind w:leftChars="150" w:left="720" w:hangingChars="150"/>
        <w:jc w:val="both"/>
        <w:rPr>
          <w:rFonts w:eastAsia="標楷體"/>
        </w:rPr>
      </w:pPr>
      <w:r w:rsidRPr="004D451D">
        <w:rPr>
          <w:rFonts w:eastAsia="標楷體" w:hint="eastAsia"/>
        </w:rPr>
        <w:t>【附表六之一】</w:t>
      </w:r>
      <w:r w:rsidRPr="004D451D">
        <w:rPr>
          <w:rFonts w:eastAsia="標楷體" w:hint="eastAsia"/>
        </w:rPr>
        <w:t>21A=</w:t>
      </w:r>
      <w:r w:rsidRPr="004D451D">
        <w:rPr>
          <w:rFonts w:eastAsia="標楷體" w:hint="eastAsia"/>
        </w:rPr>
        <w:t>【附表八】</w:t>
      </w:r>
      <w:r w:rsidRPr="004D451D">
        <w:rPr>
          <w:rFonts w:eastAsia="標楷體" w:hint="eastAsia"/>
        </w:rPr>
        <w:t>13A</w:t>
      </w:r>
    </w:p>
    <w:p w:rsidR="00393B8D" w:rsidRPr="004D451D" w:rsidRDefault="00393B8D" w:rsidP="009F53B0">
      <w:pPr>
        <w:pStyle w:val="affb"/>
        <w:numPr>
          <w:ilvl w:val="0"/>
          <w:numId w:val="99"/>
        </w:numPr>
        <w:spacing w:line="340" w:lineRule="exact"/>
        <w:ind w:leftChars="150" w:left="720" w:hangingChars="150"/>
        <w:jc w:val="both"/>
        <w:rPr>
          <w:rFonts w:eastAsia="標楷體"/>
        </w:rPr>
      </w:pPr>
      <w:r w:rsidRPr="004D451D">
        <w:rPr>
          <w:rFonts w:eastAsia="標楷體" w:hint="eastAsia"/>
        </w:rPr>
        <w:t>【附表六之一】</w:t>
      </w:r>
      <w:r w:rsidRPr="004D451D">
        <w:rPr>
          <w:rFonts w:eastAsia="標楷體" w:hint="eastAsia"/>
        </w:rPr>
        <w:t>22A=</w:t>
      </w:r>
      <w:r w:rsidRPr="004D451D">
        <w:rPr>
          <w:rFonts w:eastAsia="標楷體" w:hint="eastAsia"/>
        </w:rPr>
        <w:t>【附表八】</w:t>
      </w:r>
      <w:r w:rsidRPr="004D451D">
        <w:rPr>
          <w:rFonts w:eastAsia="標楷體" w:hint="eastAsia"/>
        </w:rPr>
        <w:t>14A</w:t>
      </w:r>
    </w:p>
    <w:p w:rsidR="00393B8D" w:rsidRPr="004D451D" w:rsidRDefault="00393B8D" w:rsidP="00393B8D">
      <w:pPr>
        <w:spacing w:line="340" w:lineRule="exact"/>
        <w:jc w:val="both"/>
        <w:rPr>
          <w:rFonts w:eastAsia="標楷體"/>
        </w:rPr>
      </w:pPr>
    </w:p>
    <w:p w:rsidR="00E03BBD" w:rsidRPr="004D451D" w:rsidRDefault="00134C04" w:rsidP="00894834">
      <w:pPr>
        <w:rPr>
          <w:rFonts w:eastAsia="標楷體"/>
          <w:sz w:val="32"/>
          <w:szCs w:val="32"/>
          <w:u w:val="single"/>
        </w:rPr>
      </w:pPr>
      <w:r w:rsidRPr="004D451D">
        <w:rPr>
          <w:rFonts w:ascii="標楷體" w:eastAsia="標楷體" w:hAnsi="標楷體" w:cs="Arial"/>
          <w:kern w:val="0"/>
          <w:sz w:val="32"/>
          <w:szCs w:val="32"/>
        </w:rPr>
        <w:br w:type="page"/>
      </w:r>
      <w:r w:rsidR="00E03BBD" w:rsidRPr="004D451D">
        <w:rPr>
          <w:rFonts w:eastAsia="標楷體"/>
          <w:b/>
          <w:sz w:val="32"/>
          <w:szCs w:val="32"/>
        </w:rPr>
        <w:lastRenderedPageBreak/>
        <w:t>【附表七】</w:t>
      </w:r>
    </w:p>
    <w:p w:rsidR="00E03BBD" w:rsidRPr="004D451D" w:rsidRDefault="00E03BBD" w:rsidP="004F6663">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b/>
          <w:szCs w:val="32"/>
        </w:rPr>
        <w:t>風險管理概況</w:t>
      </w:r>
    </w:p>
    <w:p w:rsidR="00E03BBD" w:rsidRPr="004D451D" w:rsidRDefault="00571EB9" w:rsidP="00F7707E">
      <w:pPr>
        <w:pStyle w:val="ad"/>
        <w:spacing w:before="120" w:after="120" w:line="240" w:lineRule="auto"/>
        <w:ind w:right="-54"/>
        <w:jc w:val="center"/>
        <w:rPr>
          <w:rFonts w:ascii="Times New Roman" w:hAnsi="Times New Roman"/>
          <w:szCs w:val="32"/>
        </w:rPr>
      </w:pPr>
      <w:r w:rsidRPr="004D451D">
        <w:rPr>
          <w:rFonts w:ascii="Times New Roman" w:hAnsi="Times New Roman" w:hint="eastAsia"/>
          <w:szCs w:val="32"/>
        </w:rPr>
        <w:t>10</w:t>
      </w:r>
      <w:r w:rsidR="00C056B5" w:rsidRPr="004D451D">
        <w:rPr>
          <w:rFonts w:ascii="Times New Roman" w:hAnsi="Times New Roman" w:hint="eastAsia"/>
          <w:szCs w:val="32"/>
        </w:rPr>
        <w:t>7</w:t>
      </w:r>
      <w:r w:rsidR="00E03BBD" w:rsidRPr="004D451D">
        <w:rPr>
          <w:rFonts w:ascii="Times New Roman" w:hAnsi="Times New Roman"/>
          <w:szCs w:val="32"/>
        </w:rPr>
        <w:t>年</w:t>
      </w:r>
      <w:r w:rsidR="00FE09DB" w:rsidRPr="004D451D">
        <w:rPr>
          <w:rFonts w:ascii="Times New Roman" w:hAnsi="Times New Roman" w:hint="eastAsia"/>
          <w:szCs w:val="32"/>
        </w:rPr>
        <w:t>06</w:t>
      </w:r>
      <w:r w:rsidR="00FE09DB" w:rsidRPr="004D451D">
        <w:rPr>
          <w:rFonts w:ascii="Times New Roman" w:hAnsi="Times New Roman" w:hint="eastAsia"/>
          <w:szCs w:val="32"/>
        </w:rPr>
        <w:t>月</w:t>
      </w:r>
      <w:r w:rsidR="00FE09DB" w:rsidRPr="004D451D">
        <w:rPr>
          <w:rFonts w:ascii="Times New Roman" w:hAnsi="Times New Roman" w:hint="eastAsia"/>
          <w:szCs w:val="32"/>
        </w:rPr>
        <w:t>30</w:t>
      </w:r>
      <w:r w:rsidR="00FE09DB" w:rsidRPr="004D451D">
        <w:rPr>
          <w:rFonts w:ascii="Times New Roman" w:hAnsi="Times New Roman" w:hint="eastAsia"/>
          <w:szCs w:val="32"/>
        </w:rPr>
        <w:t>日</w:t>
      </w:r>
    </w:p>
    <w:tbl>
      <w:tblPr>
        <w:tblW w:w="10632" w:type="dxa"/>
        <w:tblInd w:w="-681" w:type="dxa"/>
        <w:tblCellMar>
          <w:left w:w="28" w:type="dxa"/>
          <w:right w:w="28" w:type="dxa"/>
        </w:tblCellMar>
        <w:tblLook w:val="0000" w:firstRow="0" w:lastRow="0" w:firstColumn="0" w:lastColumn="0" w:noHBand="0" w:noVBand="0"/>
      </w:tblPr>
      <w:tblGrid>
        <w:gridCol w:w="567"/>
        <w:gridCol w:w="3544"/>
        <w:gridCol w:w="6521"/>
      </w:tblGrid>
      <w:tr w:rsidR="004D451D" w:rsidRPr="004D451D" w:rsidTr="00E86C69">
        <w:trPr>
          <w:trHeight w:val="624"/>
        </w:trPr>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F6807" w:rsidRPr="004D451D" w:rsidRDefault="000F6807" w:rsidP="00947327">
            <w:pPr>
              <w:widowControl/>
              <w:jc w:val="center"/>
              <w:rPr>
                <w:rFonts w:eastAsia="標楷體"/>
                <w:kern w:val="0"/>
              </w:rPr>
            </w:pPr>
            <w:r w:rsidRPr="004D451D">
              <w:rPr>
                <w:rFonts w:eastAsia="標楷體"/>
                <w:kern w:val="0"/>
              </w:rPr>
              <w:t>項目</w:t>
            </w:r>
          </w:p>
        </w:tc>
        <w:tc>
          <w:tcPr>
            <w:tcW w:w="6521" w:type="dxa"/>
            <w:tcBorders>
              <w:top w:val="single" w:sz="4" w:space="0" w:color="auto"/>
              <w:left w:val="nil"/>
              <w:bottom w:val="single" w:sz="4" w:space="0" w:color="auto"/>
              <w:right w:val="single" w:sz="4" w:space="0" w:color="auto"/>
            </w:tcBorders>
            <w:noWrap/>
            <w:vAlign w:val="center"/>
          </w:tcPr>
          <w:p w:rsidR="000F6807" w:rsidRPr="004D451D" w:rsidRDefault="000F6807" w:rsidP="00947327">
            <w:pPr>
              <w:widowControl/>
              <w:jc w:val="center"/>
              <w:rPr>
                <w:rFonts w:eastAsia="標楷體"/>
                <w:kern w:val="0"/>
              </w:rPr>
            </w:pPr>
            <w:r w:rsidRPr="004D451D">
              <w:rPr>
                <w:rFonts w:eastAsia="標楷體"/>
                <w:kern w:val="0"/>
              </w:rPr>
              <w:t>內容</w:t>
            </w:r>
          </w:p>
        </w:tc>
      </w:tr>
      <w:tr w:rsidR="004D451D" w:rsidRPr="004D451D" w:rsidTr="00E86C69">
        <w:trPr>
          <w:trHeight w:val="1195"/>
        </w:trPr>
        <w:tc>
          <w:tcPr>
            <w:tcW w:w="567" w:type="dxa"/>
            <w:tcBorders>
              <w:top w:val="nil"/>
              <w:left w:val="single" w:sz="4" w:space="0" w:color="auto"/>
              <w:bottom w:val="single" w:sz="4" w:space="0" w:color="auto"/>
              <w:right w:val="single" w:sz="4" w:space="0" w:color="auto"/>
            </w:tcBorders>
            <w:noWrap/>
            <w:vAlign w:val="center"/>
          </w:tcPr>
          <w:p w:rsidR="00E86C69" w:rsidRPr="004D451D" w:rsidRDefault="00E86C69" w:rsidP="00947327">
            <w:pPr>
              <w:widowControl/>
              <w:jc w:val="center"/>
              <w:rPr>
                <w:rFonts w:eastAsia="標楷體"/>
                <w:kern w:val="0"/>
              </w:rPr>
            </w:pPr>
            <w:r w:rsidRPr="004D451D">
              <w:rPr>
                <w:rFonts w:eastAsia="標楷體"/>
                <w:kern w:val="0"/>
              </w:rPr>
              <w:t>1</w:t>
            </w:r>
          </w:p>
        </w:tc>
        <w:tc>
          <w:tcPr>
            <w:tcW w:w="3544" w:type="dxa"/>
            <w:tcBorders>
              <w:top w:val="single" w:sz="4" w:space="0" w:color="auto"/>
              <w:left w:val="nil"/>
              <w:bottom w:val="single" w:sz="4" w:space="0" w:color="auto"/>
              <w:right w:val="single" w:sz="4" w:space="0" w:color="000000"/>
            </w:tcBorders>
            <w:vAlign w:val="center"/>
          </w:tcPr>
          <w:p w:rsidR="00E86C69" w:rsidRPr="004D451D" w:rsidRDefault="00E86C69" w:rsidP="00947327">
            <w:pPr>
              <w:widowControl/>
              <w:rPr>
                <w:rFonts w:eastAsia="標楷體"/>
                <w:kern w:val="0"/>
              </w:rPr>
            </w:pPr>
            <w:r w:rsidRPr="004D451D">
              <w:rPr>
                <w:rFonts w:eastAsia="標楷體"/>
                <w:kern w:val="0"/>
              </w:rPr>
              <w:t>現行業務策略下所面臨的主要風險，以及風險概況與董事會核准之風險容忍度間的相互關係</w:t>
            </w:r>
          </w:p>
        </w:tc>
        <w:tc>
          <w:tcPr>
            <w:tcW w:w="6521" w:type="dxa"/>
            <w:tcBorders>
              <w:top w:val="single" w:sz="4" w:space="0" w:color="auto"/>
              <w:left w:val="nil"/>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本行於進行各項營業活動，面對任何不確定性事件，所有可能對本行造成不利之影響，包括信用風險、市場風險、作業風險、流動性風險、法律風險…等其他風險。透過本行內部資本適足性評估程序，了解本行風險承擔能力</w:t>
            </w:r>
            <w:r w:rsidRPr="004D451D">
              <w:rPr>
                <w:rFonts w:eastAsia="標楷體" w:hint="eastAsia"/>
                <w:kern w:val="0"/>
              </w:rPr>
              <w:t>(</w:t>
            </w:r>
            <w:r w:rsidRPr="004D451D">
              <w:rPr>
                <w:rFonts w:eastAsia="標楷體" w:hint="eastAsia"/>
                <w:kern w:val="0"/>
              </w:rPr>
              <w:t>資本與風險概況</w:t>
            </w:r>
            <w:r w:rsidRPr="004D451D">
              <w:rPr>
                <w:rFonts w:eastAsia="標楷體" w:hint="eastAsia"/>
                <w:kern w:val="0"/>
              </w:rPr>
              <w:t xml:space="preserve">) </w:t>
            </w:r>
            <w:r w:rsidRPr="004D451D">
              <w:rPr>
                <w:rFonts w:eastAsia="標楷體" w:hint="eastAsia"/>
                <w:kern w:val="0"/>
              </w:rPr>
              <w:t>，審慎訂定資本適足率下限，確立風險容忍度。風險管理委員會監督檢視本行風險管理流程及風險對策之妥適性，彙整及評估整體組織風險，定期審核風險控管報告並轉呈董事會核議。若發現重大暴險，危及財務、或業務狀況、或法令遵循者，立即召開會議，採取適當有效的措施，並向董事會報告。</w:t>
            </w:r>
          </w:p>
        </w:tc>
      </w:tr>
      <w:tr w:rsidR="004D451D" w:rsidRPr="004D451D" w:rsidTr="00E86C69">
        <w:trPr>
          <w:trHeight w:val="778"/>
        </w:trPr>
        <w:tc>
          <w:tcPr>
            <w:tcW w:w="567" w:type="dxa"/>
            <w:tcBorders>
              <w:top w:val="nil"/>
              <w:left w:val="single" w:sz="4" w:space="0" w:color="auto"/>
              <w:bottom w:val="single" w:sz="4" w:space="0" w:color="auto"/>
              <w:right w:val="single" w:sz="4" w:space="0" w:color="auto"/>
            </w:tcBorders>
            <w:noWrap/>
            <w:vAlign w:val="center"/>
          </w:tcPr>
          <w:p w:rsidR="00E86C69" w:rsidRPr="004D451D" w:rsidRDefault="00E86C69" w:rsidP="00947327">
            <w:pPr>
              <w:widowControl/>
              <w:jc w:val="center"/>
              <w:rPr>
                <w:rFonts w:eastAsia="標楷體"/>
                <w:kern w:val="0"/>
              </w:rPr>
            </w:pPr>
            <w:r w:rsidRPr="004D451D">
              <w:rPr>
                <w:rFonts w:eastAsia="標楷體"/>
                <w:kern w:val="0"/>
              </w:rPr>
              <w:t>2</w:t>
            </w:r>
          </w:p>
        </w:tc>
        <w:tc>
          <w:tcPr>
            <w:tcW w:w="3544" w:type="dxa"/>
            <w:tcBorders>
              <w:top w:val="single" w:sz="4" w:space="0" w:color="auto"/>
              <w:left w:val="nil"/>
              <w:bottom w:val="single" w:sz="4" w:space="0" w:color="auto"/>
              <w:right w:val="single" w:sz="4" w:space="0" w:color="000000"/>
            </w:tcBorders>
            <w:noWrap/>
            <w:vAlign w:val="center"/>
          </w:tcPr>
          <w:p w:rsidR="00E86C69" w:rsidRPr="004D451D" w:rsidRDefault="00E86C69" w:rsidP="00947327">
            <w:pPr>
              <w:widowControl/>
              <w:rPr>
                <w:rFonts w:eastAsia="標楷體"/>
                <w:kern w:val="0"/>
              </w:rPr>
            </w:pPr>
            <w:r w:rsidRPr="004D451D">
              <w:rPr>
                <w:rFonts w:eastAsia="標楷體"/>
                <w:kern w:val="0"/>
              </w:rPr>
              <w:t>風險治理架構</w:t>
            </w:r>
          </w:p>
        </w:tc>
        <w:tc>
          <w:tcPr>
            <w:tcW w:w="6521" w:type="dxa"/>
            <w:tcBorders>
              <w:top w:val="single" w:sz="4" w:space="0" w:color="auto"/>
              <w:left w:val="nil"/>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本行係由「風險管理委員會」統籌全行之信用風險、市場風險、作業風險、資金流動性風險…及其他風險管理事項。其組織功能訂於「風險管理委員會設置辦法」中。委員會之執行推動單位為「風險管理部」，由風險管理部部門主管擔任委員會執行秘書，「風險管理部」為本行風險管理規劃及管理單位，獨立監控管理全行風險，主管由董事會同意後任命之。</w:t>
            </w:r>
          </w:p>
          <w:p w:rsidR="00E86C69" w:rsidRPr="004D451D" w:rsidRDefault="00E86C69" w:rsidP="006D5AEA">
            <w:pPr>
              <w:widowControl/>
              <w:spacing w:line="280" w:lineRule="exact"/>
              <w:rPr>
                <w:rFonts w:eastAsia="標楷體"/>
                <w:kern w:val="0"/>
              </w:rPr>
            </w:pPr>
            <w:r w:rsidRPr="004D451D">
              <w:rPr>
                <w:rFonts w:eastAsia="標楷體" w:hint="eastAsia"/>
                <w:kern w:val="0"/>
              </w:rPr>
              <w:t>本行風險管理組織執掌如下：</w:t>
            </w:r>
          </w:p>
          <w:p w:rsidR="00E86C69" w:rsidRPr="004D451D" w:rsidRDefault="00E86C69" w:rsidP="009F53B0">
            <w:pPr>
              <w:widowControl/>
              <w:numPr>
                <w:ilvl w:val="0"/>
                <w:numId w:val="121"/>
              </w:numPr>
              <w:spacing w:line="280" w:lineRule="exact"/>
              <w:ind w:left="482" w:hangingChars="201" w:hanging="482"/>
              <w:rPr>
                <w:rFonts w:eastAsia="標楷體"/>
                <w:kern w:val="0"/>
              </w:rPr>
            </w:pPr>
            <w:r w:rsidRPr="004D451D">
              <w:rPr>
                <w:rFonts w:eastAsia="標楷體" w:hint="eastAsia"/>
                <w:kern w:val="0"/>
              </w:rPr>
              <w:t>風險管理委員會</w:t>
            </w:r>
          </w:p>
          <w:p w:rsidR="00E86C69" w:rsidRPr="004D451D" w:rsidRDefault="00E86C69" w:rsidP="009F53B0">
            <w:pPr>
              <w:widowControl/>
              <w:numPr>
                <w:ilvl w:val="0"/>
                <w:numId w:val="122"/>
              </w:numPr>
              <w:spacing w:line="280" w:lineRule="exact"/>
              <w:rPr>
                <w:rFonts w:eastAsia="標楷體"/>
                <w:kern w:val="0"/>
              </w:rPr>
            </w:pPr>
            <w:r w:rsidRPr="004D451D">
              <w:rPr>
                <w:rFonts w:eastAsia="標楷體" w:hint="eastAsia"/>
                <w:kern w:val="0"/>
              </w:rPr>
              <w:t>根據本辦法，審核本行各類風險管理政策或準則之訂定及增修事項。並視各業務單位執行績效，於定期或臨時會議中調整各業務單位風險資源及權限。</w:t>
            </w:r>
          </w:p>
          <w:p w:rsidR="00E86C69" w:rsidRPr="004D451D" w:rsidRDefault="00E86C69" w:rsidP="009F53B0">
            <w:pPr>
              <w:widowControl/>
              <w:numPr>
                <w:ilvl w:val="0"/>
                <w:numId w:val="122"/>
              </w:numPr>
              <w:spacing w:line="280" w:lineRule="exact"/>
              <w:rPr>
                <w:rFonts w:eastAsia="標楷體"/>
                <w:kern w:val="0"/>
              </w:rPr>
            </w:pPr>
            <w:r w:rsidRPr="004D451D">
              <w:rPr>
                <w:rFonts w:eastAsia="標楷體" w:hint="eastAsia"/>
                <w:kern w:val="0"/>
              </w:rPr>
              <w:t>監督檢視本行風險管理流程及風險對策之妥適性，彙整及評估整體組織風險，定期審核風險控管報告並轉呈董事會核議。</w:t>
            </w:r>
          </w:p>
          <w:p w:rsidR="00E86C69" w:rsidRPr="004D451D" w:rsidRDefault="00E86C69" w:rsidP="009F53B0">
            <w:pPr>
              <w:widowControl/>
              <w:numPr>
                <w:ilvl w:val="0"/>
                <w:numId w:val="122"/>
              </w:numPr>
              <w:spacing w:line="280" w:lineRule="exact"/>
              <w:rPr>
                <w:rFonts w:eastAsia="標楷體"/>
                <w:kern w:val="0"/>
              </w:rPr>
            </w:pPr>
            <w:r w:rsidRPr="004D451D">
              <w:rPr>
                <w:rFonts w:eastAsia="標楷體" w:hint="eastAsia"/>
                <w:kern w:val="0"/>
              </w:rPr>
              <w:t>發現重大暴險，危及財務、或業務狀況、或法令遵循者，應立即召開會議，採取適當有效的措施，並向董事會報告。</w:t>
            </w:r>
          </w:p>
          <w:p w:rsidR="00E86C69" w:rsidRPr="004D451D" w:rsidRDefault="00E86C69" w:rsidP="009F53B0">
            <w:pPr>
              <w:widowControl/>
              <w:numPr>
                <w:ilvl w:val="0"/>
                <w:numId w:val="121"/>
              </w:numPr>
              <w:spacing w:line="280" w:lineRule="exact"/>
              <w:ind w:left="482" w:hangingChars="201" w:hanging="482"/>
              <w:rPr>
                <w:rFonts w:eastAsia="標楷體"/>
                <w:kern w:val="0"/>
              </w:rPr>
            </w:pPr>
            <w:r w:rsidRPr="004D451D">
              <w:rPr>
                <w:rFonts w:eastAsia="標楷體" w:hint="eastAsia"/>
                <w:kern w:val="0"/>
              </w:rPr>
              <w:t>風險管理部</w:t>
            </w:r>
          </w:p>
          <w:p w:rsidR="00E86C69" w:rsidRPr="004D451D" w:rsidRDefault="00E86C69" w:rsidP="009F53B0">
            <w:pPr>
              <w:widowControl/>
              <w:numPr>
                <w:ilvl w:val="0"/>
                <w:numId w:val="123"/>
              </w:numPr>
              <w:spacing w:line="280" w:lineRule="exact"/>
              <w:rPr>
                <w:rFonts w:eastAsia="標楷體"/>
                <w:kern w:val="0"/>
              </w:rPr>
            </w:pPr>
            <w:r w:rsidRPr="004D451D">
              <w:rPr>
                <w:rFonts w:eastAsia="標楷體" w:hint="eastAsia"/>
                <w:kern w:val="0"/>
              </w:rPr>
              <w:t>依據本行業務規模，與信用、市場、作業…等不同的風險分別擬定管理政策或準則，呈報委員會審核頒訂。</w:t>
            </w:r>
          </w:p>
          <w:p w:rsidR="00E86C69" w:rsidRPr="004D451D" w:rsidRDefault="00E86C69" w:rsidP="009F53B0">
            <w:pPr>
              <w:widowControl/>
              <w:numPr>
                <w:ilvl w:val="0"/>
                <w:numId w:val="123"/>
              </w:numPr>
              <w:spacing w:line="280" w:lineRule="exact"/>
              <w:rPr>
                <w:rFonts w:eastAsia="標楷體"/>
                <w:kern w:val="0"/>
              </w:rPr>
            </w:pPr>
            <w:r w:rsidRPr="004D451D">
              <w:rPr>
                <w:rFonts w:eastAsia="標楷體" w:hint="eastAsia"/>
                <w:kern w:val="0"/>
              </w:rPr>
              <w:t>根據委員會所核定各個業務單位風險權限，透過資訊體系控管機制，負責獨立監控各個業務單位限額。前開控制機制，須視本行資訊體系現況，由資訊室配合建立。</w:t>
            </w:r>
          </w:p>
          <w:p w:rsidR="00E86C69" w:rsidRPr="004D451D" w:rsidRDefault="00E86C69" w:rsidP="009F53B0">
            <w:pPr>
              <w:widowControl/>
              <w:numPr>
                <w:ilvl w:val="0"/>
                <w:numId w:val="123"/>
              </w:numPr>
              <w:spacing w:line="280" w:lineRule="exact"/>
              <w:rPr>
                <w:rFonts w:eastAsia="標楷體"/>
                <w:kern w:val="0"/>
              </w:rPr>
            </w:pPr>
            <w:r w:rsidRPr="004D451D">
              <w:rPr>
                <w:rFonts w:eastAsia="標楷體" w:hint="eastAsia"/>
                <w:kern w:val="0"/>
              </w:rPr>
              <w:t>每季向委員會提出風險控管報告，並轉呈董事會。</w:t>
            </w:r>
          </w:p>
          <w:p w:rsidR="00E86C69" w:rsidRPr="004D451D" w:rsidRDefault="00E86C69" w:rsidP="009F53B0">
            <w:pPr>
              <w:widowControl/>
              <w:numPr>
                <w:ilvl w:val="0"/>
                <w:numId w:val="123"/>
              </w:numPr>
              <w:spacing w:line="280" w:lineRule="exact"/>
              <w:rPr>
                <w:rFonts w:eastAsia="標楷體"/>
                <w:kern w:val="0"/>
              </w:rPr>
            </w:pPr>
            <w:r w:rsidRPr="004D451D">
              <w:rPr>
                <w:rFonts w:eastAsia="標楷體" w:hint="eastAsia"/>
                <w:kern w:val="0"/>
              </w:rPr>
              <w:t>負責計算與監控資本適足性，並依據各風險管理準則</w:t>
            </w:r>
            <w:r w:rsidRPr="004D451D">
              <w:rPr>
                <w:rFonts w:eastAsia="標楷體" w:hint="eastAsia"/>
                <w:kern w:val="0"/>
              </w:rPr>
              <w:t>(</w:t>
            </w:r>
            <w:r w:rsidRPr="004D451D">
              <w:rPr>
                <w:rFonts w:eastAsia="標楷體" w:hint="eastAsia"/>
                <w:kern w:val="0"/>
              </w:rPr>
              <w:t>辦法另訂</w:t>
            </w:r>
            <w:r w:rsidRPr="004D451D">
              <w:rPr>
                <w:rFonts w:eastAsia="標楷體" w:hint="eastAsia"/>
                <w:kern w:val="0"/>
              </w:rPr>
              <w:t>)</w:t>
            </w:r>
            <w:r w:rsidRPr="004D451D">
              <w:rPr>
                <w:rFonts w:eastAsia="標楷體" w:hint="eastAsia"/>
                <w:kern w:val="0"/>
              </w:rPr>
              <w:t>，綜理全行風險管理及申報主管機關等相關事宜，召開風險管理委員會並訂定規程，控管各項投資部位、交易額度，辦理全行資金調度、有價證券買賣等交易之清算交割事宜。</w:t>
            </w:r>
          </w:p>
          <w:p w:rsidR="00E86C69" w:rsidRPr="004D451D" w:rsidRDefault="00E86C69" w:rsidP="009F53B0">
            <w:pPr>
              <w:widowControl/>
              <w:numPr>
                <w:ilvl w:val="0"/>
                <w:numId w:val="123"/>
              </w:numPr>
              <w:spacing w:line="280" w:lineRule="exact"/>
              <w:rPr>
                <w:rFonts w:eastAsia="標楷體"/>
                <w:kern w:val="0"/>
              </w:rPr>
            </w:pPr>
            <w:r w:rsidRPr="004D451D">
              <w:rPr>
                <w:rFonts w:eastAsia="標楷體" w:hint="eastAsia"/>
                <w:kern w:val="0"/>
              </w:rPr>
              <w:t>發現重大暴險，危及財務、或業務狀況、或法令遵循者，應立即採取適當有效的措施，並向委員會報告。</w:t>
            </w:r>
          </w:p>
          <w:p w:rsidR="00E86C69" w:rsidRPr="004D451D" w:rsidRDefault="00E86C69" w:rsidP="009F53B0">
            <w:pPr>
              <w:widowControl/>
              <w:numPr>
                <w:ilvl w:val="0"/>
                <w:numId w:val="123"/>
              </w:numPr>
              <w:spacing w:line="280" w:lineRule="exact"/>
              <w:rPr>
                <w:rFonts w:eastAsia="標楷體"/>
                <w:kern w:val="0"/>
              </w:rPr>
            </w:pPr>
            <w:r w:rsidRPr="004D451D">
              <w:rPr>
                <w:rFonts w:eastAsia="標楷體" w:hint="eastAsia"/>
                <w:kern w:val="0"/>
              </w:rPr>
              <w:t>一般平常性事務與規範，如監控業務情形、風險管理規範等…得逕依業務性質與分層負責，逐級呈報總經理、副董事長、董事長核定。</w:t>
            </w:r>
          </w:p>
        </w:tc>
      </w:tr>
      <w:tr w:rsidR="004D451D" w:rsidRPr="004D451D" w:rsidTr="00E86C69">
        <w:trPr>
          <w:trHeight w:val="730"/>
        </w:trPr>
        <w:tc>
          <w:tcPr>
            <w:tcW w:w="567" w:type="dxa"/>
            <w:tcBorders>
              <w:top w:val="nil"/>
              <w:left w:val="single" w:sz="4" w:space="0" w:color="auto"/>
              <w:bottom w:val="single" w:sz="4" w:space="0" w:color="auto"/>
              <w:right w:val="single" w:sz="4" w:space="0" w:color="auto"/>
            </w:tcBorders>
            <w:noWrap/>
            <w:vAlign w:val="center"/>
          </w:tcPr>
          <w:p w:rsidR="00E86C69" w:rsidRPr="004D451D" w:rsidRDefault="00E86C69" w:rsidP="00947327">
            <w:pPr>
              <w:widowControl/>
              <w:jc w:val="center"/>
              <w:rPr>
                <w:rFonts w:eastAsia="標楷體"/>
                <w:kern w:val="0"/>
              </w:rPr>
            </w:pPr>
            <w:r w:rsidRPr="004D451D">
              <w:rPr>
                <w:rFonts w:eastAsia="標楷體"/>
                <w:kern w:val="0"/>
              </w:rPr>
              <w:t>3</w:t>
            </w:r>
          </w:p>
        </w:tc>
        <w:tc>
          <w:tcPr>
            <w:tcW w:w="3544" w:type="dxa"/>
            <w:tcBorders>
              <w:top w:val="single" w:sz="4" w:space="0" w:color="auto"/>
              <w:left w:val="nil"/>
              <w:bottom w:val="single" w:sz="4" w:space="0" w:color="auto"/>
              <w:right w:val="single" w:sz="4" w:space="0" w:color="000000"/>
            </w:tcBorders>
            <w:noWrap/>
            <w:vAlign w:val="center"/>
          </w:tcPr>
          <w:p w:rsidR="00E86C69" w:rsidRPr="004D451D" w:rsidRDefault="00E86C69" w:rsidP="00947327">
            <w:pPr>
              <w:widowControl/>
              <w:rPr>
                <w:rFonts w:eastAsia="標楷體"/>
                <w:kern w:val="0"/>
              </w:rPr>
            </w:pPr>
            <w:r w:rsidRPr="004D451D">
              <w:rPr>
                <w:rFonts w:eastAsia="標楷體"/>
                <w:kern w:val="0"/>
              </w:rPr>
              <w:t>銀行風險文化其傳達、執行之管道</w:t>
            </w:r>
          </w:p>
        </w:tc>
        <w:tc>
          <w:tcPr>
            <w:tcW w:w="6521" w:type="dxa"/>
            <w:tcBorders>
              <w:top w:val="single" w:sz="4" w:space="0" w:color="auto"/>
              <w:left w:val="nil"/>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本行風險管理目標：建立全行注重風險管理內涵及遵循風險管理機制之組織文化，即時有效的辨識、衡量、監控及揭露全行所承受之風險，防止風險集中，並控制全行風險在「風險承受</w:t>
            </w:r>
            <w:r w:rsidRPr="004D451D">
              <w:rPr>
                <w:rFonts w:eastAsia="標楷體" w:hint="eastAsia"/>
                <w:kern w:val="0"/>
              </w:rPr>
              <w:lastRenderedPageBreak/>
              <w:t>度」範圍內，確保自有資本足以緩衝業務之暴險，促使風險訂價合理，即所承擔風險與報酬應相稱。</w:t>
            </w:r>
          </w:p>
          <w:p w:rsidR="00E86C69" w:rsidRPr="004D451D" w:rsidRDefault="00E86C69" w:rsidP="009F53B0">
            <w:pPr>
              <w:widowControl/>
              <w:numPr>
                <w:ilvl w:val="1"/>
                <w:numId w:val="124"/>
              </w:numPr>
              <w:spacing w:line="280" w:lineRule="exact"/>
              <w:ind w:left="482" w:hangingChars="201" w:hanging="482"/>
              <w:rPr>
                <w:rFonts w:eastAsia="標楷體"/>
                <w:kern w:val="0"/>
              </w:rPr>
            </w:pPr>
            <w:r w:rsidRPr="004D451D">
              <w:rPr>
                <w:rFonts w:eastAsia="標楷體" w:hint="eastAsia"/>
                <w:kern w:val="0"/>
              </w:rPr>
              <w:t>本行設立專責獨立之風險管理部，轄下設置「管理科」及「市場風險科」以利業務維運，現行配置專人負責信用風險、作業風險、市場風險、國家風險、利率風險及其他各種風險，本行風險管理人員不定期參與金研院、銀行公會…等舉辦之風險管理相關課程，內部亦不定期進行金融、風管…相關主題之研討，以提升自我專業。</w:t>
            </w:r>
          </w:p>
          <w:p w:rsidR="00E86C69" w:rsidRPr="004D451D" w:rsidRDefault="00E86C69" w:rsidP="009F53B0">
            <w:pPr>
              <w:widowControl/>
              <w:numPr>
                <w:ilvl w:val="1"/>
                <w:numId w:val="124"/>
              </w:numPr>
              <w:spacing w:line="280" w:lineRule="exact"/>
              <w:ind w:left="482" w:hangingChars="201" w:hanging="482"/>
              <w:rPr>
                <w:rFonts w:eastAsia="標楷體"/>
                <w:kern w:val="0"/>
              </w:rPr>
            </w:pPr>
            <w:r w:rsidRPr="004D451D">
              <w:rPr>
                <w:rFonts w:eastAsia="標楷體" w:hint="eastAsia"/>
                <w:kern w:val="0"/>
              </w:rPr>
              <w:t>風險管理部定期編製「風險控管報告」，對於檢核期間發生達預警標準或超限情事及重大暴險事件等各項風險資訊，完整揭露說明以充分傳達風險衡量、監督與控制等資訊。該項報告並經法令遵循部及稽核室核閱報告內容後轉呈董事會，俾利協助經營管理階層及決策者有效監督本行已承受風險現況以決定風險管理策略。</w:t>
            </w:r>
          </w:p>
          <w:p w:rsidR="00E86C69" w:rsidRPr="004D451D" w:rsidRDefault="00E86C69" w:rsidP="009F53B0">
            <w:pPr>
              <w:widowControl/>
              <w:numPr>
                <w:ilvl w:val="1"/>
                <w:numId w:val="124"/>
              </w:numPr>
              <w:spacing w:line="280" w:lineRule="exact"/>
              <w:ind w:left="482" w:hangingChars="201" w:hanging="482"/>
              <w:rPr>
                <w:rFonts w:eastAsia="標楷體"/>
                <w:kern w:val="0"/>
              </w:rPr>
            </w:pPr>
            <w:r w:rsidRPr="004D451D">
              <w:rPr>
                <w:rFonts w:eastAsia="標楷體" w:hint="eastAsia"/>
                <w:kern w:val="0"/>
              </w:rPr>
              <w:t>依據本行「風險控管自評制度」，各業管單位推出新種業務及流程前，均須填報新種業務風險控管評估表，詳述各項風險預估及發生機率，風險管理部據此與業管單位商議合宜之風險對策措施；另各業管單位重要業務規範增修訂及運作情形亦納入集中控管，風險管理部視運作情形，適時提供建議。</w:t>
            </w:r>
          </w:p>
          <w:p w:rsidR="00E86C69" w:rsidRPr="004D451D" w:rsidRDefault="00E86C69" w:rsidP="009F53B0">
            <w:pPr>
              <w:widowControl/>
              <w:numPr>
                <w:ilvl w:val="1"/>
                <w:numId w:val="124"/>
              </w:numPr>
              <w:spacing w:line="280" w:lineRule="exact"/>
              <w:ind w:left="482" w:hangingChars="201" w:hanging="482"/>
              <w:rPr>
                <w:rFonts w:eastAsia="標楷體"/>
                <w:kern w:val="0"/>
              </w:rPr>
            </w:pPr>
            <w:r w:rsidRPr="004D451D">
              <w:rPr>
                <w:rFonts w:eastAsia="標楷體" w:hint="eastAsia"/>
                <w:kern w:val="0"/>
              </w:rPr>
              <w:t>本行現行風險管理資訊系統，尚符合業務風險程度與複雜性，惟為強化風險控管機制，本行風險管理部與資訊室目前進行整合全行風險資料庫專案，期以建置更嚴謹有效之風險管控指標。</w:t>
            </w:r>
          </w:p>
          <w:p w:rsidR="00E86C69" w:rsidRPr="004D451D" w:rsidRDefault="00E86C69" w:rsidP="006D5AEA">
            <w:pPr>
              <w:widowControl/>
              <w:spacing w:line="280" w:lineRule="exact"/>
              <w:rPr>
                <w:rFonts w:eastAsia="標楷體"/>
                <w:kern w:val="0"/>
              </w:rPr>
            </w:pPr>
            <w:r w:rsidRPr="004D451D">
              <w:rPr>
                <w:rFonts w:ascii="標楷體" w:eastAsia="標楷體" w:hAnsi="標楷體" w:hint="eastAsia"/>
                <w:kern w:val="0"/>
              </w:rPr>
              <w:t>由上而下制訂各項風險策略，將該策略貫徹於各項業務(包含授信與投資等)之准駁與執行，並經由各項風險監控與各種風險資訊(法規、產業、金融等)，透過各項業務報告與風險報告，向上反應予決策者</w:t>
            </w:r>
            <w:r w:rsidRPr="004D451D">
              <w:rPr>
                <w:rFonts w:ascii="標楷體" w:eastAsia="標楷體" w:hAnsi="標楷體" w:cs="Arial" w:hint="eastAsia"/>
                <w:kern w:val="0"/>
              </w:rPr>
              <w:t>，以制定良善之風險策略</w:t>
            </w:r>
            <w:r w:rsidRPr="004D451D">
              <w:rPr>
                <w:rFonts w:ascii="標楷體" w:eastAsia="標楷體" w:hAnsi="標楷體" w:hint="eastAsia"/>
                <w:kern w:val="0"/>
              </w:rPr>
              <w:t>，達到風險充分溝通。並且透過稽核與法遵制度確保風險溝通之有效性。</w:t>
            </w:r>
          </w:p>
        </w:tc>
      </w:tr>
      <w:tr w:rsidR="004D451D" w:rsidRPr="004D451D" w:rsidTr="00E86C69">
        <w:trPr>
          <w:trHeight w:val="800"/>
        </w:trPr>
        <w:tc>
          <w:tcPr>
            <w:tcW w:w="567" w:type="dxa"/>
            <w:tcBorders>
              <w:top w:val="single" w:sz="4" w:space="0" w:color="auto"/>
              <w:left w:val="single" w:sz="4" w:space="0" w:color="auto"/>
              <w:bottom w:val="single" w:sz="4" w:space="0" w:color="auto"/>
              <w:right w:val="single" w:sz="4" w:space="0" w:color="auto"/>
            </w:tcBorders>
            <w:noWrap/>
            <w:vAlign w:val="center"/>
          </w:tcPr>
          <w:p w:rsidR="00E86C69" w:rsidRPr="004D451D" w:rsidRDefault="00E86C69" w:rsidP="004C20F6">
            <w:pPr>
              <w:widowControl/>
              <w:jc w:val="center"/>
              <w:rPr>
                <w:rFonts w:eastAsia="標楷體"/>
                <w:kern w:val="0"/>
              </w:rPr>
            </w:pPr>
            <w:r w:rsidRPr="004D451D">
              <w:rPr>
                <w:rFonts w:eastAsia="標楷體"/>
                <w:kern w:val="0"/>
              </w:rPr>
              <w:lastRenderedPageBreak/>
              <w:t>4</w:t>
            </w:r>
          </w:p>
        </w:tc>
        <w:tc>
          <w:tcPr>
            <w:tcW w:w="3544" w:type="dxa"/>
            <w:tcBorders>
              <w:top w:val="single" w:sz="4" w:space="0" w:color="auto"/>
              <w:left w:val="single" w:sz="4" w:space="0" w:color="auto"/>
              <w:bottom w:val="single" w:sz="4" w:space="0" w:color="auto"/>
              <w:right w:val="single" w:sz="4" w:space="0" w:color="auto"/>
            </w:tcBorders>
            <w:vAlign w:val="center"/>
          </w:tcPr>
          <w:p w:rsidR="00E86C69" w:rsidRPr="004D451D" w:rsidRDefault="00E86C69" w:rsidP="004C20F6">
            <w:pPr>
              <w:widowControl/>
              <w:rPr>
                <w:rFonts w:eastAsia="標楷體"/>
                <w:kern w:val="0"/>
              </w:rPr>
            </w:pPr>
            <w:r w:rsidRPr="004D451D">
              <w:rPr>
                <w:rFonts w:eastAsia="標楷體"/>
                <w:kern w:val="0"/>
              </w:rPr>
              <w:t>風險衡量系統之範圍與主要特點</w:t>
            </w:r>
          </w:p>
        </w:tc>
        <w:tc>
          <w:tcPr>
            <w:tcW w:w="6521" w:type="dxa"/>
            <w:tcBorders>
              <w:top w:val="single" w:sz="4" w:space="0" w:color="auto"/>
              <w:left w:val="single" w:sz="4" w:space="0" w:color="auto"/>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本行依據巴塞爾資本協定三</w:t>
            </w:r>
            <w:r w:rsidRPr="004D451D">
              <w:rPr>
                <w:rFonts w:eastAsia="標楷體" w:hint="eastAsia"/>
                <w:kern w:val="0"/>
              </w:rPr>
              <w:t>(Basel III)</w:t>
            </w:r>
            <w:r w:rsidRPr="004D451D">
              <w:rPr>
                <w:rFonts w:eastAsia="標楷體" w:hint="eastAsia"/>
                <w:kern w:val="0"/>
              </w:rPr>
              <w:t>與金管會「銀行自有資本與風險性資產計算方法」規定，由風險管理部依據信用、市場與作業風險，以系統與客觀的方式訂定可量化或質化標準，衡量風險程度及暴險情形。建立風險衡量指標，衡量及分析不同之風險類型、產品或服務之風險暴險程度，並計提所需的自有資本額，核算自有資本與風險性資產比率，從而作為管理決策、績效評估與資本管理之依據。</w:t>
            </w:r>
          </w:p>
        </w:tc>
      </w:tr>
      <w:tr w:rsidR="004D451D" w:rsidRPr="004D451D" w:rsidTr="00E86C69">
        <w:trPr>
          <w:trHeight w:val="1137"/>
        </w:trPr>
        <w:tc>
          <w:tcPr>
            <w:tcW w:w="567" w:type="dxa"/>
            <w:tcBorders>
              <w:top w:val="single" w:sz="4" w:space="0" w:color="auto"/>
              <w:left w:val="single" w:sz="4" w:space="0" w:color="auto"/>
              <w:bottom w:val="single" w:sz="4" w:space="0" w:color="auto"/>
              <w:right w:val="single" w:sz="4" w:space="0" w:color="auto"/>
            </w:tcBorders>
            <w:noWrap/>
            <w:vAlign w:val="center"/>
          </w:tcPr>
          <w:p w:rsidR="00E86C69" w:rsidRPr="004D451D" w:rsidRDefault="00E86C69" w:rsidP="00947327">
            <w:pPr>
              <w:widowControl/>
              <w:jc w:val="center"/>
              <w:rPr>
                <w:rFonts w:eastAsia="標楷體"/>
                <w:kern w:val="0"/>
              </w:rPr>
            </w:pPr>
            <w:r w:rsidRPr="004D451D">
              <w:rPr>
                <w:rFonts w:eastAsia="標楷體"/>
                <w:kern w:val="0"/>
              </w:rPr>
              <w:t>5</w:t>
            </w:r>
          </w:p>
        </w:tc>
        <w:tc>
          <w:tcPr>
            <w:tcW w:w="3544" w:type="dxa"/>
            <w:tcBorders>
              <w:top w:val="single" w:sz="4" w:space="0" w:color="auto"/>
              <w:left w:val="single" w:sz="4" w:space="0" w:color="auto"/>
              <w:bottom w:val="single" w:sz="4" w:space="0" w:color="auto"/>
              <w:right w:val="single" w:sz="4" w:space="0" w:color="auto"/>
            </w:tcBorders>
            <w:vAlign w:val="center"/>
          </w:tcPr>
          <w:p w:rsidR="00E86C69" w:rsidRPr="004D451D" w:rsidRDefault="00E86C69" w:rsidP="00947327">
            <w:pPr>
              <w:widowControl/>
              <w:rPr>
                <w:rFonts w:eastAsia="標楷體"/>
                <w:kern w:val="0"/>
              </w:rPr>
            </w:pPr>
            <w:r w:rsidRPr="004D451D">
              <w:rPr>
                <w:rFonts w:eastAsia="標楷體"/>
                <w:kern w:val="0"/>
              </w:rPr>
              <w:t>風險報告</w:t>
            </w:r>
            <w:r w:rsidRPr="004D451D">
              <w:rPr>
                <w:rFonts w:eastAsia="標楷體"/>
                <w:kern w:val="0"/>
              </w:rPr>
              <w:t>(</w:t>
            </w:r>
            <w:r w:rsidRPr="004D451D">
              <w:rPr>
                <w:rFonts w:eastAsia="標楷體"/>
                <w:kern w:val="0"/>
              </w:rPr>
              <w:t>特別是對風險暴險之範圍及主要內容</w:t>
            </w:r>
            <w:r w:rsidRPr="004D451D">
              <w:rPr>
                <w:rFonts w:eastAsia="標楷體"/>
                <w:kern w:val="0"/>
              </w:rPr>
              <w:t>)</w:t>
            </w:r>
            <w:r w:rsidRPr="004D451D">
              <w:rPr>
                <w:rFonts w:eastAsia="標楷體"/>
                <w:kern w:val="0"/>
              </w:rPr>
              <w:t>提供予董事會及高階管理階層之流程</w:t>
            </w:r>
          </w:p>
        </w:tc>
        <w:tc>
          <w:tcPr>
            <w:tcW w:w="6521" w:type="dxa"/>
            <w:tcBorders>
              <w:top w:val="single" w:sz="4" w:space="0" w:color="auto"/>
              <w:left w:val="single" w:sz="4" w:space="0" w:color="auto"/>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風險管理部定期編製「風險控管報告」，對於檢核期間發生達預警標準或超限情事及重大暴險事件等各項風險資訊，完整揭露說明以充分傳達風險衡量、監督與控制等資訊。「風險控管報告」將提呈風險管理委員會先行審閱，經風險相關部門、法令遵循部及稽核室核閱報告內容後轉呈董事會，俾利協助經營管理階層及決策者有效監督本行已承受風險現況以決定風險管理策略。</w:t>
            </w:r>
          </w:p>
        </w:tc>
      </w:tr>
      <w:tr w:rsidR="004D451D" w:rsidRPr="004D451D" w:rsidTr="00E86C69">
        <w:trPr>
          <w:trHeight w:val="1129"/>
        </w:trPr>
        <w:tc>
          <w:tcPr>
            <w:tcW w:w="567" w:type="dxa"/>
            <w:tcBorders>
              <w:top w:val="nil"/>
              <w:left w:val="single" w:sz="4" w:space="0" w:color="auto"/>
              <w:bottom w:val="single" w:sz="4" w:space="0" w:color="auto"/>
              <w:right w:val="single" w:sz="4" w:space="0" w:color="auto"/>
            </w:tcBorders>
            <w:noWrap/>
            <w:vAlign w:val="center"/>
          </w:tcPr>
          <w:p w:rsidR="00E86C69" w:rsidRPr="004D451D" w:rsidRDefault="00E86C69" w:rsidP="00947327">
            <w:pPr>
              <w:widowControl/>
              <w:jc w:val="center"/>
              <w:rPr>
                <w:rFonts w:eastAsia="標楷體"/>
                <w:kern w:val="0"/>
              </w:rPr>
            </w:pPr>
            <w:r w:rsidRPr="004D451D">
              <w:rPr>
                <w:rFonts w:eastAsia="標楷體"/>
                <w:kern w:val="0"/>
              </w:rPr>
              <w:t>6</w:t>
            </w:r>
          </w:p>
        </w:tc>
        <w:tc>
          <w:tcPr>
            <w:tcW w:w="3544" w:type="dxa"/>
            <w:tcBorders>
              <w:top w:val="single" w:sz="4" w:space="0" w:color="auto"/>
              <w:left w:val="nil"/>
              <w:bottom w:val="single" w:sz="4" w:space="0" w:color="auto"/>
              <w:right w:val="single" w:sz="4" w:space="0" w:color="000000"/>
            </w:tcBorders>
            <w:vAlign w:val="center"/>
          </w:tcPr>
          <w:p w:rsidR="00E86C69" w:rsidRPr="004D451D" w:rsidRDefault="00E86C69" w:rsidP="00AF60E0">
            <w:pPr>
              <w:widowControl/>
              <w:rPr>
                <w:rFonts w:eastAsia="標楷體"/>
                <w:kern w:val="0"/>
              </w:rPr>
            </w:pPr>
            <w:r w:rsidRPr="004D451D">
              <w:rPr>
                <w:rFonts w:eastAsia="標楷體"/>
              </w:rPr>
              <w:t>壓力測試執行方式</w:t>
            </w:r>
            <w:r w:rsidRPr="004D451D">
              <w:rPr>
                <w:rFonts w:eastAsia="標楷體"/>
              </w:rPr>
              <w:t>(</w:t>
            </w:r>
            <w:r w:rsidRPr="004D451D">
              <w:rPr>
                <w:rFonts w:eastAsia="標楷體"/>
              </w:rPr>
              <w:t>如：壓測範圍、情境選定與方法論</w:t>
            </w:r>
            <w:r w:rsidRPr="004D451D">
              <w:rPr>
                <w:rFonts w:eastAsia="標楷體"/>
              </w:rPr>
              <w:t>)</w:t>
            </w:r>
            <w:r w:rsidRPr="004D451D">
              <w:rPr>
                <w:rFonts w:eastAsia="標楷體"/>
              </w:rPr>
              <w:t>與管理應用之說明</w:t>
            </w:r>
          </w:p>
        </w:tc>
        <w:tc>
          <w:tcPr>
            <w:tcW w:w="6521" w:type="dxa"/>
            <w:tcBorders>
              <w:top w:val="single" w:sz="4" w:space="0" w:color="auto"/>
              <w:left w:val="nil"/>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本行定期依第二支柱「遵循監理審查原則」完成歷史情境、模擬情境及</w:t>
            </w:r>
            <w:r w:rsidRPr="004D451D">
              <w:rPr>
                <w:rFonts w:eastAsia="標楷體" w:hint="eastAsia"/>
                <w:kern w:val="0"/>
              </w:rPr>
              <w:t>921</w:t>
            </w:r>
            <w:r w:rsidRPr="004D451D">
              <w:rPr>
                <w:rFonts w:eastAsia="標楷體" w:hint="eastAsia"/>
                <w:kern w:val="0"/>
              </w:rPr>
              <w:t>大地震情境等壓力測試</w:t>
            </w:r>
            <w:r w:rsidRPr="004D451D">
              <w:rPr>
                <w:rFonts w:eastAsia="標楷體" w:hint="eastAsia"/>
                <w:kern w:val="0"/>
              </w:rPr>
              <w:t>(</w:t>
            </w:r>
            <w:r w:rsidRPr="004D451D">
              <w:rPr>
                <w:rFonts w:eastAsia="標楷體" w:hint="eastAsia"/>
                <w:kern w:val="0"/>
              </w:rPr>
              <w:t>參考聯徵中心提供之</w:t>
            </w:r>
            <w:r w:rsidRPr="004D451D">
              <w:rPr>
                <w:rFonts w:eastAsia="標楷體" w:hint="eastAsia"/>
                <w:kern w:val="0"/>
              </w:rPr>
              <w:t>PD</w:t>
            </w:r>
            <w:r w:rsidRPr="004D451D">
              <w:rPr>
                <w:rFonts w:eastAsia="標楷體" w:hint="eastAsia"/>
                <w:kern w:val="0"/>
              </w:rPr>
              <w:t>、</w:t>
            </w:r>
            <w:r w:rsidRPr="004D451D">
              <w:rPr>
                <w:rFonts w:eastAsia="標楷體" w:hint="eastAsia"/>
                <w:kern w:val="0"/>
              </w:rPr>
              <w:t>LGD</w:t>
            </w:r>
            <w:r w:rsidRPr="004D451D">
              <w:rPr>
                <w:rFonts w:eastAsia="標楷體" w:hint="eastAsia"/>
                <w:kern w:val="0"/>
              </w:rPr>
              <w:t>等資料</w:t>
            </w:r>
            <w:r w:rsidRPr="004D451D">
              <w:rPr>
                <w:rFonts w:eastAsia="標楷體" w:hint="eastAsia"/>
                <w:kern w:val="0"/>
              </w:rPr>
              <w:t>)</w:t>
            </w:r>
            <w:r w:rsidRPr="004D451D">
              <w:rPr>
                <w:rFonts w:eastAsia="標楷體" w:hint="eastAsia"/>
                <w:kern w:val="0"/>
              </w:rPr>
              <w:t>，另每半年依照銀行局規定之「銀行辦理壓力測試作業規劃」進行壓力測試，測試結果編製於風控報告，呈報風險管理委員會並提報董事會，以供參酌壓力測試結果調整本行授信政策或授信限額。當壓力測試下，資本適足率達各該年度最低法定比率之</w:t>
            </w:r>
            <w:r w:rsidRPr="004D451D">
              <w:rPr>
                <w:rFonts w:eastAsia="標楷體" w:hint="eastAsia"/>
                <w:kern w:val="0"/>
              </w:rPr>
              <w:t>1.1</w:t>
            </w:r>
            <w:r w:rsidRPr="004D451D">
              <w:rPr>
                <w:rFonts w:eastAsia="標楷體" w:hint="eastAsia"/>
                <w:kern w:val="0"/>
              </w:rPr>
              <w:t>倍預警值，將於風險管理委員會討論資產負債配置及授信政策、授信限額之調整，以降低風險性資產，提高資本適足率。</w:t>
            </w:r>
          </w:p>
        </w:tc>
      </w:tr>
      <w:tr w:rsidR="004D451D" w:rsidRPr="004D451D" w:rsidTr="00E86C69">
        <w:trPr>
          <w:trHeight w:val="1400"/>
        </w:trPr>
        <w:tc>
          <w:tcPr>
            <w:tcW w:w="567" w:type="dxa"/>
            <w:tcBorders>
              <w:top w:val="nil"/>
              <w:left w:val="single" w:sz="4" w:space="0" w:color="auto"/>
              <w:bottom w:val="single" w:sz="4" w:space="0" w:color="auto"/>
              <w:right w:val="single" w:sz="4" w:space="0" w:color="auto"/>
            </w:tcBorders>
            <w:noWrap/>
            <w:vAlign w:val="center"/>
          </w:tcPr>
          <w:p w:rsidR="00E86C69" w:rsidRPr="004D451D" w:rsidRDefault="00E86C69" w:rsidP="00947327">
            <w:pPr>
              <w:widowControl/>
              <w:jc w:val="center"/>
              <w:rPr>
                <w:rFonts w:eastAsia="標楷體"/>
                <w:kern w:val="0"/>
              </w:rPr>
            </w:pPr>
            <w:r w:rsidRPr="004D451D">
              <w:rPr>
                <w:rFonts w:eastAsia="標楷體"/>
                <w:kern w:val="0"/>
              </w:rPr>
              <w:lastRenderedPageBreak/>
              <w:t>7</w:t>
            </w:r>
          </w:p>
        </w:tc>
        <w:tc>
          <w:tcPr>
            <w:tcW w:w="3544" w:type="dxa"/>
            <w:tcBorders>
              <w:top w:val="single" w:sz="4" w:space="0" w:color="auto"/>
              <w:left w:val="nil"/>
              <w:bottom w:val="single" w:sz="4" w:space="0" w:color="auto"/>
              <w:right w:val="single" w:sz="4" w:space="0" w:color="000000"/>
            </w:tcBorders>
            <w:vAlign w:val="center"/>
          </w:tcPr>
          <w:p w:rsidR="00E86C69" w:rsidRPr="004D451D" w:rsidRDefault="00E86C69" w:rsidP="00AF60E0">
            <w:pPr>
              <w:widowControl/>
              <w:rPr>
                <w:rFonts w:eastAsia="標楷體"/>
                <w:kern w:val="0"/>
              </w:rPr>
            </w:pPr>
            <w:r w:rsidRPr="004D451D">
              <w:rPr>
                <w:rFonts w:eastAsia="標楷體"/>
              </w:rPr>
              <w:t>因應銀行經營模式下而產生之管理、規避與抵減風險的策略與程序，及為監控風險規避與抵減持續有效性的程序</w:t>
            </w:r>
          </w:p>
        </w:tc>
        <w:tc>
          <w:tcPr>
            <w:tcW w:w="6521" w:type="dxa"/>
            <w:tcBorders>
              <w:top w:val="single" w:sz="4" w:space="0" w:color="auto"/>
              <w:left w:val="nil"/>
              <w:bottom w:val="single" w:sz="4" w:space="0" w:color="auto"/>
              <w:right w:val="single" w:sz="4" w:space="0" w:color="auto"/>
            </w:tcBorders>
            <w:noWrap/>
            <w:vAlign w:val="center"/>
          </w:tcPr>
          <w:p w:rsidR="00E86C69" w:rsidRPr="004D451D" w:rsidRDefault="00E86C69" w:rsidP="006D5AEA">
            <w:pPr>
              <w:widowControl/>
              <w:spacing w:line="280" w:lineRule="exact"/>
              <w:rPr>
                <w:rFonts w:eastAsia="標楷體"/>
                <w:kern w:val="0"/>
              </w:rPr>
            </w:pPr>
            <w:r w:rsidRPr="004D451D">
              <w:rPr>
                <w:rFonts w:eastAsia="標楷體" w:hint="eastAsia"/>
                <w:kern w:val="0"/>
              </w:rPr>
              <w:t>各業務主管單位辦理相關業務時，應評估該業務或交易可能產生風險之機率與嚴重性</w:t>
            </w:r>
            <w:r w:rsidRPr="004D451D">
              <w:rPr>
                <w:rFonts w:eastAsia="標楷體" w:hint="eastAsia"/>
                <w:kern w:val="0"/>
              </w:rPr>
              <w:t>(</w:t>
            </w:r>
            <w:r w:rsidRPr="004D451D">
              <w:rPr>
                <w:rFonts w:eastAsia="標楷體" w:hint="eastAsia"/>
                <w:kern w:val="0"/>
              </w:rPr>
              <w:t>損失</w:t>
            </w:r>
            <w:r w:rsidRPr="004D451D">
              <w:rPr>
                <w:rFonts w:eastAsia="標楷體" w:hint="eastAsia"/>
                <w:kern w:val="0"/>
              </w:rPr>
              <w:t>)</w:t>
            </w:r>
            <w:r w:rsidRPr="004D451D">
              <w:rPr>
                <w:rFonts w:eastAsia="標楷體" w:hint="eastAsia"/>
                <w:kern w:val="0"/>
              </w:rPr>
              <w:t>之高低，選用下列適當之風險對策：移轉或抵減、承擔、控制及迴避等的方式來對應所面對的風險。</w:t>
            </w:r>
          </w:p>
          <w:p w:rsidR="00E86C69" w:rsidRPr="004D451D" w:rsidRDefault="00E86C69" w:rsidP="009F53B0">
            <w:pPr>
              <w:widowControl/>
              <w:numPr>
                <w:ilvl w:val="0"/>
                <w:numId w:val="125"/>
              </w:numPr>
              <w:spacing w:line="280" w:lineRule="exact"/>
              <w:rPr>
                <w:rFonts w:eastAsia="標楷體"/>
                <w:kern w:val="0"/>
              </w:rPr>
            </w:pPr>
            <w:r w:rsidRPr="004D451D">
              <w:rPr>
                <w:rFonts w:eastAsia="標楷體" w:hint="eastAsia"/>
                <w:kern w:val="0"/>
              </w:rPr>
              <w:t>風險抵減或移轉：適用於風險發生機率低、但損失金額極高的時候，可考慮將部分或全部之風險辦理抵減或移轉，如加徵擔保品等…方式抵減，或移轉由第三者承擔。</w:t>
            </w:r>
            <w:r w:rsidRPr="004D451D">
              <w:rPr>
                <w:rFonts w:eastAsia="標楷體" w:hint="eastAsia"/>
                <w:kern w:val="0"/>
              </w:rPr>
              <w:t>(</w:t>
            </w:r>
            <w:r w:rsidRPr="004D451D">
              <w:rPr>
                <w:rFonts w:eastAsia="標楷體" w:hint="eastAsia"/>
                <w:kern w:val="0"/>
              </w:rPr>
              <w:t>如移送中小企業信保基金、農業信保基金保證，市場投資以衍生性金融商品等避險部位的建立，員工誠實保險…等</w:t>
            </w:r>
            <w:r w:rsidRPr="004D451D">
              <w:rPr>
                <w:rFonts w:eastAsia="標楷體" w:hint="eastAsia"/>
                <w:kern w:val="0"/>
              </w:rPr>
              <w:t>)</w:t>
            </w:r>
            <w:r w:rsidRPr="004D451D">
              <w:rPr>
                <w:rFonts w:eastAsia="標楷體" w:hint="eastAsia"/>
                <w:kern w:val="0"/>
              </w:rPr>
              <w:t>。</w:t>
            </w:r>
          </w:p>
          <w:p w:rsidR="00E86C69" w:rsidRPr="004D451D" w:rsidRDefault="00E86C69" w:rsidP="009F53B0">
            <w:pPr>
              <w:widowControl/>
              <w:numPr>
                <w:ilvl w:val="0"/>
                <w:numId w:val="125"/>
              </w:numPr>
              <w:spacing w:line="280" w:lineRule="exact"/>
              <w:rPr>
                <w:rFonts w:eastAsia="標楷體"/>
                <w:kern w:val="0"/>
              </w:rPr>
            </w:pPr>
            <w:r w:rsidRPr="004D451D">
              <w:rPr>
                <w:rFonts w:eastAsia="標楷體" w:hint="eastAsia"/>
                <w:kern w:val="0"/>
              </w:rPr>
              <w:t>風險承擔：當風險發生機率低且損失金額也低的時候，而其風險為本行可接受的水準時，則可吸收其可能產生之損失。</w:t>
            </w:r>
          </w:p>
          <w:p w:rsidR="00E86C69" w:rsidRPr="004D451D" w:rsidRDefault="00E86C69" w:rsidP="009F53B0">
            <w:pPr>
              <w:widowControl/>
              <w:numPr>
                <w:ilvl w:val="0"/>
                <w:numId w:val="125"/>
              </w:numPr>
              <w:spacing w:line="280" w:lineRule="exact"/>
              <w:rPr>
                <w:rFonts w:eastAsia="標楷體"/>
                <w:kern w:val="0"/>
              </w:rPr>
            </w:pPr>
            <w:r w:rsidRPr="004D451D">
              <w:rPr>
                <w:rFonts w:eastAsia="標楷體" w:hint="eastAsia"/>
                <w:kern w:val="0"/>
              </w:rPr>
              <w:t>風險控制：對於風險發生頻率極高的事件，損失金額又不高時，可加強控制點，以降低風險發生之可能性及其衝擊。</w:t>
            </w:r>
            <w:r w:rsidRPr="004D451D">
              <w:rPr>
                <w:rFonts w:eastAsia="標楷體"/>
                <w:kern w:val="0"/>
              </w:rPr>
              <w:t>(</w:t>
            </w:r>
            <w:r w:rsidRPr="004D451D">
              <w:rPr>
                <w:rFonts w:eastAsia="標楷體" w:hint="eastAsia"/>
                <w:kern w:val="0"/>
              </w:rPr>
              <w:t>如小額信貸專案違約情形的控制、短期投資停損機制，櫃員短鈔、偽鈔控制…等</w:t>
            </w:r>
            <w:r w:rsidRPr="004D451D">
              <w:rPr>
                <w:rFonts w:eastAsia="標楷體"/>
                <w:kern w:val="0"/>
              </w:rPr>
              <w:t>)</w:t>
            </w:r>
            <w:r w:rsidRPr="004D451D">
              <w:rPr>
                <w:rFonts w:eastAsia="標楷體" w:hint="eastAsia"/>
                <w:kern w:val="0"/>
              </w:rPr>
              <w:t>。</w:t>
            </w:r>
          </w:p>
          <w:p w:rsidR="00E86C69" w:rsidRPr="004D451D" w:rsidRDefault="00E86C69" w:rsidP="009F53B0">
            <w:pPr>
              <w:widowControl/>
              <w:numPr>
                <w:ilvl w:val="0"/>
                <w:numId w:val="125"/>
              </w:numPr>
              <w:spacing w:line="280" w:lineRule="exact"/>
              <w:rPr>
                <w:rFonts w:eastAsia="標楷體"/>
                <w:kern w:val="0"/>
              </w:rPr>
            </w:pPr>
            <w:r w:rsidRPr="004D451D">
              <w:rPr>
                <w:rFonts w:eastAsia="標楷體" w:hint="eastAsia"/>
                <w:kern w:val="0"/>
              </w:rPr>
              <w:t>風險迴避：當風險發生頻率及損失金額皆高時，這時候宜採取迴避措施，配合銀行經營策略進行動態調整，以規避可能引起風險之各種活動。</w:t>
            </w:r>
          </w:p>
        </w:tc>
      </w:tr>
    </w:tbl>
    <w:p w:rsidR="00E03BBD" w:rsidRPr="004D451D" w:rsidRDefault="00E03BBD" w:rsidP="00B047B1">
      <w:pPr>
        <w:rPr>
          <w:rFonts w:eastAsia="標楷體"/>
          <w:b/>
          <w:sz w:val="22"/>
          <w:szCs w:val="22"/>
        </w:rPr>
      </w:pPr>
    </w:p>
    <w:p w:rsidR="00E03BBD" w:rsidRPr="004D451D" w:rsidRDefault="00E03BBD" w:rsidP="001934E3">
      <w:pPr>
        <w:spacing w:line="240" w:lineRule="atLeast"/>
        <w:ind w:left="1218" w:hangingChars="507" w:hanging="1218"/>
        <w:rPr>
          <w:rFonts w:eastAsia="標楷體"/>
          <w:b/>
        </w:rPr>
      </w:pPr>
      <w:r w:rsidRPr="004D451D">
        <w:rPr>
          <w:rFonts w:eastAsia="標楷體"/>
          <w:b/>
        </w:rPr>
        <w:t>填表說明：</w:t>
      </w:r>
    </w:p>
    <w:p w:rsidR="00E03BBD" w:rsidRPr="004D451D" w:rsidRDefault="00E03BBD" w:rsidP="00482E54">
      <w:pPr>
        <w:numPr>
          <w:ilvl w:val="0"/>
          <w:numId w:val="81"/>
        </w:numPr>
        <w:spacing w:line="240" w:lineRule="atLeast"/>
        <w:ind w:leftChars="150" w:left="720" w:hangingChars="150" w:hanging="360"/>
        <w:rPr>
          <w:rFonts w:eastAsia="標楷體"/>
        </w:rPr>
      </w:pPr>
      <w:r w:rsidRPr="004D451D">
        <w:rPr>
          <w:rFonts w:eastAsia="標楷體"/>
        </w:rPr>
        <w:t>本表更新頻率：年。</w:t>
      </w:r>
    </w:p>
    <w:p w:rsidR="00444F22" w:rsidRPr="004D451D" w:rsidRDefault="00444F22" w:rsidP="00482E54">
      <w:pPr>
        <w:numPr>
          <w:ilvl w:val="0"/>
          <w:numId w:val="81"/>
        </w:numPr>
        <w:spacing w:line="240" w:lineRule="atLeast"/>
        <w:ind w:leftChars="150" w:left="720" w:hangingChars="150" w:hanging="360"/>
        <w:rPr>
          <w:rFonts w:eastAsia="標楷體"/>
        </w:rPr>
      </w:pPr>
      <w:r w:rsidRPr="004D451D">
        <w:rPr>
          <w:rFonts w:eastAsia="標楷體"/>
        </w:rPr>
        <w:t>本表採個體基礎填報。</w:t>
      </w:r>
    </w:p>
    <w:p w:rsidR="00444F22" w:rsidRPr="004D451D" w:rsidRDefault="00444F22" w:rsidP="00482E54">
      <w:pPr>
        <w:numPr>
          <w:ilvl w:val="0"/>
          <w:numId w:val="81"/>
        </w:numPr>
        <w:spacing w:line="240" w:lineRule="atLeast"/>
        <w:ind w:leftChars="150" w:left="720" w:hangingChars="150" w:hanging="360"/>
        <w:rPr>
          <w:rFonts w:eastAsia="標楷體"/>
        </w:rPr>
      </w:pPr>
      <w:r w:rsidRPr="004D451D">
        <w:rPr>
          <w:rFonts w:eastAsia="標楷體"/>
        </w:rPr>
        <w:t>本表項目內容如因風險類型不同而納入各風險之定性附表中說明者，應於本表中註明各風險附表名稱與參照項目。</w:t>
      </w:r>
    </w:p>
    <w:p w:rsidR="0073013F" w:rsidRPr="004D451D" w:rsidRDefault="00E03BBD" w:rsidP="00B047B1">
      <w:pPr>
        <w:rPr>
          <w:rFonts w:ascii="Arial" w:eastAsia="標楷體" w:hAnsi="Arial" w:cs="Arial"/>
          <w:sz w:val="32"/>
          <w:szCs w:val="32"/>
        </w:rPr>
      </w:pPr>
      <w:r w:rsidRPr="004D451D">
        <w:rPr>
          <w:rFonts w:ascii="Arial" w:eastAsia="標楷體" w:hAnsi="Arial" w:cs="Arial"/>
          <w:sz w:val="32"/>
          <w:szCs w:val="32"/>
        </w:rPr>
        <w:br w:type="page"/>
      </w:r>
    </w:p>
    <w:p w:rsidR="0073013F" w:rsidRPr="004D451D" w:rsidRDefault="0073013F" w:rsidP="0073013F">
      <w:pPr>
        <w:rPr>
          <w:rFonts w:ascii="標楷體" w:eastAsia="標楷體" w:hAnsi="標楷體"/>
          <w:sz w:val="32"/>
          <w:szCs w:val="32"/>
        </w:rPr>
      </w:pPr>
      <w:r w:rsidRPr="004D451D">
        <w:rPr>
          <w:rFonts w:ascii="標楷體" w:eastAsia="標楷體" w:hAnsi="標楷體" w:hint="eastAsia"/>
          <w:b/>
          <w:sz w:val="32"/>
          <w:szCs w:val="32"/>
        </w:rPr>
        <w:lastRenderedPageBreak/>
        <w:t>【</w:t>
      </w:r>
      <w:r w:rsidRPr="004D451D">
        <w:rPr>
          <w:rFonts w:ascii="Garamond" w:eastAsia="標楷體" w:hAnsi="標楷體" w:hint="eastAsia"/>
          <w:sz w:val="28"/>
          <w:szCs w:val="28"/>
        </w:rPr>
        <w:t>附表八</w:t>
      </w:r>
      <w:r w:rsidRPr="004D451D">
        <w:rPr>
          <w:rFonts w:ascii="標楷體" w:eastAsia="標楷體" w:hAnsi="標楷體" w:hint="eastAsia"/>
          <w:b/>
          <w:sz w:val="32"/>
          <w:szCs w:val="32"/>
        </w:rPr>
        <w:t>】</w:t>
      </w:r>
    </w:p>
    <w:p w:rsidR="0073013F" w:rsidRPr="004D451D" w:rsidRDefault="0073013F" w:rsidP="0073013F">
      <w:pPr>
        <w:pStyle w:val="ad"/>
        <w:spacing w:line="240" w:lineRule="auto"/>
        <w:ind w:left="0" w:firstLine="0"/>
        <w:jc w:val="center"/>
        <w:rPr>
          <w:b/>
        </w:rPr>
      </w:pPr>
      <w:r w:rsidRPr="004D451D">
        <w:rPr>
          <w:rFonts w:hint="eastAsia"/>
          <w:b/>
        </w:rPr>
        <w:t>關鍵指標</w:t>
      </w:r>
    </w:p>
    <w:p w:rsidR="0073013F" w:rsidRPr="004D451D" w:rsidRDefault="0073013F" w:rsidP="0073013F">
      <w:pPr>
        <w:wordWrap w:val="0"/>
        <w:spacing w:line="400" w:lineRule="exact"/>
        <w:jc w:val="right"/>
        <w:rPr>
          <w:rFonts w:ascii="標楷體" w:eastAsia="標楷體" w:hAnsi="標楷體"/>
          <w:b/>
          <w:bCs/>
        </w:rPr>
      </w:pPr>
      <w:r w:rsidRPr="004D451D">
        <w:rPr>
          <w:rFonts w:ascii="標楷體" w:eastAsia="標楷體" w:hAnsi="標楷體"/>
          <w:b/>
          <w:bCs/>
          <w:sz w:val="32"/>
          <w:szCs w:val="32"/>
        </w:rPr>
        <w:t xml:space="preserve"> </w:t>
      </w:r>
      <w:r w:rsidRPr="004D451D">
        <w:rPr>
          <w:rFonts w:ascii="標楷體" w:eastAsia="標楷體" w:hAnsi="標楷體"/>
          <w:bCs/>
          <w:sz w:val="32"/>
          <w:szCs w:val="32"/>
        </w:rPr>
        <w:t xml:space="preserve">   </w:t>
      </w:r>
      <w:r w:rsidR="00E86C69" w:rsidRPr="004D451D">
        <w:rPr>
          <w:rFonts w:ascii="標楷體" w:eastAsia="標楷體" w:hAnsi="標楷體" w:hint="eastAsia"/>
          <w:bCs/>
          <w:sz w:val="32"/>
          <w:szCs w:val="32"/>
        </w:rPr>
        <w:t>10</w:t>
      </w:r>
      <w:r w:rsidR="00FE14A7" w:rsidRPr="004D451D">
        <w:rPr>
          <w:rFonts w:ascii="標楷體" w:eastAsia="標楷體" w:hAnsi="標楷體" w:hint="eastAsia"/>
          <w:bCs/>
          <w:sz w:val="32"/>
          <w:szCs w:val="32"/>
        </w:rPr>
        <w:t>7</w:t>
      </w:r>
      <w:r w:rsidRPr="004D451D">
        <w:rPr>
          <w:rFonts w:ascii="標楷體" w:eastAsia="標楷體" w:hAnsi="標楷體" w:hint="eastAsia"/>
          <w:bCs/>
          <w:sz w:val="32"/>
          <w:szCs w:val="32"/>
        </w:rPr>
        <w:t>年</w:t>
      </w:r>
      <w:r w:rsidR="00FE14A7" w:rsidRPr="004D451D">
        <w:rPr>
          <w:rFonts w:ascii="標楷體" w:eastAsia="標楷體" w:hAnsi="標楷體" w:hint="eastAsia"/>
          <w:bCs/>
          <w:sz w:val="32"/>
          <w:szCs w:val="32"/>
        </w:rPr>
        <w:t>06</w:t>
      </w:r>
      <w:r w:rsidRPr="004D451D">
        <w:rPr>
          <w:rFonts w:ascii="標楷體" w:eastAsia="標楷體" w:hAnsi="標楷體" w:hint="eastAsia"/>
          <w:bCs/>
          <w:sz w:val="32"/>
          <w:szCs w:val="32"/>
        </w:rPr>
        <w:t>月</w:t>
      </w:r>
      <w:r w:rsidR="00E86C69" w:rsidRPr="004D451D">
        <w:rPr>
          <w:rFonts w:ascii="標楷體" w:eastAsia="標楷體" w:hAnsi="標楷體" w:hint="eastAsia"/>
          <w:bCs/>
          <w:sz w:val="32"/>
          <w:szCs w:val="32"/>
        </w:rPr>
        <w:t>3</w:t>
      </w:r>
      <w:r w:rsidR="00FE14A7" w:rsidRPr="004D451D">
        <w:rPr>
          <w:rFonts w:ascii="標楷體" w:eastAsia="標楷體" w:hAnsi="標楷體" w:hint="eastAsia"/>
          <w:bCs/>
          <w:sz w:val="32"/>
          <w:szCs w:val="32"/>
        </w:rPr>
        <w:t>0</w:t>
      </w:r>
      <w:r w:rsidRPr="004D451D">
        <w:rPr>
          <w:rFonts w:ascii="標楷體" w:eastAsia="標楷體" w:hAnsi="標楷體"/>
          <w:b/>
          <w:bCs/>
        </w:rPr>
        <w:t xml:space="preserve">         </w:t>
      </w:r>
      <w:r w:rsidRPr="004D451D">
        <w:rPr>
          <w:rFonts w:ascii="標楷體" w:eastAsia="標楷體" w:hAnsi="標楷體" w:hint="eastAsia"/>
          <w:bCs/>
        </w:rPr>
        <w:t>（</w:t>
      </w:r>
      <w:r w:rsidRPr="004D451D">
        <w:rPr>
          <w:rFonts w:ascii="標楷體" w:eastAsia="標楷體" w:hAnsi="標楷體" w:cs="Arial" w:hint="eastAsia"/>
        </w:rPr>
        <w:t>單位：新臺幣千元，％）</w:t>
      </w:r>
    </w:p>
    <w:tbl>
      <w:tblPr>
        <w:tblW w:w="5689" w:type="pct"/>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6"/>
        <w:gridCol w:w="3079"/>
        <w:gridCol w:w="1605"/>
        <w:gridCol w:w="1463"/>
        <w:gridCol w:w="1577"/>
        <w:gridCol w:w="1316"/>
        <w:gridCol w:w="1327"/>
      </w:tblGrid>
      <w:tr w:rsidR="004D451D" w:rsidRPr="004D451D" w:rsidTr="00057E8D">
        <w:trPr>
          <w:trHeight w:val="412"/>
        </w:trPr>
        <w:tc>
          <w:tcPr>
            <w:tcW w:w="188" w:type="pct"/>
            <w:vAlign w:val="center"/>
            <w:hideMark/>
          </w:tcPr>
          <w:p w:rsidR="0073013F" w:rsidRPr="004D451D" w:rsidRDefault="0073013F" w:rsidP="00134AEA">
            <w:pPr>
              <w:widowControl/>
              <w:rPr>
                <w:rFonts w:eastAsia="標楷體"/>
                <w:kern w:val="0"/>
              </w:rPr>
            </w:pPr>
          </w:p>
        </w:tc>
        <w:tc>
          <w:tcPr>
            <w:tcW w:w="1429" w:type="pct"/>
            <w:vAlign w:val="center"/>
            <w:hideMark/>
          </w:tcPr>
          <w:p w:rsidR="0073013F" w:rsidRPr="004D451D" w:rsidRDefault="000228F0" w:rsidP="000228F0">
            <w:pPr>
              <w:widowControl/>
              <w:jc w:val="center"/>
              <w:rPr>
                <w:rFonts w:eastAsia="標楷體"/>
                <w:kern w:val="0"/>
              </w:rPr>
            </w:pPr>
            <w:r w:rsidRPr="004D451D">
              <w:rPr>
                <w:rFonts w:eastAsia="標楷體" w:hint="eastAsia"/>
                <w:kern w:val="0"/>
              </w:rPr>
              <w:t>項目</w:t>
            </w:r>
          </w:p>
        </w:tc>
        <w:tc>
          <w:tcPr>
            <w:tcW w:w="745" w:type="pct"/>
            <w:shd w:val="clear" w:color="auto" w:fill="auto"/>
            <w:hideMark/>
          </w:tcPr>
          <w:p w:rsidR="0073013F" w:rsidRPr="004D451D" w:rsidRDefault="009A6C3D" w:rsidP="00134AEA">
            <w:pPr>
              <w:widowControl/>
              <w:ind w:leftChars="-788" w:left="-1891" w:firstLineChars="788" w:firstLine="1891"/>
              <w:jc w:val="center"/>
              <w:rPr>
                <w:rFonts w:eastAsia="標楷體"/>
                <w:kern w:val="0"/>
              </w:rPr>
            </w:pPr>
            <w:r w:rsidRPr="004D451D">
              <w:rPr>
                <w:rFonts w:eastAsia="標楷體" w:hint="eastAsia"/>
                <w:kern w:val="0"/>
              </w:rPr>
              <w:t>本</w:t>
            </w:r>
            <w:r w:rsidR="0073013F" w:rsidRPr="004D451D">
              <w:rPr>
                <w:rFonts w:eastAsia="標楷體"/>
                <w:kern w:val="0"/>
              </w:rPr>
              <w:t>季</w:t>
            </w:r>
            <w:r w:rsidR="000228F0" w:rsidRPr="004D451D">
              <w:rPr>
                <w:rFonts w:eastAsia="標楷體" w:hint="eastAsia"/>
                <w:kern w:val="0"/>
              </w:rPr>
              <w:t>A</w:t>
            </w:r>
          </w:p>
        </w:tc>
        <w:tc>
          <w:tcPr>
            <w:tcW w:w="679" w:type="pct"/>
            <w:shd w:val="clear" w:color="auto" w:fill="auto"/>
            <w:hideMark/>
          </w:tcPr>
          <w:p w:rsidR="0073013F" w:rsidRPr="004D451D" w:rsidRDefault="0073013F" w:rsidP="00134AEA">
            <w:pPr>
              <w:widowControl/>
              <w:jc w:val="center"/>
              <w:rPr>
                <w:rFonts w:eastAsia="標楷體"/>
                <w:kern w:val="0"/>
              </w:rPr>
            </w:pPr>
            <w:r w:rsidRPr="004D451D">
              <w:rPr>
                <w:rFonts w:eastAsia="標楷體"/>
                <w:kern w:val="0"/>
              </w:rPr>
              <w:t>前</w:t>
            </w:r>
            <w:r w:rsidR="002007E5" w:rsidRPr="004D451D">
              <w:rPr>
                <w:rFonts w:eastAsia="標楷體" w:hint="eastAsia"/>
                <w:kern w:val="0"/>
              </w:rPr>
              <w:t>一</w:t>
            </w:r>
            <w:r w:rsidRPr="004D451D">
              <w:rPr>
                <w:rFonts w:eastAsia="標楷體"/>
                <w:kern w:val="0"/>
              </w:rPr>
              <w:t>季</w:t>
            </w:r>
            <w:r w:rsidR="000228F0" w:rsidRPr="004D451D">
              <w:rPr>
                <w:rFonts w:eastAsia="標楷體" w:hint="eastAsia"/>
                <w:kern w:val="0"/>
              </w:rPr>
              <w:t>B</w:t>
            </w:r>
          </w:p>
        </w:tc>
        <w:tc>
          <w:tcPr>
            <w:tcW w:w="732" w:type="pct"/>
            <w:shd w:val="clear" w:color="auto" w:fill="auto"/>
            <w:hideMark/>
          </w:tcPr>
          <w:p w:rsidR="0073013F" w:rsidRPr="004D451D" w:rsidRDefault="0073013F" w:rsidP="002007E5">
            <w:pPr>
              <w:widowControl/>
              <w:jc w:val="center"/>
              <w:rPr>
                <w:rFonts w:eastAsia="標楷體"/>
                <w:kern w:val="0"/>
              </w:rPr>
            </w:pPr>
            <w:r w:rsidRPr="004D451D">
              <w:rPr>
                <w:rFonts w:eastAsia="標楷體"/>
                <w:kern w:val="0"/>
              </w:rPr>
              <w:t>前</w:t>
            </w:r>
            <w:r w:rsidR="002007E5" w:rsidRPr="004D451D">
              <w:rPr>
                <w:rFonts w:eastAsia="標楷體" w:hint="eastAsia"/>
                <w:kern w:val="0"/>
              </w:rPr>
              <w:t>二</w:t>
            </w:r>
            <w:r w:rsidRPr="004D451D">
              <w:rPr>
                <w:rFonts w:eastAsia="標楷體"/>
                <w:kern w:val="0"/>
              </w:rPr>
              <w:t>季</w:t>
            </w:r>
            <w:r w:rsidR="000228F0" w:rsidRPr="004D451D">
              <w:rPr>
                <w:rFonts w:eastAsia="標楷體" w:hint="eastAsia"/>
                <w:kern w:val="0"/>
              </w:rPr>
              <w:t>C</w:t>
            </w:r>
          </w:p>
        </w:tc>
        <w:tc>
          <w:tcPr>
            <w:tcW w:w="611" w:type="pct"/>
            <w:shd w:val="clear" w:color="auto" w:fill="auto"/>
            <w:hideMark/>
          </w:tcPr>
          <w:p w:rsidR="0073013F" w:rsidRPr="004D451D" w:rsidRDefault="0073013F" w:rsidP="002007E5">
            <w:pPr>
              <w:widowControl/>
              <w:jc w:val="center"/>
              <w:rPr>
                <w:rFonts w:eastAsia="標楷體"/>
                <w:kern w:val="0"/>
              </w:rPr>
            </w:pPr>
            <w:r w:rsidRPr="004D451D">
              <w:rPr>
                <w:rFonts w:eastAsia="標楷體"/>
                <w:kern w:val="0"/>
              </w:rPr>
              <w:t>前</w:t>
            </w:r>
            <w:r w:rsidR="002007E5" w:rsidRPr="004D451D">
              <w:rPr>
                <w:rFonts w:eastAsia="標楷體" w:hint="eastAsia"/>
                <w:kern w:val="0"/>
              </w:rPr>
              <w:t>三</w:t>
            </w:r>
            <w:r w:rsidRPr="004D451D">
              <w:rPr>
                <w:rFonts w:eastAsia="標楷體"/>
                <w:kern w:val="0"/>
              </w:rPr>
              <w:t>季</w:t>
            </w:r>
            <w:r w:rsidR="000228F0" w:rsidRPr="004D451D">
              <w:rPr>
                <w:rFonts w:eastAsia="標楷體" w:hint="eastAsia"/>
                <w:kern w:val="0"/>
              </w:rPr>
              <w:t>D</w:t>
            </w:r>
          </w:p>
        </w:tc>
        <w:tc>
          <w:tcPr>
            <w:tcW w:w="617" w:type="pct"/>
            <w:shd w:val="clear" w:color="auto" w:fill="auto"/>
            <w:hideMark/>
          </w:tcPr>
          <w:p w:rsidR="0073013F" w:rsidRPr="004D451D" w:rsidRDefault="0073013F" w:rsidP="002007E5">
            <w:pPr>
              <w:widowControl/>
              <w:jc w:val="center"/>
              <w:rPr>
                <w:rFonts w:eastAsia="標楷體"/>
                <w:kern w:val="0"/>
              </w:rPr>
            </w:pPr>
            <w:r w:rsidRPr="004D451D">
              <w:rPr>
                <w:rFonts w:eastAsia="標楷體"/>
                <w:kern w:val="0"/>
              </w:rPr>
              <w:t>前</w:t>
            </w:r>
            <w:r w:rsidR="002007E5" w:rsidRPr="004D451D">
              <w:rPr>
                <w:rFonts w:eastAsia="標楷體" w:hint="eastAsia"/>
                <w:kern w:val="0"/>
              </w:rPr>
              <w:t>四</w:t>
            </w:r>
            <w:r w:rsidRPr="004D451D">
              <w:rPr>
                <w:rFonts w:eastAsia="標楷體"/>
                <w:kern w:val="0"/>
              </w:rPr>
              <w:t>季</w:t>
            </w:r>
            <w:r w:rsidR="000228F0" w:rsidRPr="004D451D">
              <w:rPr>
                <w:rFonts w:eastAsia="標楷體" w:hint="eastAsia"/>
                <w:kern w:val="0"/>
              </w:rPr>
              <w:t>E</w:t>
            </w:r>
          </w:p>
        </w:tc>
      </w:tr>
      <w:tr w:rsidR="004D451D" w:rsidRPr="004D451D" w:rsidTr="00057E8D">
        <w:trPr>
          <w:trHeight w:val="397"/>
        </w:trPr>
        <w:tc>
          <w:tcPr>
            <w:tcW w:w="188" w:type="pct"/>
            <w:shd w:val="clear" w:color="000000" w:fill="D9D9D9"/>
            <w:vAlign w:val="center"/>
            <w:hideMark/>
          </w:tcPr>
          <w:p w:rsidR="0073013F" w:rsidRPr="004D451D" w:rsidRDefault="0073013F" w:rsidP="00134AEA">
            <w:pPr>
              <w:widowControl/>
              <w:jc w:val="center"/>
              <w:rPr>
                <w:rFonts w:eastAsia="標楷體"/>
                <w:kern w:val="0"/>
              </w:rPr>
            </w:pPr>
          </w:p>
        </w:tc>
        <w:tc>
          <w:tcPr>
            <w:tcW w:w="1429" w:type="pct"/>
            <w:shd w:val="clear" w:color="000000" w:fill="D9D9D9"/>
            <w:vAlign w:val="center"/>
            <w:hideMark/>
          </w:tcPr>
          <w:p w:rsidR="0073013F" w:rsidRPr="004D451D" w:rsidRDefault="0073013F" w:rsidP="00134AEA">
            <w:pPr>
              <w:widowControl/>
              <w:rPr>
                <w:rFonts w:eastAsia="標楷體"/>
                <w:b/>
                <w:bCs/>
                <w:kern w:val="0"/>
              </w:rPr>
            </w:pPr>
            <w:r w:rsidRPr="004D451D">
              <w:rPr>
                <w:rFonts w:eastAsia="標楷體"/>
                <w:b/>
                <w:bCs/>
                <w:kern w:val="0"/>
              </w:rPr>
              <w:t>可用資本</w:t>
            </w:r>
            <w:r w:rsidRPr="004D451D">
              <w:rPr>
                <w:rFonts w:eastAsia="標楷體"/>
                <w:b/>
                <w:bCs/>
                <w:kern w:val="0"/>
              </w:rPr>
              <w:t>(</w:t>
            </w:r>
            <w:r w:rsidRPr="004D451D">
              <w:rPr>
                <w:rFonts w:eastAsia="標楷體"/>
                <w:b/>
                <w:bCs/>
                <w:kern w:val="0"/>
              </w:rPr>
              <w:t>金額</w:t>
            </w:r>
            <w:r w:rsidRPr="004D451D">
              <w:rPr>
                <w:rFonts w:eastAsia="標楷體"/>
                <w:b/>
                <w:bCs/>
                <w:kern w:val="0"/>
              </w:rPr>
              <w:t>)</w:t>
            </w:r>
          </w:p>
        </w:tc>
        <w:tc>
          <w:tcPr>
            <w:tcW w:w="745" w:type="pct"/>
            <w:shd w:val="clear" w:color="000000" w:fill="D9D9D9"/>
          </w:tcPr>
          <w:p w:rsidR="0073013F" w:rsidRPr="004D451D" w:rsidRDefault="0073013F" w:rsidP="00134AEA">
            <w:pPr>
              <w:widowControl/>
              <w:rPr>
                <w:rFonts w:eastAsia="標楷體"/>
                <w:kern w:val="0"/>
              </w:rPr>
            </w:pPr>
          </w:p>
        </w:tc>
        <w:tc>
          <w:tcPr>
            <w:tcW w:w="679" w:type="pct"/>
            <w:shd w:val="clear" w:color="000000" w:fill="D9D9D9"/>
          </w:tcPr>
          <w:p w:rsidR="0073013F" w:rsidRPr="004D451D" w:rsidRDefault="0073013F" w:rsidP="00134AEA">
            <w:pPr>
              <w:widowControl/>
              <w:rPr>
                <w:rFonts w:eastAsia="標楷體"/>
                <w:kern w:val="0"/>
              </w:rPr>
            </w:pPr>
          </w:p>
        </w:tc>
        <w:tc>
          <w:tcPr>
            <w:tcW w:w="732" w:type="pct"/>
            <w:shd w:val="clear" w:color="000000" w:fill="D9D9D9"/>
          </w:tcPr>
          <w:p w:rsidR="0073013F" w:rsidRPr="004D451D" w:rsidRDefault="0073013F" w:rsidP="00134AEA">
            <w:pPr>
              <w:widowControl/>
              <w:rPr>
                <w:rFonts w:eastAsia="標楷體"/>
                <w:kern w:val="0"/>
              </w:rPr>
            </w:pPr>
          </w:p>
        </w:tc>
        <w:tc>
          <w:tcPr>
            <w:tcW w:w="611" w:type="pct"/>
            <w:shd w:val="clear" w:color="000000" w:fill="D9D9D9"/>
          </w:tcPr>
          <w:p w:rsidR="0073013F" w:rsidRPr="004D451D" w:rsidRDefault="0073013F" w:rsidP="00134AEA">
            <w:pPr>
              <w:widowControl/>
              <w:rPr>
                <w:rFonts w:eastAsia="標楷體"/>
                <w:kern w:val="0"/>
              </w:rPr>
            </w:pPr>
          </w:p>
        </w:tc>
        <w:tc>
          <w:tcPr>
            <w:tcW w:w="617" w:type="pct"/>
            <w:shd w:val="clear" w:color="000000" w:fill="D9D9D9"/>
          </w:tcPr>
          <w:p w:rsidR="0073013F" w:rsidRPr="004D451D" w:rsidRDefault="0073013F" w:rsidP="00134AEA">
            <w:pPr>
              <w:widowControl/>
              <w:rPr>
                <w:rFonts w:eastAsia="標楷體"/>
                <w:kern w:val="0"/>
              </w:rPr>
            </w:pP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1</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普通股權益第一類資本淨額</w:t>
            </w:r>
            <w:r w:rsidRPr="004D451D">
              <w:rPr>
                <w:rFonts w:eastAsia="標楷體"/>
                <w:kern w:val="0"/>
              </w:rPr>
              <w:t xml:space="preserve"> </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33,799,409 </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34,714,319 </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34,063,996 </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32,798,134</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31,286,431 </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1a</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會計模型普通股權益第一類資本淨額</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33,799,409 </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34,714,319</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34,063,996 </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32,798,134 </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31,286,431 </w:t>
            </w: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2</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第一類資本淨額</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33,799,409 </w:t>
            </w:r>
          </w:p>
        </w:tc>
        <w:tc>
          <w:tcPr>
            <w:tcW w:w="679" w:type="pct"/>
            <w:shd w:val="clear" w:color="auto" w:fill="auto"/>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34,714,319 </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34,063,996 </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32,798,134 </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31,286,431 </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2a</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會計模型第一類資本淨額</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33,799,409 </w:t>
            </w:r>
          </w:p>
        </w:tc>
        <w:tc>
          <w:tcPr>
            <w:tcW w:w="679" w:type="pct"/>
            <w:shd w:val="clear" w:color="auto" w:fill="auto"/>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34,714,319 </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34,063,996 </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32,798,134 </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31,286,431 </w:t>
            </w: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3</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資本總額</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34,196,922 </w:t>
            </w:r>
          </w:p>
        </w:tc>
        <w:tc>
          <w:tcPr>
            <w:tcW w:w="679" w:type="pct"/>
            <w:shd w:val="clear" w:color="auto" w:fill="auto"/>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35,234,256 </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34,949,600 </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34,293,352 </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32,547,587 </w:t>
            </w: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3a</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會計模型資本總額</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34,196,922 </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35,234,256 </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34,949,600 </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34,293,352 </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32,547,587 </w:t>
            </w:r>
          </w:p>
        </w:tc>
      </w:tr>
      <w:tr w:rsidR="004D451D" w:rsidRPr="004D451D" w:rsidTr="00057E8D">
        <w:trPr>
          <w:trHeight w:val="463"/>
        </w:trPr>
        <w:tc>
          <w:tcPr>
            <w:tcW w:w="188" w:type="pct"/>
            <w:shd w:val="clear" w:color="000000" w:fill="D9D9D9"/>
            <w:vAlign w:val="center"/>
            <w:hideMark/>
          </w:tcPr>
          <w:p w:rsidR="001171B2" w:rsidRPr="004D451D" w:rsidRDefault="001171B2" w:rsidP="00134AEA">
            <w:pPr>
              <w:widowControl/>
              <w:jc w:val="center"/>
              <w:rPr>
                <w:rFonts w:eastAsia="標楷體"/>
                <w:kern w:val="0"/>
              </w:rPr>
            </w:pPr>
          </w:p>
        </w:tc>
        <w:tc>
          <w:tcPr>
            <w:tcW w:w="1429" w:type="pct"/>
            <w:shd w:val="clear" w:color="000000" w:fill="D9D9D9"/>
            <w:vAlign w:val="center"/>
            <w:hideMark/>
          </w:tcPr>
          <w:p w:rsidR="001171B2" w:rsidRPr="004D451D" w:rsidRDefault="001171B2" w:rsidP="00134AEA">
            <w:pPr>
              <w:widowControl/>
              <w:rPr>
                <w:rFonts w:eastAsia="標楷體"/>
                <w:b/>
                <w:bCs/>
                <w:kern w:val="0"/>
              </w:rPr>
            </w:pPr>
            <w:r w:rsidRPr="004D451D">
              <w:rPr>
                <w:rFonts w:eastAsia="標楷體"/>
                <w:b/>
                <w:bCs/>
                <w:kern w:val="0"/>
              </w:rPr>
              <w:t>風險性資產</w:t>
            </w:r>
            <w:r w:rsidRPr="004D451D">
              <w:rPr>
                <w:rFonts w:eastAsia="標楷體"/>
                <w:b/>
                <w:bCs/>
                <w:kern w:val="0"/>
              </w:rPr>
              <w:t>(</w:t>
            </w:r>
            <w:r w:rsidRPr="004D451D">
              <w:rPr>
                <w:rFonts w:eastAsia="標楷體"/>
                <w:b/>
                <w:bCs/>
                <w:kern w:val="0"/>
              </w:rPr>
              <w:t>金額</w:t>
            </w:r>
            <w:r w:rsidRPr="004D451D">
              <w:rPr>
                <w:rFonts w:eastAsia="標楷體"/>
                <w:b/>
                <w:bCs/>
                <w:kern w:val="0"/>
              </w:rPr>
              <w:t>)</w:t>
            </w:r>
          </w:p>
        </w:tc>
        <w:tc>
          <w:tcPr>
            <w:tcW w:w="745" w:type="pct"/>
            <w:shd w:val="clear" w:color="000000" w:fill="D9D9D9"/>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679" w:type="pct"/>
            <w:shd w:val="clear" w:color="000000" w:fill="D9D9D9"/>
          </w:tcPr>
          <w:p w:rsidR="001171B2" w:rsidRPr="004D451D" w:rsidRDefault="001171B2" w:rsidP="001171B2">
            <w:pPr>
              <w:jc w:val="right"/>
              <w:rPr>
                <w:rFonts w:ascii="Arial" w:eastAsia="標楷體" w:hAnsi="Arial" w:cs="Arial"/>
                <w:sz w:val="22"/>
                <w:szCs w:val="22"/>
              </w:rPr>
            </w:pPr>
          </w:p>
        </w:tc>
        <w:tc>
          <w:tcPr>
            <w:tcW w:w="732" w:type="pct"/>
            <w:shd w:val="clear" w:color="000000" w:fill="D9D9D9"/>
            <w:vAlign w:val="center"/>
          </w:tcPr>
          <w:p w:rsidR="001171B2" w:rsidRPr="004D451D" w:rsidRDefault="001171B2" w:rsidP="001171B2">
            <w:pPr>
              <w:widowControl/>
              <w:jc w:val="right"/>
              <w:rPr>
                <w:rFonts w:ascii="Arial" w:eastAsia="標楷體" w:hAnsi="Arial" w:cs="Arial"/>
                <w:sz w:val="22"/>
                <w:szCs w:val="22"/>
              </w:rPr>
            </w:pPr>
          </w:p>
        </w:tc>
        <w:tc>
          <w:tcPr>
            <w:tcW w:w="611" w:type="pct"/>
            <w:shd w:val="clear" w:color="000000" w:fill="D9D9D9"/>
            <w:vAlign w:val="center"/>
          </w:tcPr>
          <w:p w:rsidR="001171B2" w:rsidRPr="004D451D" w:rsidRDefault="001171B2" w:rsidP="001171B2">
            <w:pPr>
              <w:widowControl/>
              <w:jc w:val="right"/>
              <w:rPr>
                <w:rFonts w:ascii="Arial" w:eastAsia="標楷體" w:hAnsi="Arial" w:cs="Arial"/>
                <w:sz w:val="22"/>
                <w:szCs w:val="22"/>
              </w:rPr>
            </w:pPr>
          </w:p>
        </w:tc>
        <w:tc>
          <w:tcPr>
            <w:tcW w:w="617" w:type="pct"/>
            <w:shd w:val="clear" w:color="000000" w:fill="D9D9D9"/>
            <w:vAlign w:val="center"/>
          </w:tcPr>
          <w:p w:rsidR="001171B2" w:rsidRPr="004D451D" w:rsidRDefault="001171B2" w:rsidP="001171B2">
            <w:pPr>
              <w:widowControl/>
              <w:jc w:val="right"/>
              <w:rPr>
                <w:rFonts w:ascii="Arial" w:eastAsia="標楷體" w:hAnsi="Arial" w:cs="Arial"/>
                <w:sz w:val="22"/>
                <w:szCs w:val="22"/>
              </w:rPr>
            </w:pP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4</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風險性資產總額</w:t>
            </w:r>
            <w:r w:rsidRPr="004D451D">
              <w:rPr>
                <w:rFonts w:eastAsia="標楷體"/>
                <w:kern w:val="0"/>
              </w:rPr>
              <w:t xml:space="preserve"> </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231,576,282 </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 xml:space="preserve"> 227,412,393 </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224,517,278</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226,536,851</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212,659,625</w:t>
            </w:r>
          </w:p>
        </w:tc>
      </w:tr>
      <w:tr w:rsidR="004D451D" w:rsidRPr="004D451D" w:rsidTr="00057E8D">
        <w:trPr>
          <w:trHeight w:val="812"/>
        </w:trPr>
        <w:tc>
          <w:tcPr>
            <w:tcW w:w="188" w:type="pct"/>
            <w:shd w:val="clear" w:color="000000" w:fill="D9D9D9"/>
            <w:vAlign w:val="center"/>
            <w:hideMark/>
          </w:tcPr>
          <w:p w:rsidR="001171B2" w:rsidRPr="004D451D" w:rsidRDefault="001171B2" w:rsidP="00134AEA">
            <w:pPr>
              <w:widowControl/>
              <w:jc w:val="center"/>
              <w:rPr>
                <w:rFonts w:eastAsia="標楷體"/>
                <w:b/>
                <w:bCs/>
                <w:kern w:val="0"/>
              </w:rPr>
            </w:pPr>
          </w:p>
        </w:tc>
        <w:tc>
          <w:tcPr>
            <w:tcW w:w="1429" w:type="pct"/>
            <w:shd w:val="clear" w:color="000000" w:fill="D9D9D9"/>
            <w:vAlign w:val="center"/>
            <w:hideMark/>
          </w:tcPr>
          <w:p w:rsidR="001171B2" w:rsidRPr="004D451D" w:rsidRDefault="001171B2" w:rsidP="00134AEA">
            <w:pPr>
              <w:widowControl/>
              <w:rPr>
                <w:rFonts w:eastAsia="標楷體"/>
                <w:b/>
                <w:bCs/>
                <w:kern w:val="0"/>
              </w:rPr>
            </w:pPr>
            <w:r w:rsidRPr="004D451D">
              <w:rPr>
                <w:rFonts w:eastAsia="標楷體"/>
                <w:b/>
                <w:bCs/>
                <w:kern w:val="0"/>
              </w:rPr>
              <w:t>風險基礎資本比率</w:t>
            </w:r>
            <w:r w:rsidRPr="004D451D">
              <w:rPr>
                <w:rFonts w:eastAsia="標楷體"/>
                <w:b/>
                <w:bCs/>
                <w:kern w:val="0"/>
              </w:rPr>
              <w:t>(</w:t>
            </w:r>
            <w:r w:rsidRPr="004D451D">
              <w:rPr>
                <w:rFonts w:eastAsia="標楷體"/>
                <w:b/>
                <w:bCs/>
                <w:kern w:val="0"/>
              </w:rPr>
              <w:t>占風險性資產總額比率</w:t>
            </w:r>
            <w:r w:rsidRPr="004D451D">
              <w:rPr>
                <w:rFonts w:eastAsia="標楷體"/>
                <w:b/>
                <w:bCs/>
                <w:kern w:val="0"/>
              </w:rPr>
              <w:t>)</w:t>
            </w:r>
          </w:p>
        </w:tc>
        <w:tc>
          <w:tcPr>
            <w:tcW w:w="745" w:type="pct"/>
            <w:shd w:val="clear" w:color="000000" w:fill="D9D9D9"/>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679" w:type="pct"/>
            <w:shd w:val="clear" w:color="000000" w:fill="D9D9D9"/>
          </w:tcPr>
          <w:p w:rsidR="001171B2" w:rsidRPr="004D451D" w:rsidRDefault="001171B2" w:rsidP="001171B2">
            <w:pPr>
              <w:jc w:val="right"/>
              <w:rPr>
                <w:rFonts w:ascii="Arial" w:eastAsia="標楷體" w:hAnsi="Arial" w:cs="Arial"/>
                <w:sz w:val="22"/>
                <w:szCs w:val="22"/>
              </w:rPr>
            </w:pPr>
          </w:p>
        </w:tc>
        <w:tc>
          <w:tcPr>
            <w:tcW w:w="732" w:type="pct"/>
            <w:shd w:val="clear" w:color="000000" w:fill="D9D9D9"/>
            <w:vAlign w:val="center"/>
          </w:tcPr>
          <w:p w:rsidR="001171B2" w:rsidRPr="004D451D" w:rsidRDefault="001171B2" w:rsidP="001171B2">
            <w:pPr>
              <w:widowControl/>
              <w:jc w:val="right"/>
              <w:rPr>
                <w:rFonts w:ascii="Arial" w:eastAsia="標楷體" w:hAnsi="Arial" w:cs="Arial"/>
                <w:sz w:val="22"/>
                <w:szCs w:val="22"/>
              </w:rPr>
            </w:pPr>
          </w:p>
        </w:tc>
        <w:tc>
          <w:tcPr>
            <w:tcW w:w="611" w:type="pct"/>
            <w:shd w:val="clear" w:color="000000" w:fill="D9D9D9"/>
            <w:vAlign w:val="center"/>
          </w:tcPr>
          <w:p w:rsidR="001171B2" w:rsidRPr="004D451D" w:rsidRDefault="001171B2" w:rsidP="001171B2">
            <w:pPr>
              <w:widowControl/>
              <w:jc w:val="right"/>
              <w:rPr>
                <w:rFonts w:ascii="Arial" w:eastAsia="標楷體" w:hAnsi="Arial" w:cs="Arial"/>
                <w:sz w:val="22"/>
                <w:szCs w:val="22"/>
              </w:rPr>
            </w:pPr>
          </w:p>
        </w:tc>
        <w:tc>
          <w:tcPr>
            <w:tcW w:w="617" w:type="pct"/>
            <w:shd w:val="clear" w:color="000000" w:fill="D9D9D9"/>
            <w:vAlign w:val="center"/>
          </w:tcPr>
          <w:p w:rsidR="001171B2" w:rsidRPr="004D451D" w:rsidRDefault="001171B2" w:rsidP="001171B2">
            <w:pPr>
              <w:widowControl/>
              <w:jc w:val="right"/>
              <w:rPr>
                <w:rFonts w:ascii="Arial" w:eastAsia="標楷體" w:hAnsi="Arial" w:cs="Arial"/>
                <w:sz w:val="22"/>
                <w:szCs w:val="22"/>
              </w:rPr>
            </w:pP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5</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普通股權益第一類資本比率</w:t>
            </w:r>
            <w:r w:rsidRPr="004D451D">
              <w:rPr>
                <w:rFonts w:eastAsia="標楷體"/>
                <w:kern w:val="0"/>
              </w:rPr>
              <w:t xml:space="preserve">(%) </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14.60%</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15.26%</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15.17%</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14.48%</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14.71%</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5a</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會計模型普通股權益第一類資本比率</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14.60%</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15.26%</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15.17%</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14.48%</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14.71%</w:t>
            </w: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6</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第一類資本比率</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14.60%</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15.26%</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15.17%</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14.48%</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14.71%</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6a</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會計模型第一類資本比率</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14.60%</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15.26%</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15.17%</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14.48%</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14.71%</w:t>
            </w: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7</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資本適足率</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14.77%</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15.49%</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15.57%</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15.14%</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15.31%</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7a</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會計模型資本適足率</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14.77%</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15.49%</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15.57%</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15.14%</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15.31%</w:t>
            </w:r>
          </w:p>
        </w:tc>
      </w:tr>
      <w:tr w:rsidR="004D451D" w:rsidRPr="004D451D" w:rsidTr="00057E8D">
        <w:trPr>
          <w:trHeight w:val="843"/>
        </w:trPr>
        <w:tc>
          <w:tcPr>
            <w:tcW w:w="188" w:type="pct"/>
            <w:shd w:val="clear" w:color="000000" w:fill="D9D9D9"/>
            <w:vAlign w:val="center"/>
            <w:hideMark/>
          </w:tcPr>
          <w:p w:rsidR="001171B2" w:rsidRPr="004D451D" w:rsidRDefault="001171B2" w:rsidP="00134AEA">
            <w:pPr>
              <w:widowControl/>
              <w:jc w:val="center"/>
              <w:rPr>
                <w:rFonts w:eastAsia="標楷體"/>
                <w:kern w:val="0"/>
              </w:rPr>
            </w:pPr>
          </w:p>
        </w:tc>
        <w:tc>
          <w:tcPr>
            <w:tcW w:w="1429" w:type="pct"/>
            <w:shd w:val="clear" w:color="000000" w:fill="D9D9D9"/>
            <w:vAlign w:val="center"/>
            <w:hideMark/>
          </w:tcPr>
          <w:p w:rsidR="001171B2" w:rsidRPr="004D451D" w:rsidRDefault="001171B2" w:rsidP="00134AEA">
            <w:pPr>
              <w:widowControl/>
              <w:rPr>
                <w:rFonts w:eastAsia="標楷體"/>
                <w:b/>
                <w:bCs/>
                <w:kern w:val="0"/>
              </w:rPr>
            </w:pPr>
            <w:r w:rsidRPr="004D451D">
              <w:rPr>
                <w:rFonts w:eastAsia="標楷體"/>
                <w:b/>
                <w:bCs/>
                <w:kern w:val="0"/>
              </w:rPr>
              <w:t>其他普通股權益第一類資本緩衝資本比率要求</w:t>
            </w:r>
            <w:r w:rsidRPr="004D451D">
              <w:rPr>
                <w:rFonts w:eastAsia="標楷體"/>
                <w:b/>
                <w:bCs/>
                <w:kern w:val="0"/>
              </w:rPr>
              <w:t>(</w:t>
            </w:r>
            <w:r w:rsidRPr="004D451D">
              <w:rPr>
                <w:rFonts w:eastAsia="標楷體"/>
                <w:b/>
                <w:bCs/>
                <w:kern w:val="0"/>
              </w:rPr>
              <w:t>占風險性資產總額比率</w:t>
            </w:r>
            <w:r w:rsidRPr="004D451D">
              <w:rPr>
                <w:rFonts w:eastAsia="標楷體"/>
                <w:b/>
                <w:bCs/>
                <w:kern w:val="0"/>
              </w:rPr>
              <w:t>)</w:t>
            </w:r>
          </w:p>
        </w:tc>
        <w:tc>
          <w:tcPr>
            <w:tcW w:w="745" w:type="pct"/>
            <w:shd w:val="clear" w:color="000000" w:fill="D9D9D9"/>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679" w:type="pct"/>
            <w:shd w:val="clear" w:color="000000" w:fill="D9D9D9"/>
          </w:tcPr>
          <w:p w:rsidR="001171B2" w:rsidRPr="004D451D" w:rsidRDefault="001171B2" w:rsidP="001171B2">
            <w:pPr>
              <w:jc w:val="right"/>
              <w:rPr>
                <w:rFonts w:ascii="Arial" w:eastAsia="標楷體" w:hAnsi="Arial" w:cs="Arial"/>
                <w:sz w:val="22"/>
                <w:szCs w:val="22"/>
              </w:rPr>
            </w:pPr>
          </w:p>
        </w:tc>
        <w:tc>
          <w:tcPr>
            <w:tcW w:w="732" w:type="pct"/>
            <w:shd w:val="clear" w:color="000000" w:fill="D9D9D9"/>
            <w:vAlign w:val="center"/>
          </w:tcPr>
          <w:p w:rsidR="001171B2" w:rsidRPr="004D451D" w:rsidRDefault="001171B2" w:rsidP="001171B2">
            <w:pPr>
              <w:jc w:val="right"/>
              <w:rPr>
                <w:rFonts w:ascii="Arial" w:eastAsia="標楷體" w:hAnsi="Arial" w:cs="Arial"/>
                <w:sz w:val="22"/>
                <w:szCs w:val="22"/>
              </w:rPr>
            </w:pPr>
          </w:p>
        </w:tc>
        <w:tc>
          <w:tcPr>
            <w:tcW w:w="611" w:type="pct"/>
            <w:shd w:val="clear" w:color="000000" w:fill="D9D9D9"/>
            <w:vAlign w:val="center"/>
          </w:tcPr>
          <w:p w:rsidR="001171B2" w:rsidRPr="004D451D" w:rsidRDefault="001171B2" w:rsidP="001171B2">
            <w:pPr>
              <w:jc w:val="right"/>
              <w:rPr>
                <w:rFonts w:ascii="Arial" w:eastAsia="標楷體" w:hAnsi="Arial" w:cs="Arial"/>
                <w:sz w:val="22"/>
                <w:szCs w:val="22"/>
              </w:rPr>
            </w:pPr>
          </w:p>
        </w:tc>
        <w:tc>
          <w:tcPr>
            <w:tcW w:w="617" w:type="pct"/>
            <w:shd w:val="clear" w:color="000000" w:fill="D9D9D9"/>
            <w:vAlign w:val="center"/>
          </w:tcPr>
          <w:p w:rsidR="001171B2" w:rsidRPr="004D451D" w:rsidRDefault="001171B2" w:rsidP="001171B2">
            <w:pPr>
              <w:jc w:val="right"/>
              <w:rPr>
                <w:rFonts w:ascii="Arial" w:eastAsia="標楷體" w:hAnsi="Arial" w:cs="Arial"/>
                <w:sz w:val="22"/>
                <w:szCs w:val="22"/>
              </w:rPr>
            </w:pP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8</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留存緩衝資本比率要求</w:t>
            </w:r>
            <w:r w:rsidRPr="004D451D">
              <w:rPr>
                <w:rFonts w:eastAsia="標楷體"/>
                <w:kern w:val="0"/>
              </w:rPr>
              <w:t>(%)</w:t>
            </w:r>
          </w:p>
        </w:tc>
        <w:tc>
          <w:tcPr>
            <w:tcW w:w="745" w:type="pct"/>
            <w:shd w:val="clear" w:color="auto" w:fill="auto"/>
            <w:vAlign w:val="center"/>
          </w:tcPr>
          <w:p w:rsidR="001171B2" w:rsidRPr="004D451D" w:rsidRDefault="001171B2" w:rsidP="00E83B2B">
            <w:pPr>
              <w:jc w:val="right"/>
              <w:rPr>
                <w:rFonts w:ascii="Arial" w:eastAsia="標楷體" w:hAnsi="Arial" w:cs="Arial"/>
                <w:sz w:val="22"/>
                <w:szCs w:val="22"/>
              </w:rPr>
            </w:pPr>
            <w:r w:rsidRPr="004D451D">
              <w:rPr>
                <w:rFonts w:ascii="Arial" w:eastAsia="標楷體" w:hAnsi="Arial" w:cs="Arial" w:hint="eastAsia"/>
                <w:sz w:val="22"/>
                <w:szCs w:val="22"/>
              </w:rPr>
              <w:t>1.</w:t>
            </w:r>
            <w:r w:rsidR="00E83B2B" w:rsidRPr="004D451D">
              <w:rPr>
                <w:rFonts w:ascii="Arial" w:eastAsia="標楷體" w:hAnsi="Arial" w:cs="Arial" w:hint="eastAsia"/>
                <w:sz w:val="22"/>
                <w:szCs w:val="22"/>
              </w:rPr>
              <w:t>875</w:t>
            </w:r>
            <w:r w:rsidRPr="004D451D">
              <w:rPr>
                <w:rFonts w:ascii="Arial" w:eastAsia="標楷體" w:hAnsi="Arial" w:cs="Arial" w:hint="eastAsia"/>
                <w:sz w:val="22"/>
                <w:szCs w:val="22"/>
              </w:rPr>
              <w:t>%</w:t>
            </w:r>
          </w:p>
        </w:tc>
        <w:tc>
          <w:tcPr>
            <w:tcW w:w="679" w:type="pct"/>
            <w:shd w:val="clear" w:color="auto" w:fill="auto"/>
            <w:vAlign w:val="center"/>
          </w:tcPr>
          <w:p w:rsidR="001171B2" w:rsidRPr="004D451D" w:rsidRDefault="001171B2" w:rsidP="00E83B2B">
            <w:pPr>
              <w:jc w:val="right"/>
              <w:rPr>
                <w:rFonts w:ascii="Arial" w:eastAsia="標楷體" w:hAnsi="Arial" w:cs="Arial"/>
                <w:sz w:val="22"/>
                <w:szCs w:val="22"/>
              </w:rPr>
            </w:pPr>
            <w:r w:rsidRPr="004D451D">
              <w:rPr>
                <w:rFonts w:ascii="Arial" w:eastAsia="標楷體" w:hAnsi="Arial" w:cs="Arial"/>
                <w:sz w:val="22"/>
                <w:szCs w:val="22"/>
              </w:rPr>
              <w:t>1.</w:t>
            </w:r>
            <w:r w:rsidR="00E83B2B" w:rsidRPr="004D451D">
              <w:rPr>
                <w:rFonts w:ascii="Arial" w:eastAsia="標楷體" w:hAnsi="Arial" w:cs="Arial" w:hint="eastAsia"/>
                <w:sz w:val="22"/>
                <w:szCs w:val="22"/>
              </w:rPr>
              <w:t>875</w:t>
            </w:r>
            <w:r w:rsidRPr="004D451D">
              <w:rPr>
                <w:rFonts w:ascii="Arial" w:eastAsia="標楷體" w:hAnsi="Arial" w:cs="Arial"/>
                <w:sz w:val="22"/>
                <w:szCs w:val="22"/>
              </w:rPr>
              <w:t>%</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hint="eastAsia"/>
                <w:sz w:val="22"/>
                <w:szCs w:val="22"/>
              </w:rPr>
              <w:t>1.250%</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1.250%</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1.250%</w:t>
            </w: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9</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抗景氣循環緩衝資本比率要求</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0.000%</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0.000%</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hint="eastAsia"/>
                <w:sz w:val="22"/>
                <w:szCs w:val="22"/>
              </w:rPr>
              <w:t>0%</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hint="eastAsia"/>
                <w:sz w:val="22"/>
                <w:szCs w:val="22"/>
              </w:rPr>
              <w:t>0%</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hint="eastAsia"/>
                <w:sz w:val="22"/>
                <w:szCs w:val="22"/>
              </w:rPr>
              <w:t>0%</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10</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G-SIB</w:t>
            </w:r>
            <w:r w:rsidRPr="004D451D">
              <w:rPr>
                <w:rFonts w:eastAsia="標楷體" w:hint="eastAsia"/>
                <w:kern w:val="0"/>
              </w:rPr>
              <w:t>及</w:t>
            </w:r>
            <w:r w:rsidRPr="004D451D">
              <w:rPr>
                <w:rFonts w:eastAsia="標楷體"/>
                <w:kern w:val="0"/>
              </w:rPr>
              <w:t>/</w:t>
            </w:r>
            <w:r w:rsidRPr="004D451D">
              <w:rPr>
                <w:rFonts w:eastAsia="標楷體" w:hint="eastAsia"/>
                <w:kern w:val="0"/>
              </w:rPr>
              <w:t>或</w:t>
            </w:r>
            <w:r w:rsidRPr="004D451D">
              <w:rPr>
                <w:rFonts w:eastAsia="標楷體"/>
                <w:kern w:val="0"/>
              </w:rPr>
              <w:t>D-SIB</w:t>
            </w:r>
            <w:r w:rsidRPr="004D451D">
              <w:rPr>
                <w:rFonts w:eastAsia="標楷體" w:hint="eastAsia"/>
                <w:kern w:val="0"/>
              </w:rPr>
              <w:t>其他資本比率要求</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w:t>
            </w:r>
          </w:p>
        </w:tc>
        <w:tc>
          <w:tcPr>
            <w:tcW w:w="679"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hint="eastAsia"/>
                <w:sz w:val="22"/>
                <w:szCs w:val="22"/>
              </w:rPr>
              <w:t>-</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w:t>
            </w:r>
          </w:p>
        </w:tc>
      </w:tr>
      <w:tr w:rsidR="004D451D" w:rsidRPr="004D451D" w:rsidTr="00057E8D">
        <w:trPr>
          <w:trHeight w:val="1607"/>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lastRenderedPageBreak/>
              <w:t>11</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hint="eastAsia"/>
                <w:kern w:val="0"/>
              </w:rPr>
              <w:t>銀行普通股權益第一類資本特定緩衝資本比率要求合計</w:t>
            </w:r>
            <w:r w:rsidRPr="004D451D">
              <w:rPr>
                <w:rFonts w:eastAsia="標楷體"/>
                <w:kern w:val="0"/>
              </w:rPr>
              <w:t>(%)</w:t>
            </w:r>
            <w:r w:rsidRPr="004D451D">
              <w:rPr>
                <w:rFonts w:eastAsia="標楷體"/>
                <w:kern w:val="0"/>
              </w:rPr>
              <w:br/>
              <w:t>(</w:t>
            </w:r>
            <w:r w:rsidRPr="004D451D">
              <w:rPr>
                <w:rFonts w:eastAsia="標楷體" w:hint="eastAsia"/>
                <w:kern w:val="0"/>
              </w:rPr>
              <w:t>本項第</w:t>
            </w:r>
            <w:r w:rsidRPr="004D451D">
              <w:rPr>
                <w:rFonts w:eastAsia="標楷體"/>
                <w:kern w:val="0"/>
              </w:rPr>
              <w:t>8</w:t>
            </w:r>
            <w:r w:rsidRPr="004D451D">
              <w:rPr>
                <w:rFonts w:eastAsia="標楷體" w:hint="eastAsia"/>
                <w:kern w:val="0"/>
              </w:rPr>
              <w:t>項、第</w:t>
            </w:r>
            <w:r w:rsidRPr="004D451D">
              <w:rPr>
                <w:rFonts w:eastAsia="標楷體"/>
                <w:kern w:val="0"/>
              </w:rPr>
              <w:t>9</w:t>
            </w:r>
            <w:r w:rsidRPr="004D451D">
              <w:rPr>
                <w:rFonts w:eastAsia="標楷體" w:hint="eastAsia"/>
                <w:kern w:val="0"/>
              </w:rPr>
              <w:t>項及第</w:t>
            </w:r>
            <w:r w:rsidRPr="004D451D">
              <w:rPr>
                <w:rFonts w:eastAsia="標楷體"/>
                <w:kern w:val="0"/>
              </w:rPr>
              <w:t>10</w:t>
            </w:r>
            <w:r w:rsidRPr="004D451D">
              <w:rPr>
                <w:rFonts w:eastAsia="標楷體" w:hint="eastAsia"/>
                <w:kern w:val="0"/>
              </w:rPr>
              <w:t>項之加總</w:t>
            </w:r>
            <w:r w:rsidRPr="004D451D">
              <w:rPr>
                <w:rFonts w:eastAsia="標楷體"/>
                <w:kern w:val="0"/>
              </w:rPr>
              <w:t>)</w:t>
            </w:r>
          </w:p>
        </w:tc>
        <w:tc>
          <w:tcPr>
            <w:tcW w:w="745" w:type="pct"/>
            <w:shd w:val="clear" w:color="auto" w:fill="auto"/>
            <w:vAlign w:val="center"/>
          </w:tcPr>
          <w:p w:rsidR="001171B2" w:rsidRPr="004D451D" w:rsidRDefault="001171B2" w:rsidP="00E83B2B">
            <w:pPr>
              <w:jc w:val="right"/>
              <w:rPr>
                <w:rFonts w:ascii="Arial" w:eastAsia="標楷體" w:hAnsi="Arial" w:cs="Arial"/>
                <w:sz w:val="22"/>
                <w:szCs w:val="22"/>
              </w:rPr>
            </w:pPr>
            <w:r w:rsidRPr="004D451D">
              <w:rPr>
                <w:rFonts w:ascii="Arial" w:eastAsia="標楷體" w:hAnsi="Arial" w:cs="Arial" w:hint="eastAsia"/>
                <w:sz w:val="22"/>
                <w:szCs w:val="22"/>
              </w:rPr>
              <w:t>1.</w:t>
            </w:r>
            <w:r w:rsidR="00E83B2B" w:rsidRPr="004D451D">
              <w:rPr>
                <w:rFonts w:ascii="Arial" w:eastAsia="標楷體" w:hAnsi="Arial" w:cs="Arial" w:hint="eastAsia"/>
                <w:sz w:val="22"/>
                <w:szCs w:val="22"/>
              </w:rPr>
              <w:t>875</w:t>
            </w:r>
            <w:r w:rsidRPr="004D451D">
              <w:rPr>
                <w:rFonts w:ascii="Arial" w:eastAsia="標楷體" w:hAnsi="Arial" w:cs="Arial" w:hint="eastAsia"/>
                <w:sz w:val="22"/>
                <w:szCs w:val="22"/>
              </w:rPr>
              <w:t>%</w:t>
            </w:r>
          </w:p>
        </w:tc>
        <w:tc>
          <w:tcPr>
            <w:tcW w:w="679" w:type="pct"/>
            <w:shd w:val="clear" w:color="auto" w:fill="auto"/>
            <w:vAlign w:val="center"/>
          </w:tcPr>
          <w:p w:rsidR="001171B2" w:rsidRPr="004D451D" w:rsidRDefault="001171B2" w:rsidP="00E83B2B">
            <w:pPr>
              <w:jc w:val="right"/>
              <w:rPr>
                <w:rFonts w:ascii="Arial" w:eastAsia="標楷體" w:hAnsi="Arial" w:cs="Arial"/>
                <w:sz w:val="22"/>
                <w:szCs w:val="22"/>
              </w:rPr>
            </w:pPr>
            <w:r w:rsidRPr="004D451D">
              <w:rPr>
                <w:rFonts w:ascii="Arial" w:eastAsia="標楷體" w:hAnsi="Arial" w:cs="Arial"/>
                <w:sz w:val="22"/>
                <w:szCs w:val="22"/>
              </w:rPr>
              <w:t>1.</w:t>
            </w:r>
            <w:r w:rsidR="00E83B2B" w:rsidRPr="004D451D">
              <w:rPr>
                <w:rFonts w:ascii="Arial" w:eastAsia="標楷體" w:hAnsi="Arial" w:cs="Arial" w:hint="eastAsia"/>
                <w:sz w:val="22"/>
                <w:szCs w:val="22"/>
              </w:rPr>
              <w:t>875</w:t>
            </w:r>
            <w:r w:rsidRPr="004D451D">
              <w:rPr>
                <w:rFonts w:ascii="Arial" w:eastAsia="標楷體" w:hAnsi="Arial" w:cs="Arial"/>
                <w:sz w:val="22"/>
                <w:szCs w:val="22"/>
              </w:rPr>
              <w:t>%</w:t>
            </w:r>
          </w:p>
        </w:tc>
        <w:tc>
          <w:tcPr>
            <w:tcW w:w="732"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hint="eastAsia"/>
                <w:sz w:val="22"/>
                <w:szCs w:val="22"/>
              </w:rPr>
              <w:t>1.250%</w:t>
            </w:r>
          </w:p>
        </w:tc>
        <w:tc>
          <w:tcPr>
            <w:tcW w:w="611"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1.250%</w:t>
            </w:r>
          </w:p>
        </w:tc>
        <w:tc>
          <w:tcPr>
            <w:tcW w:w="617" w:type="pct"/>
            <w:shd w:val="clear" w:color="auto" w:fill="auto"/>
            <w:vAlign w:val="center"/>
          </w:tcPr>
          <w:p w:rsidR="001171B2" w:rsidRPr="004D451D" w:rsidRDefault="001171B2" w:rsidP="001171B2">
            <w:pPr>
              <w:jc w:val="right"/>
              <w:rPr>
                <w:rFonts w:ascii="Arial" w:eastAsia="標楷體" w:hAnsi="Arial" w:cs="Arial"/>
                <w:sz w:val="22"/>
                <w:szCs w:val="22"/>
              </w:rPr>
            </w:pPr>
            <w:r w:rsidRPr="004D451D">
              <w:rPr>
                <w:rFonts w:ascii="Arial" w:eastAsia="標楷體" w:hAnsi="Arial" w:cs="Arial"/>
                <w:sz w:val="22"/>
                <w:szCs w:val="22"/>
              </w:rPr>
              <w:t>1.250%</w:t>
            </w:r>
          </w:p>
        </w:tc>
      </w:tr>
      <w:tr w:rsidR="004D451D" w:rsidRPr="004D451D" w:rsidTr="00057E8D">
        <w:trPr>
          <w:trHeight w:val="723"/>
        </w:trPr>
        <w:tc>
          <w:tcPr>
            <w:tcW w:w="188" w:type="pct"/>
            <w:shd w:val="clear" w:color="auto" w:fill="auto"/>
            <w:vAlign w:val="center"/>
            <w:hideMark/>
          </w:tcPr>
          <w:p w:rsidR="00FE14A7" w:rsidRPr="004D451D" w:rsidRDefault="00FE14A7" w:rsidP="00134AEA">
            <w:pPr>
              <w:widowControl/>
              <w:jc w:val="center"/>
              <w:rPr>
                <w:rFonts w:eastAsia="標楷體"/>
                <w:kern w:val="0"/>
              </w:rPr>
            </w:pPr>
            <w:r w:rsidRPr="004D451D">
              <w:rPr>
                <w:rFonts w:eastAsia="標楷體"/>
                <w:kern w:val="0"/>
              </w:rPr>
              <w:t>12</w:t>
            </w:r>
          </w:p>
        </w:tc>
        <w:tc>
          <w:tcPr>
            <w:tcW w:w="1429" w:type="pct"/>
            <w:shd w:val="clear" w:color="auto" w:fill="auto"/>
            <w:vAlign w:val="center"/>
            <w:hideMark/>
          </w:tcPr>
          <w:p w:rsidR="00FE14A7" w:rsidRPr="004D451D" w:rsidRDefault="00FE14A7" w:rsidP="00134AEA">
            <w:pPr>
              <w:widowControl/>
              <w:rPr>
                <w:rFonts w:eastAsia="標楷體"/>
                <w:kern w:val="0"/>
              </w:rPr>
            </w:pPr>
            <w:r w:rsidRPr="004D451D">
              <w:rPr>
                <w:rFonts w:eastAsia="標楷體" w:hint="eastAsia"/>
                <w:kern w:val="0"/>
              </w:rPr>
              <w:t>符合銀行最低資本要求後之可用普通股權益第一類資本比率</w:t>
            </w:r>
            <w:r w:rsidRPr="004D451D">
              <w:rPr>
                <w:rFonts w:eastAsia="標楷體"/>
                <w:kern w:val="0"/>
              </w:rPr>
              <w:t>(%)</w:t>
            </w:r>
          </w:p>
        </w:tc>
        <w:tc>
          <w:tcPr>
            <w:tcW w:w="745" w:type="pct"/>
            <w:shd w:val="clear" w:color="auto" w:fill="auto"/>
            <w:vAlign w:val="center"/>
          </w:tcPr>
          <w:p w:rsidR="00FE14A7" w:rsidRPr="004D451D" w:rsidRDefault="00FE14A7" w:rsidP="00FE14A7">
            <w:pPr>
              <w:jc w:val="right"/>
              <w:rPr>
                <w:rFonts w:ascii="Arial" w:eastAsia="標楷體" w:hAnsi="Arial" w:cs="Arial"/>
                <w:sz w:val="22"/>
                <w:szCs w:val="22"/>
              </w:rPr>
            </w:pPr>
            <w:r w:rsidRPr="004D451D">
              <w:rPr>
                <w:rFonts w:ascii="Arial" w:eastAsia="標楷體" w:hAnsi="Arial" w:cs="Arial" w:hint="eastAsia"/>
                <w:sz w:val="22"/>
                <w:szCs w:val="22"/>
              </w:rPr>
              <w:t>4.89%</w:t>
            </w:r>
          </w:p>
        </w:tc>
        <w:tc>
          <w:tcPr>
            <w:tcW w:w="679" w:type="pct"/>
            <w:shd w:val="clear" w:color="auto" w:fill="auto"/>
            <w:vAlign w:val="center"/>
          </w:tcPr>
          <w:p w:rsidR="00FE14A7" w:rsidRPr="004D451D" w:rsidRDefault="006A353F" w:rsidP="00C7304A">
            <w:pPr>
              <w:jc w:val="right"/>
              <w:rPr>
                <w:rFonts w:ascii="Arial" w:eastAsia="標楷體" w:hAnsi="Arial" w:cs="Arial"/>
                <w:sz w:val="22"/>
                <w:szCs w:val="22"/>
              </w:rPr>
            </w:pPr>
            <w:r w:rsidRPr="004D451D">
              <w:rPr>
                <w:rFonts w:ascii="Arial" w:eastAsia="標楷體" w:hAnsi="Arial" w:cs="Arial"/>
                <w:sz w:val="22"/>
                <w:szCs w:val="22"/>
              </w:rPr>
              <w:t>5.62%</w:t>
            </w:r>
          </w:p>
        </w:tc>
        <w:tc>
          <w:tcPr>
            <w:tcW w:w="732" w:type="pct"/>
            <w:shd w:val="clear" w:color="auto" w:fill="auto"/>
            <w:vAlign w:val="center"/>
          </w:tcPr>
          <w:p w:rsidR="00FE14A7" w:rsidRPr="004D451D" w:rsidRDefault="00FE14A7" w:rsidP="00165E05">
            <w:pPr>
              <w:jc w:val="right"/>
              <w:rPr>
                <w:rFonts w:ascii="Arial" w:eastAsia="標楷體" w:hAnsi="Arial" w:cs="Arial"/>
                <w:sz w:val="22"/>
                <w:szCs w:val="22"/>
              </w:rPr>
            </w:pPr>
            <w:r w:rsidRPr="004D451D">
              <w:rPr>
                <w:rFonts w:ascii="Arial" w:eastAsia="標楷體" w:hAnsi="Arial" w:cs="Arial" w:hint="eastAsia"/>
                <w:sz w:val="22"/>
                <w:szCs w:val="22"/>
              </w:rPr>
              <w:t>6.32%</w:t>
            </w:r>
          </w:p>
        </w:tc>
        <w:tc>
          <w:tcPr>
            <w:tcW w:w="611" w:type="pct"/>
            <w:shd w:val="clear" w:color="auto" w:fill="auto"/>
            <w:vAlign w:val="center"/>
          </w:tcPr>
          <w:p w:rsidR="00FE14A7" w:rsidRPr="004D451D" w:rsidRDefault="00FE14A7" w:rsidP="00165E05">
            <w:pPr>
              <w:jc w:val="right"/>
              <w:rPr>
                <w:rFonts w:ascii="Arial" w:eastAsia="標楷體" w:hAnsi="Arial" w:cs="Arial"/>
                <w:sz w:val="22"/>
                <w:szCs w:val="22"/>
              </w:rPr>
            </w:pPr>
            <w:r w:rsidRPr="004D451D">
              <w:rPr>
                <w:rFonts w:ascii="Arial" w:eastAsia="標楷體" w:hAnsi="Arial" w:cs="Arial"/>
                <w:sz w:val="22"/>
                <w:szCs w:val="22"/>
              </w:rPr>
              <w:t>5.8</w:t>
            </w:r>
            <w:r w:rsidRPr="004D451D">
              <w:rPr>
                <w:rFonts w:ascii="Arial" w:eastAsia="標楷體" w:hAnsi="Arial" w:cs="Arial" w:hint="eastAsia"/>
                <w:sz w:val="22"/>
                <w:szCs w:val="22"/>
              </w:rPr>
              <w:t>9</w:t>
            </w:r>
            <w:r w:rsidRPr="004D451D">
              <w:rPr>
                <w:rFonts w:ascii="Arial" w:eastAsia="標楷體" w:hAnsi="Arial" w:cs="Arial"/>
                <w:sz w:val="22"/>
                <w:szCs w:val="22"/>
              </w:rPr>
              <w:t>%</w:t>
            </w:r>
          </w:p>
        </w:tc>
        <w:tc>
          <w:tcPr>
            <w:tcW w:w="617" w:type="pct"/>
            <w:shd w:val="clear" w:color="auto" w:fill="auto"/>
            <w:vAlign w:val="center"/>
          </w:tcPr>
          <w:p w:rsidR="00FE14A7" w:rsidRPr="004D451D" w:rsidRDefault="00FE14A7" w:rsidP="00165E05">
            <w:pPr>
              <w:widowControl/>
              <w:jc w:val="right"/>
              <w:rPr>
                <w:rFonts w:ascii="Arial" w:eastAsia="標楷體" w:hAnsi="Arial" w:cs="Arial"/>
                <w:sz w:val="22"/>
                <w:szCs w:val="22"/>
              </w:rPr>
            </w:pPr>
            <w:r w:rsidRPr="004D451D">
              <w:rPr>
                <w:rFonts w:ascii="Arial" w:eastAsia="標楷體" w:hAnsi="Arial" w:cs="Arial"/>
                <w:sz w:val="22"/>
                <w:szCs w:val="22"/>
              </w:rPr>
              <w:t>6.06%</w:t>
            </w:r>
          </w:p>
        </w:tc>
      </w:tr>
      <w:tr w:rsidR="004D451D" w:rsidRPr="004D451D" w:rsidTr="00057E8D">
        <w:trPr>
          <w:trHeight w:val="463"/>
        </w:trPr>
        <w:tc>
          <w:tcPr>
            <w:tcW w:w="188" w:type="pct"/>
            <w:shd w:val="clear" w:color="000000" w:fill="D9D9D9"/>
            <w:vAlign w:val="center"/>
            <w:hideMark/>
          </w:tcPr>
          <w:p w:rsidR="00FE14A7" w:rsidRPr="004D451D" w:rsidRDefault="00FE14A7" w:rsidP="00134AEA">
            <w:pPr>
              <w:widowControl/>
              <w:jc w:val="center"/>
              <w:rPr>
                <w:rFonts w:eastAsia="標楷體"/>
                <w:kern w:val="0"/>
              </w:rPr>
            </w:pPr>
          </w:p>
        </w:tc>
        <w:tc>
          <w:tcPr>
            <w:tcW w:w="1429" w:type="pct"/>
            <w:shd w:val="clear" w:color="000000" w:fill="D9D9D9"/>
            <w:vAlign w:val="center"/>
            <w:hideMark/>
          </w:tcPr>
          <w:p w:rsidR="00FE14A7" w:rsidRPr="004D451D" w:rsidRDefault="00FE14A7" w:rsidP="00134AEA">
            <w:pPr>
              <w:widowControl/>
              <w:rPr>
                <w:rFonts w:eastAsia="標楷體"/>
                <w:b/>
                <w:bCs/>
                <w:kern w:val="0"/>
              </w:rPr>
            </w:pPr>
            <w:r w:rsidRPr="004D451D">
              <w:rPr>
                <w:rFonts w:eastAsia="標楷體"/>
                <w:b/>
                <w:bCs/>
                <w:kern w:val="0"/>
              </w:rPr>
              <w:t>槓桿比率</w:t>
            </w:r>
          </w:p>
        </w:tc>
        <w:tc>
          <w:tcPr>
            <w:tcW w:w="745" w:type="pct"/>
            <w:shd w:val="clear" w:color="000000" w:fill="D9D9D9"/>
            <w:vAlign w:val="center"/>
          </w:tcPr>
          <w:p w:rsidR="00FE14A7" w:rsidRPr="004D451D" w:rsidRDefault="00FE14A7"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679" w:type="pct"/>
            <w:shd w:val="clear" w:color="000000" w:fill="D9D9D9"/>
            <w:vAlign w:val="center"/>
          </w:tcPr>
          <w:p w:rsidR="00FE14A7" w:rsidRPr="004D451D" w:rsidRDefault="00FE14A7" w:rsidP="0031262F">
            <w:pPr>
              <w:widowControl/>
              <w:jc w:val="right"/>
              <w:rPr>
                <w:rFonts w:ascii="Arial" w:eastAsia="標楷體" w:hAnsi="Arial" w:cs="Arial"/>
                <w:sz w:val="22"/>
                <w:szCs w:val="22"/>
              </w:rPr>
            </w:pPr>
          </w:p>
        </w:tc>
        <w:tc>
          <w:tcPr>
            <w:tcW w:w="732" w:type="pct"/>
            <w:shd w:val="clear" w:color="000000" w:fill="D9D9D9"/>
            <w:vAlign w:val="center"/>
          </w:tcPr>
          <w:p w:rsidR="00FE14A7" w:rsidRPr="004D451D" w:rsidRDefault="00FE14A7" w:rsidP="00165E05">
            <w:pPr>
              <w:jc w:val="right"/>
              <w:rPr>
                <w:rFonts w:ascii="Arial" w:eastAsia="標楷體" w:hAnsi="Arial" w:cs="Arial"/>
                <w:sz w:val="22"/>
                <w:szCs w:val="22"/>
              </w:rPr>
            </w:pPr>
            <w:r w:rsidRPr="004D451D">
              <w:rPr>
                <w:rFonts w:ascii="Arial" w:eastAsia="標楷體" w:hAnsi="Arial" w:cs="Arial" w:hint="eastAsia"/>
                <w:sz w:val="22"/>
                <w:szCs w:val="22"/>
              </w:rPr>
              <w:t xml:space="preserve">　</w:t>
            </w:r>
          </w:p>
        </w:tc>
        <w:tc>
          <w:tcPr>
            <w:tcW w:w="611" w:type="pct"/>
            <w:shd w:val="clear" w:color="000000" w:fill="D9D9D9"/>
            <w:vAlign w:val="center"/>
          </w:tcPr>
          <w:p w:rsidR="00FE14A7" w:rsidRPr="004D451D" w:rsidRDefault="00FE14A7" w:rsidP="00165E05">
            <w:pPr>
              <w:widowControl/>
              <w:jc w:val="right"/>
              <w:rPr>
                <w:rFonts w:ascii="Arial" w:eastAsia="標楷體" w:hAnsi="Arial" w:cs="Arial"/>
                <w:sz w:val="22"/>
                <w:szCs w:val="22"/>
              </w:rPr>
            </w:pPr>
          </w:p>
        </w:tc>
        <w:tc>
          <w:tcPr>
            <w:tcW w:w="617" w:type="pct"/>
            <w:shd w:val="clear" w:color="000000" w:fill="D9D9D9"/>
            <w:vAlign w:val="center"/>
          </w:tcPr>
          <w:p w:rsidR="00FE14A7" w:rsidRPr="004D451D" w:rsidRDefault="00FE14A7" w:rsidP="00165E05">
            <w:pPr>
              <w:widowControl/>
              <w:jc w:val="right"/>
              <w:rPr>
                <w:rFonts w:ascii="Arial" w:eastAsia="標楷體" w:hAnsi="Arial" w:cs="Arial"/>
                <w:sz w:val="22"/>
                <w:szCs w:val="22"/>
              </w:rPr>
            </w:pPr>
          </w:p>
        </w:tc>
      </w:tr>
      <w:tr w:rsidR="004D451D" w:rsidRPr="004D451D" w:rsidTr="00057E8D">
        <w:trPr>
          <w:trHeight w:val="46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13</w:t>
            </w:r>
          </w:p>
        </w:tc>
        <w:tc>
          <w:tcPr>
            <w:tcW w:w="1429" w:type="pct"/>
            <w:shd w:val="clear" w:color="auto" w:fill="auto"/>
            <w:vAlign w:val="center"/>
            <w:hideMark/>
          </w:tcPr>
          <w:p w:rsidR="001171B2" w:rsidRPr="004D451D" w:rsidRDefault="001171B2" w:rsidP="00134AEA">
            <w:pPr>
              <w:widowControl/>
              <w:rPr>
                <w:rFonts w:eastAsia="標楷體"/>
                <w:kern w:val="0"/>
              </w:rPr>
            </w:pPr>
            <w:r w:rsidRPr="004D451D">
              <w:rPr>
                <w:rFonts w:eastAsia="標楷體"/>
                <w:kern w:val="0"/>
              </w:rPr>
              <w:t>槓桿比率暴險衡量總額</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 xml:space="preserve"> 293,336,042 </w:t>
            </w:r>
          </w:p>
        </w:tc>
        <w:tc>
          <w:tcPr>
            <w:tcW w:w="679" w:type="pct"/>
            <w:shd w:val="clear" w:color="auto" w:fill="auto"/>
            <w:vAlign w:val="center"/>
          </w:tcPr>
          <w:p w:rsidR="001171B2" w:rsidRPr="004D451D" w:rsidRDefault="001171B2">
            <w:pPr>
              <w:jc w:val="right"/>
              <w:rPr>
                <w:rFonts w:ascii="Arial" w:eastAsia="標楷體" w:hAnsi="Arial" w:cs="Arial"/>
                <w:sz w:val="22"/>
                <w:szCs w:val="22"/>
              </w:rPr>
            </w:pPr>
            <w:r w:rsidRPr="004D451D">
              <w:rPr>
                <w:rFonts w:ascii="Arial" w:eastAsia="標楷體" w:hAnsi="Arial" w:cs="Arial" w:hint="eastAsia"/>
                <w:sz w:val="22"/>
                <w:szCs w:val="22"/>
              </w:rPr>
              <w:t xml:space="preserve">291,451,962 </w:t>
            </w:r>
          </w:p>
        </w:tc>
        <w:tc>
          <w:tcPr>
            <w:tcW w:w="732"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287,375,432</w:t>
            </w:r>
          </w:p>
        </w:tc>
        <w:tc>
          <w:tcPr>
            <w:tcW w:w="611"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287,788,282</w:t>
            </w:r>
          </w:p>
        </w:tc>
        <w:tc>
          <w:tcPr>
            <w:tcW w:w="617"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268,251,275</w:t>
            </w:r>
          </w:p>
        </w:tc>
      </w:tr>
      <w:tr w:rsidR="004D451D" w:rsidRPr="004D451D" w:rsidTr="00057E8D">
        <w:trPr>
          <w:trHeight w:val="723"/>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14</w:t>
            </w:r>
          </w:p>
        </w:tc>
        <w:tc>
          <w:tcPr>
            <w:tcW w:w="1429" w:type="pct"/>
            <w:shd w:val="clear" w:color="auto" w:fill="auto"/>
            <w:vAlign w:val="center"/>
            <w:hideMark/>
          </w:tcPr>
          <w:p w:rsidR="001171B2" w:rsidRPr="004D451D" w:rsidRDefault="001171B2" w:rsidP="007B689C">
            <w:pPr>
              <w:widowControl/>
              <w:rPr>
                <w:rFonts w:eastAsia="標楷體"/>
                <w:kern w:val="0"/>
              </w:rPr>
            </w:pPr>
            <w:r w:rsidRPr="004D451D">
              <w:rPr>
                <w:rFonts w:eastAsia="標楷體"/>
                <w:kern w:val="0"/>
              </w:rPr>
              <w:t>槓桿比率</w:t>
            </w:r>
            <w:r w:rsidRPr="004D451D">
              <w:rPr>
                <w:rFonts w:eastAsia="標楷體"/>
                <w:kern w:val="0"/>
              </w:rPr>
              <w:t>(%)</w:t>
            </w:r>
            <w:r w:rsidRPr="004D451D">
              <w:rPr>
                <w:rFonts w:eastAsia="標楷體"/>
                <w:kern w:val="0"/>
              </w:rPr>
              <w:br/>
              <w:t>(</w:t>
            </w:r>
            <w:r w:rsidRPr="004D451D">
              <w:rPr>
                <w:rFonts w:eastAsia="標楷體"/>
                <w:kern w:val="0"/>
              </w:rPr>
              <w:t>本項第</w:t>
            </w:r>
            <w:r w:rsidRPr="004D451D">
              <w:rPr>
                <w:rFonts w:eastAsia="標楷體"/>
                <w:kern w:val="0"/>
              </w:rPr>
              <w:t>2</w:t>
            </w:r>
            <w:r w:rsidRPr="004D451D">
              <w:rPr>
                <w:rFonts w:eastAsia="標楷體"/>
                <w:kern w:val="0"/>
              </w:rPr>
              <w:t>項</w:t>
            </w:r>
            <w:r w:rsidRPr="004D451D">
              <w:rPr>
                <w:rFonts w:eastAsia="標楷體"/>
                <w:kern w:val="0"/>
              </w:rPr>
              <w:t>/</w:t>
            </w:r>
            <w:r w:rsidRPr="004D451D">
              <w:rPr>
                <w:rFonts w:eastAsia="標楷體"/>
                <w:kern w:val="0"/>
              </w:rPr>
              <w:t>第</w:t>
            </w:r>
            <w:r w:rsidRPr="004D451D">
              <w:rPr>
                <w:rFonts w:eastAsia="標楷體"/>
                <w:kern w:val="0"/>
              </w:rPr>
              <w:t>13</w:t>
            </w:r>
            <w:r w:rsidRPr="004D451D">
              <w:rPr>
                <w:rFonts w:eastAsia="標楷體"/>
                <w:kern w:val="0"/>
              </w:rPr>
              <w:t>項</w:t>
            </w:r>
            <w:r w:rsidRPr="004D451D">
              <w:rPr>
                <w:rFonts w:eastAsia="標楷體"/>
                <w:kern w:val="0"/>
              </w:rPr>
              <w:t>)</w:t>
            </w:r>
            <w:r w:rsidRPr="004D451D">
              <w:rPr>
                <w:rFonts w:eastAsia="標楷體"/>
                <w:kern w:val="0"/>
              </w:rPr>
              <w:t xml:space="preserve">　</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11.52%</w:t>
            </w:r>
          </w:p>
        </w:tc>
        <w:tc>
          <w:tcPr>
            <w:tcW w:w="679" w:type="pct"/>
            <w:shd w:val="clear" w:color="auto" w:fill="auto"/>
            <w:vAlign w:val="center"/>
          </w:tcPr>
          <w:p w:rsidR="001171B2" w:rsidRPr="004D451D" w:rsidRDefault="001171B2">
            <w:pPr>
              <w:jc w:val="right"/>
              <w:rPr>
                <w:rFonts w:ascii="Arial" w:eastAsia="標楷體" w:hAnsi="Arial" w:cs="Arial"/>
                <w:sz w:val="22"/>
                <w:szCs w:val="22"/>
              </w:rPr>
            </w:pPr>
            <w:r w:rsidRPr="004D451D">
              <w:rPr>
                <w:rFonts w:ascii="Arial" w:eastAsia="標楷體" w:hAnsi="Arial" w:cs="Arial" w:hint="eastAsia"/>
                <w:sz w:val="22"/>
                <w:szCs w:val="22"/>
              </w:rPr>
              <w:t>11.91%</w:t>
            </w:r>
          </w:p>
        </w:tc>
        <w:tc>
          <w:tcPr>
            <w:tcW w:w="732"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11.85%</w:t>
            </w:r>
          </w:p>
        </w:tc>
        <w:tc>
          <w:tcPr>
            <w:tcW w:w="611"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11.40%</w:t>
            </w:r>
          </w:p>
        </w:tc>
        <w:tc>
          <w:tcPr>
            <w:tcW w:w="617"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11.6</w:t>
            </w:r>
            <w:r w:rsidRPr="004D451D">
              <w:rPr>
                <w:rFonts w:ascii="Arial" w:eastAsia="標楷體" w:hAnsi="Arial" w:cs="Arial" w:hint="eastAsia"/>
                <w:sz w:val="22"/>
                <w:szCs w:val="22"/>
              </w:rPr>
              <w:t>6</w:t>
            </w:r>
            <w:r w:rsidRPr="004D451D">
              <w:rPr>
                <w:rFonts w:ascii="Arial" w:eastAsia="標楷體" w:hAnsi="Arial" w:cs="Arial"/>
                <w:sz w:val="22"/>
                <w:szCs w:val="22"/>
              </w:rPr>
              <w:t>%</w:t>
            </w:r>
          </w:p>
        </w:tc>
      </w:tr>
      <w:tr w:rsidR="004D451D" w:rsidRPr="004D451D" w:rsidTr="00057E8D">
        <w:trPr>
          <w:trHeight w:val="1240"/>
        </w:trPr>
        <w:tc>
          <w:tcPr>
            <w:tcW w:w="188" w:type="pct"/>
            <w:shd w:val="clear" w:color="auto" w:fill="auto"/>
            <w:vAlign w:val="center"/>
            <w:hideMark/>
          </w:tcPr>
          <w:p w:rsidR="001171B2" w:rsidRPr="004D451D" w:rsidRDefault="001171B2" w:rsidP="00134AEA">
            <w:pPr>
              <w:widowControl/>
              <w:jc w:val="center"/>
              <w:rPr>
                <w:rFonts w:eastAsia="標楷體"/>
                <w:kern w:val="0"/>
              </w:rPr>
            </w:pPr>
            <w:r w:rsidRPr="004D451D">
              <w:rPr>
                <w:rFonts w:eastAsia="標楷體"/>
                <w:kern w:val="0"/>
              </w:rPr>
              <w:t>14a</w:t>
            </w:r>
          </w:p>
        </w:tc>
        <w:tc>
          <w:tcPr>
            <w:tcW w:w="1429" w:type="pct"/>
            <w:shd w:val="clear" w:color="auto" w:fill="auto"/>
            <w:vAlign w:val="center"/>
            <w:hideMark/>
          </w:tcPr>
          <w:p w:rsidR="001171B2" w:rsidRPr="004D451D" w:rsidRDefault="001171B2" w:rsidP="007B689C">
            <w:pPr>
              <w:widowControl/>
              <w:rPr>
                <w:rFonts w:eastAsia="標楷體"/>
                <w:kern w:val="0"/>
              </w:rPr>
            </w:pPr>
            <w:r w:rsidRPr="004D451D">
              <w:rPr>
                <w:rFonts w:eastAsia="標楷體"/>
                <w:kern w:val="0"/>
              </w:rPr>
              <w:t>完全導入</w:t>
            </w:r>
            <w:r w:rsidRPr="004D451D">
              <w:rPr>
                <w:rFonts w:eastAsia="標楷體"/>
                <w:kern w:val="0"/>
              </w:rPr>
              <w:t>ECL</w:t>
            </w:r>
            <w:r w:rsidRPr="004D451D">
              <w:rPr>
                <w:rFonts w:eastAsia="標楷體"/>
                <w:kern w:val="0"/>
              </w:rPr>
              <w:t>會計模型之槓桿比率</w:t>
            </w:r>
            <w:r w:rsidRPr="004D451D">
              <w:rPr>
                <w:rFonts w:eastAsia="標楷體"/>
                <w:kern w:val="0"/>
              </w:rPr>
              <w:t>(%)</w:t>
            </w:r>
            <w:r w:rsidRPr="004D451D">
              <w:rPr>
                <w:rFonts w:eastAsia="標楷體" w:hint="eastAsia"/>
                <w:kern w:val="0"/>
              </w:rPr>
              <w:br/>
            </w:r>
            <w:r w:rsidRPr="004D451D">
              <w:rPr>
                <w:rFonts w:eastAsia="標楷體"/>
                <w:kern w:val="0"/>
              </w:rPr>
              <w:t>(</w:t>
            </w:r>
            <w:r w:rsidRPr="004D451D">
              <w:rPr>
                <w:rFonts w:eastAsia="標楷體"/>
                <w:kern w:val="0"/>
              </w:rPr>
              <w:t>本項第</w:t>
            </w:r>
            <w:r w:rsidRPr="004D451D">
              <w:rPr>
                <w:rFonts w:eastAsia="標楷體"/>
                <w:kern w:val="0"/>
              </w:rPr>
              <w:t>2a</w:t>
            </w:r>
            <w:r w:rsidRPr="004D451D">
              <w:rPr>
                <w:rFonts w:eastAsia="標楷體"/>
                <w:kern w:val="0"/>
              </w:rPr>
              <w:t>項</w:t>
            </w:r>
            <w:r w:rsidRPr="004D451D">
              <w:rPr>
                <w:rFonts w:eastAsia="標楷體"/>
                <w:kern w:val="0"/>
              </w:rPr>
              <w:t>/</w:t>
            </w:r>
            <w:r w:rsidRPr="004D451D">
              <w:rPr>
                <w:rFonts w:eastAsia="標楷體"/>
                <w:kern w:val="0"/>
              </w:rPr>
              <w:t>第</w:t>
            </w:r>
            <w:r w:rsidRPr="004D451D">
              <w:rPr>
                <w:rFonts w:eastAsia="標楷體"/>
                <w:kern w:val="0"/>
              </w:rPr>
              <w:t>13</w:t>
            </w:r>
            <w:r w:rsidRPr="004D451D">
              <w:rPr>
                <w:rFonts w:eastAsia="標楷體"/>
                <w:kern w:val="0"/>
              </w:rPr>
              <w:t>項</w:t>
            </w:r>
            <w:r w:rsidRPr="004D451D">
              <w:rPr>
                <w:rFonts w:eastAsia="標楷體"/>
                <w:kern w:val="0"/>
              </w:rPr>
              <w:t>)</w:t>
            </w:r>
          </w:p>
        </w:tc>
        <w:tc>
          <w:tcPr>
            <w:tcW w:w="745" w:type="pct"/>
            <w:shd w:val="clear" w:color="auto" w:fill="auto"/>
            <w:vAlign w:val="center"/>
          </w:tcPr>
          <w:p w:rsidR="001171B2" w:rsidRPr="004D451D" w:rsidRDefault="001171B2" w:rsidP="00FE14A7">
            <w:pPr>
              <w:jc w:val="right"/>
              <w:rPr>
                <w:rFonts w:ascii="Arial" w:eastAsia="標楷體" w:hAnsi="Arial" w:cs="Arial"/>
                <w:sz w:val="22"/>
                <w:szCs w:val="22"/>
              </w:rPr>
            </w:pPr>
            <w:r w:rsidRPr="004D451D">
              <w:rPr>
                <w:rFonts w:ascii="Arial" w:eastAsia="標楷體" w:hAnsi="Arial" w:cs="Arial" w:hint="eastAsia"/>
                <w:sz w:val="22"/>
                <w:szCs w:val="22"/>
              </w:rPr>
              <w:t>11.52%</w:t>
            </w:r>
          </w:p>
        </w:tc>
        <w:tc>
          <w:tcPr>
            <w:tcW w:w="679" w:type="pct"/>
            <w:shd w:val="clear" w:color="auto" w:fill="auto"/>
            <w:vAlign w:val="center"/>
          </w:tcPr>
          <w:p w:rsidR="001171B2" w:rsidRPr="004D451D" w:rsidRDefault="001171B2">
            <w:pPr>
              <w:jc w:val="right"/>
              <w:rPr>
                <w:rFonts w:ascii="Arial" w:eastAsia="標楷體" w:hAnsi="Arial" w:cs="Arial"/>
                <w:sz w:val="22"/>
                <w:szCs w:val="22"/>
              </w:rPr>
            </w:pPr>
            <w:r w:rsidRPr="004D451D">
              <w:rPr>
                <w:rFonts w:ascii="Arial" w:eastAsia="標楷體" w:hAnsi="Arial" w:cs="Arial" w:hint="eastAsia"/>
                <w:sz w:val="22"/>
                <w:szCs w:val="22"/>
              </w:rPr>
              <w:t>11.91%</w:t>
            </w:r>
          </w:p>
        </w:tc>
        <w:tc>
          <w:tcPr>
            <w:tcW w:w="732"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11.85%</w:t>
            </w:r>
          </w:p>
        </w:tc>
        <w:tc>
          <w:tcPr>
            <w:tcW w:w="611"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11.40%</w:t>
            </w:r>
          </w:p>
        </w:tc>
        <w:tc>
          <w:tcPr>
            <w:tcW w:w="617" w:type="pct"/>
            <w:shd w:val="clear" w:color="auto" w:fill="auto"/>
            <w:vAlign w:val="center"/>
          </w:tcPr>
          <w:p w:rsidR="001171B2" w:rsidRPr="004D451D" w:rsidRDefault="001171B2" w:rsidP="00165E05">
            <w:pPr>
              <w:jc w:val="right"/>
              <w:rPr>
                <w:rFonts w:ascii="Arial" w:eastAsia="標楷體" w:hAnsi="Arial" w:cs="Arial"/>
                <w:sz w:val="22"/>
                <w:szCs w:val="22"/>
              </w:rPr>
            </w:pPr>
            <w:r w:rsidRPr="004D451D">
              <w:rPr>
                <w:rFonts w:ascii="Arial" w:eastAsia="標楷體" w:hAnsi="Arial" w:cs="Arial"/>
                <w:sz w:val="22"/>
                <w:szCs w:val="22"/>
              </w:rPr>
              <w:t>11.6</w:t>
            </w:r>
            <w:r w:rsidRPr="004D451D">
              <w:rPr>
                <w:rFonts w:ascii="Arial" w:eastAsia="標楷體" w:hAnsi="Arial" w:cs="Arial" w:hint="eastAsia"/>
                <w:sz w:val="22"/>
                <w:szCs w:val="22"/>
              </w:rPr>
              <w:t>6</w:t>
            </w:r>
            <w:r w:rsidRPr="004D451D">
              <w:rPr>
                <w:rFonts w:ascii="Arial" w:eastAsia="標楷體" w:hAnsi="Arial" w:cs="Arial"/>
                <w:sz w:val="22"/>
                <w:szCs w:val="22"/>
              </w:rPr>
              <w:t>%</w:t>
            </w:r>
          </w:p>
        </w:tc>
      </w:tr>
      <w:tr w:rsidR="004D451D" w:rsidRPr="004D451D" w:rsidTr="00057E8D">
        <w:trPr>
          <w:trHeight w:val="463"/>
        </w:trPr>
        <w:tc>
          <w:tcPr>
            <w:tcW w:w="188" w:type="pct"/>
            <w:shd w:val="clear" w:color="000000" w:fill="D9D9D9"/>
            <w:vAlign w:val="center"/>
            <w:hideMark/>
          </w:tcPr>
          <w:p w:rsidR="00FE14A7" w:rsidRPr="004D451D" w:rsidRDefault="00FE14A7" w:rsidP="00134AEA">
            <w:pPr>
              <w:widowControl/>
              <w:jc w:val="center"/>
              <w:rPr>
                <w:rFonts w:eastAsia="標楷體"/>
                <w:kern w:val="0"/>
              </w:rPr>
            </w:pPr>
          </w:p>
        </w:tc>
        <w:tc>
          <w:tcPr>
            <w:tcW w:w="1429" w:type="pct"/>
            <w:shd w:val="clear" w:color="000000" w:fill="D9D9D9"/>
            <w:vAlign w:val="center"/>
            <w:hideMark/>
          </w:tcPr>
          <w:p w:rsidR="00FE14A7" w:rsidRPr="004D451D" w:rsidRDefault="00FE14A7" w:rsidP="00134AEA">
            <w:pPr>
              <w:widowControl/>
              <w:rPr>
                <w:rFonts w:eastAsia="標楷體"/>
                <w:b/>
                <w:bCs/>
                <w:kern w:val="0"/>
              </w:rPr>
            </w:pPr>
            <w:r w:rsidRPr="004D451D">
              <w:rPr>
                <w:rFonts w:eastAsia="標楷體"/>
                <w:b/>
                <w:bCs/>
                <w:kern w:val="0"/>
              </w:rPr>
              <w:t>流動性覆蓋比率</w:t>
            </w:r>
            <w:r w:rsidRPr="004D451D">
              <w:rPr>
                <w:rFonts w:eastAsia="標楷體"/>
                <w:b/>
                <w:bCs/>
                <w:kern w:val="0"/>
              </w:rPr>
              <w:t>(LCR)</w:t>
            </w:r>
          </w:p>
        </w:tc>
        <w:tc>
          <w:tcPr>
            <w:tcW w:w="745" w:type="pct"/>
            <w:shd w:val="clear" w:color="000000" w:fill="D9D9D9"/>
            <w:vAlign w:val="center"/>
          </w:tcPr>
          <w:p w:rsidR="00FE14A7" w:rsidRPr="004D451D" w:rsidRDefault="00FE14A7" w:rsidP="00BF3D02">
            <w:pPr>
              <w:jc w:val="right"/>
              <w:rPr>
                <w:rFonts w:ascii="Arial" w:eastAsia="標楷體" w:hAnsi="Arial" w:cs="Arial"/>
                <w:sz w:val="22"/>
                <w:szCs w:val="22"/>
              </w:rPr>
            </w:pPr>
          </w:p>
        </w:tc>
        <w:tc>
          <w:tcPr>
            <w:tcW w:w="679" w:type="pct"/>
            <w:shd w:val="clear" w:color="000000" w:fill="D9D9D9"/>
            <w:vAlign w:val="center"/>
          </w:tcPr>
          <w:p w:rsidR="00FE14A7" w:rsidRPr="004D451D" w:rsidRDefault="00FE14A7" w:rsidP="00BF3D02">
            <w:pPr>
              <w:jc w:val="right"/>
              <w:rPr>
                <w:rFonts w:ascii="Arial" w:eastAsia="標楷體" w:hAnsi="Arial" w:cs="Arial"/>
                <w:sz w:val="22"/>
                <w:szCs w:val="22"/>
              </w:rPr>
            </w:pPr>
          </w:p>
        </w:tc>
        <w:tc>
          <w:tcPr>
            <w:tcW w:w="732" w:type="pct"/>
            <w:shd w:val="clear" w:color="000000" w:fill="D9D9D9"/>
            <w:vAlign w:val="center"/>
          </w:tcPr>
          <w:p w:rsidR="00FE14A7" w:rsidRPr="004D451D" w:rsidRDefault="00FE14A7" w:rsidP="00165E05">
            <w:pPr>
              <w:jc w:val="right"/>
              <w:rPr>
                <w:rFonts w:ascii="Arial" w:eastAsia="標楷體" w:hAnsi="Arial" w:cs="Arial"/>
                <w:sz w:val="22"/>
                <w:szCs w:val="22"/>
              </w:rPr>
            </w:pPr>
          </w:p>
        </w:tc>
        <w:tc>
          <w:tcPr>
            <w:tcW w:w="611" w:type="pct"/>
            <w:shd w:val="clear" w:color="000000" w:fill="D9D9D9"/>
            <w:vAlign w:val="center"/>
          </w:tcPr>
          <w:p w:rsidR="00FE14A7" w:rsidRPr="004D451D" w:rsidRDefault="00FE14A7" w:rsidP="00165E05">
            <w:pPr>
              <w:jc w:val="right"/>
              <w:rPr>
                <w:rFonts w:ascii="Arial" w:eastAsia="標楷體" w:hAnsi="Arial" w:cs="Arial"/>
                <w:sz w:val="22"/>
                <w:szCs w:val="22"/>
              </w:rPr>
            </w:pPr>
          </w:p>
        </w:tc>
        <w:tc>
          <w:tcPr>
            <w:tcW w:w="617" w:type="pct"/>
            <w:shd w:val="clear" w:color="000000" w:fill="D9D9D9"/>
            <w:vAlign w:val="center"/>
          </w:tcPr>
          <w:p w:rsidR="00FE14A7" w:rsidRPr="004D451D" w:rsidRDefault="00FE14A7" w:rsidP="00165E05">
            <w:pPr>
              <w:jc w:val="right"/>
              <w:rPr>
                <w:rFonts w:ascii="Arial" w:eastAsia="標楷體" w:hAnsi="Arial" w:cs="Arial"/>
                <w:sz w:val="22"/>
                <w:szCs w:val="22"/>
              </w:rPr>
            </w:pPr>
          </w:p>
        </w:tc>
      </w:tr>
      <w:tr w:rsidR="004D451D" w:rsidRPr="004D451D" w:rsidTr="00057E8D">
        <w:trPr>
          <w:trHeight w:val="765"/>
        </w:trPr>
        <w:tc>
          <w:tcPr>
            <w:tcW w:w="188" w:type="pct"/>
            <w:shd w:val="clear" w:color="auto" w:fill="auto"/>
            <w:vAlign w:val="center"/>
            <w:hideMark/>
          </w:tcPr>
          <w:p w:rsidR="008D3AEE" w:rsidRPr="004D451D" w:rsidRDefault="008D3AEE" w:rsidP="00134AEA">
            <w:pPr>
              <w:widowControl/>
              <w:jc w:val="center"/>
              <w:rPr>
                <w:rFonts w:eastAsia="標楷體"/>
                <w:kern w:val="0"/>
              </w:rPr>
            </w:pPr>
            <w:r w:rsidRPr="004D451D">
              <w:rPr>
                <w:rFonts w:eastAsia="標楷體"/>
                <w:kern w:val="0"/>
              </w:rPr>
              <w:t>15</w:t>
            </w:r>
          </w:p>
        </w:tc>
        <w:tc>
          <w:tcPr>
            <w:tcW w:w="1429" w:type="pct"/>
            <w:shd w:val="clear" w:color="auto" w:fill="auto"/>
            <w:vAlign w:val="center"/>
            <w:hideMark/>
          </w:tcPr>
          <w:p w:rsidR="008D3AEE" w:rsidRPr="004D451D" w:rsidRDefault="008D3AEE" w:rsidP="00134AEA">
            <w:pPr>
              <w:widowControl/>
              <w:rPr>
                <w:rFonts w:eastAsia="標楷體"/>
                <w:kern w:val="0"/>
              </w:rPr>
            </w:pPr>
            <w:r w:rsidRPr="004D451D">
              <w:rPr>
                <w:rFonts w:eastAsia="標楷體"/>
                <w:kern w:val="0"/>
              </w:rPr>
              <w:t>合格高品質流動性資產</w:t>
            </w:r>
            <w:r w:rsidRPr="004D451D">
              <w:rPr>
                <w:rFonts w:eastAsia="標楷體"/>
                <w:kern w:val="0"/>
              </w:rPr>
              <w:t>(HQLA)</w:t>
            </w:r>
            <w:r w:rsidRPr="004D451D">
              <w:rPr>
                <w:rFonts w:eastAsia="標楷體"/>
                <w:kern w:val="0"/>
              </w:rPr>
              <w:t>總額</w:t>
            </w:r>
          </w:p>
        </w:tc>
        <w:tc>
          <w:tcPr>
            <w:tcW w:w="745" w:type="pct"/>
            <w:shd w:val="clear" w:color="auto" w:fill="auto"/>
            <w:vAlign w:val="center"/>
          </w:tcPr>
          <w:p w:rsidR="008D3AEE" w:rsidRPr="004D451D" w:rsidRDefault="008D3AEE" w:rsidP="00A30470">
            <w:pPr>
              <w:jc w:val="right"/>
              <w:rPr>
                <w:rFonts w:ascii="Arial" w:eastAsia="標楷體" w:hAnsi="Arial" w:cs="Arial"/>
                <w:sz w:val="22"/>
                <w:szCs w:val="22"/>
              </w:rPr>
            </w:pPr>
            <w:r w:rsidRPr="004D451D">
              <w:rPr>
                <w:rFonts w:ascii="Arial" w:eastAsia="標楷體" w:hAnsi="Arial" w:cs="Arial" w:hint="eastAsia"/>
                <w:sz w:val="22"/>
                <w:szCs w:val="22"/>
              </w:rPr>
              <w:t xml:space="preserve">58,360,326 </w:t>
            </w:r>
          </w:p>
        </w:tc>
        <w:tc>
          <w:tcPr>
            <w:tcW w:w="679" w:type="pct"/>
            <w:shd w:val="clear" w:color="auto" w:fill="auto"/>
            <w:vAlign w:val="center"/>
          </w:tcPr>
          <w:p w:rsidR="008D3AEE" w:rsidRPr="004D451D" w:rsidRDefault="008D3AEE" w:rsidP="00A30470">
            <w:pPr>
              <w:jc w:val="right"/>
              <w:rPr>
                <w:rFonts w:ascii="Arial" w:eastAsia="標楷體" w:hAnsi="Arial" w:cs="Arial"/>
                <w:sz w:val="22"/>
                <w:szCs w:val="22"/>
              </w:rPr>
            </w:pPr>
            <w:r w:rsidRPr="004D451D">
              <w:rPr>
                <w:rFonts w:ascii="Arial" w:eastAsia="標楷體" w:hAnsi="Arial" w:cs="Arial" w:hint="eastAsia"/>
                <w:sz w:val="22"/>
                <w:szCs w:val="22"/>
              </w:rPr>
              <w:t xml:space="preserve">63,210,256 </w:t>
            </w:r>
          </w:p>
        </w:tc>
        <w:tc>
          <w:tcPr>
            <w:tcW w:w="732"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65,054,235</w:t>
            </w:r>
          </w:p>
        </w:tc>
        <w:tc>
          <w:tcPr>
            <w:tcW w:w="611"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63,959,997</w:t>
            </w:r>
          </w:p>
        </w:tc>
        <w:tc>
          <w:tcPr>
            <w:tcW w:w="617"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62,569,333</w:t>
            </w:r>
          </w:p>
        </w:tc>
      </w:tr>
      <w:tr w:rsidR="004D451D" w:rsidRPr="004D451D" w:rsidTr="00057E8D">
        <w:trPr>
          <w:trHeight w:val="463"/>
        </w:trPr>
        <w:tc>
          <w:tcPr>
            <w:tcW w:w="188" w:type="pct"/>
            <w:shd w:val="clear" w:color="auto" w:fill="auto"/>
            <w:vAlign w:val="center"/>
            <w:hideMark/>
          </w:tcPr>
          <w:p w:rsidR="008D3AEE" w:rsidRPr="004D451D" w:rsidRDefault="008D3AEE" w:rsidP="00134AEA">
            <w:pPr>
              <w:widowControl/>
              <w:jc w:val="center"/>
              <w:rPr>
                <w:rFonts w:eastAsia="標楷體"/>
                <w:kern w:val="0"/>
              </w:rPr>
            </w:pPr>
            <w:r w:rsidRPr="004D451D">
              <w:rPr>
                <w:rFonts w:eastAsia="標楷體"/>
                <w:kern w:val="0"/>
              </w:rPr>
              <w:t>16</w:t>
            </w:r>
          </w:p>
        </w:tc>
        <w:tc>
          <w:tcPr>
            <w:tcW w:w="1429" w:type="pct"/>
            <w:shd w:val="clear" w:color="auto" w:fill="auto"/>
            <w:vAlign w:val="center"/>
            <w:hideMark/>
          </w:tcPr>
          <w:p w:rsidR="008D3AEE" w:rsidRPr="004D451D" w:rsidRDefault="008D3AEE" w:rsidP="00134AEA">
            <w:pPr>
              <w:widowControl/>
              <w:rPr>
                <w:rFonts w:eastAsia="標楷體"/>
                <w:kern w:val="0"/>
              </w:rPr>
            </w:pPr>
            <w:r w:rsidRPr="004D451D">
              <w:rPr>
                <w:rFonts w:eastAsia="標楷體"/>
                <w:kern w:val="0"/>
              </w:rPr>
              <w:t>淨現金流出總額</w:t>
            </w:r>
          </w:p>
        </w:tc>
        <w:tc>
          <w:tcPr>
            <w:tcW w:w="745" w:type="pct"/>
            <w:shd w:val="clear" w:color="auto" w:fill="auto"/>
            <w:vAlign w:val="center"/>
          </w:tcPr>
          <w:p w:rsidR="008D3AEE" w:rsidRPr="004D451D" w:rsidRDefault="008D3AEE" w:rsidP="00A30470">
            <w:pPr>
              <w:jc w:val="right"/>
              <w:rPr>
                <w:rFonts w:ascii="Arial" w:eastAsia="標楷體" w:hAnsi="Arial" w:cs="Arial"/>
                <w:sz w:val="22"/>
                <w:szCs w:val="22"/>
              </w:rPr>
            </w:pPr>
            <w:r w:rsidRPr="004D451D">
              <w:rPr>
                <w:rFonts w:ascii="Arial" w:eastAsia="標楷體" w:hAnsi="Arial" w:cs="Arial" w:hint="eastAsia"/>
                <w:sz w:val="22"/>
                <w:szCs w:val="22"/>
              </w:rPr>
              <w:t xml:space="preserve">44,509,782 </w:t>
            </w:r>
          </w:p>
        </w:tc>
        <w:tc>
          <w:tcPr>
            <w:tcW w:w="679" w:type="pct"/>
            <w:shd w:val="clear" w:color="auto" w:fill="auto"/>
            <w:vAlign w:val="center"/>
          </w:tcPr>
          <w:p w:rsidR="008D3AEE" w:rsidRPr="004D451D" w:rsidRDefault="008D3AEE" w:rsidP="00A30470">
            <w:pPr>
              <w:jc w:val="right"/>
              <w:rPr>
                <w:rFonts w:ascii="Arial" w:eastAsia="標楷體" w:hAnsi="Arial" w:cs="Arial"/>
                <w:sz w:val="22"/>
                <w:szCs w:val="22"/>
              </w:rPr>
            </w:pPr>
            <w:r w:rsidRPr="004D451D">
              <w:rPr>
                <w:rFonts w:ascii="Arial" w:eastAsia="標楷體" w:hAnsi="Arial" w:cs="Arial" w:hint="eastAsia"/>
                <w:sz w:val="22"/>
                <w:szCs w:val="22"/>
              </w:rPr>
              <w:t xml:space="preserve">36,072,626 </w:t>
            </w:r>
          </w:p>
        </w:tc>
        <w:tc>
          <w:tcPr>
            <w:tcW w:w="732"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36,236,418</w:t>
            </w:r>
          </w:p>
        </w:tc>
        <w:tc>
          <w:tcPr>
            <w:tcW w:w="611"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34,647,280</w:t>
            </w:r>
          </w:p>
        </w:tc>
        <w:tc>
          <w:tcPr>
            <w:tcW w:w="617"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34,966,212</w:t>
            </w:r>
          </w:p>
        </w:tc>
      </w:tr>
      <w:tr w:rsidR="004D451D" w:rsidRPr="004D451D" w:rsidTr="00057E8D">
        <w:trPr>
          <w:trHeight w:val="474"/>
        </w:trPr>
        <w:tc>
          <w:tcPr>
            <w:tcW w:w="188" w:type="pct"/>
            <w:shd w:val="clear" w:color="auto" w:fill="auto"/>
            <w:vAlign w:val="center"/>
            <w:hideMark/>
          </w:tcPr>
          <w:p w:rsidR="008D3AEE" w:rsidRPr="004D451D" w:rsidRDefault="008D3AEE" w:rsidP="00134AEA">
            <w:pPr>
              <w:widowControl/>
              <w:jc w:val="center"/>
              <w:rPr>
                <w:rFonts w:eastAsia="標楷體"/>
                <w:kern w:val="0"/>
              </w:rPr>
            </w:pPr>
            <w:r w:rsidRPr="004D451D">
              <w:rPr>
                <w:rFonts w:eastAsia="標楷體"/>
                <w:kern w:val="0"/>
              </w:rPr>
              <w:t>17</w:t>
            </w:r>
          </w:p>
        </w:tc>
        <w:tc>
          <w:tcPr>
            <w:tcW w:w="1429" w:type="pct"/>
            <w:shd w:val="clear" w:color="auto" w:fill="auto"/>
            <w:noWrap/>
            <w:vAlign w:val="center"/>
            <w:hideMark/>
          </w:tcPr>
          <w:p w:rsidR="008D3AEE" w:rsidRPr="004D451D" w:rsidRDefault="008D3AEE" w:rsidP="00134AEA">
            <w:pPr>
              <w:widowControl/>
              <w:rPr>
                <w:rFonts w:eastAsia="標楷體"/>
                <w:kern w:val="0"/>
              </w:rPr>
            </w:pPr>
            <w:r w:rsidRPr="004D451D">
              <w:rPr>
                <w:rFonts w:eastAsia="標楷體"/>
                <w:kern w:val="0"/>
              </w:rPr>
              <w:t>流動性覆蓋比率</w:t>
            </w:r>
            <w:r w:rsidRPr="004D451D">
              <w:rPr>
                <w:rFonts w:eastAsia="標楷體"/>
                <w:kern w:val="0"/>
              </w:rPr>
              <w:t>(%)</w:t>
            </w:r>
          </w:p>
        </w:tc>
        <w:tc>
          <w:tcPr>
            <w:tcW w:w="745" w:type="pct"/>
            <w:shd w:val="clear" w:color="auto" w:fill="auto"/>
            <w:vAlign w:val="center"/>
          </w:tcPr>
          <w:p w:rsidR="008D3AEE" w:rsidRPr="004D451D" w:rsidRDefault="008D3AEE" w:rsidP="008D3AEE">
            <w:pPr>
              <w:jc w:val="right"/>
              <w:rPr>
                <w:rFonts w:ascii="Arial" w:eastAsia="標楷體" w:hAnsi="Arial" w:cs="Arial"/>
                <w:sz w:val="22"/>
                <w:szCs w:val="22"/>
              </w:rPr>
            </w:pPr>
            <w:r w:rsidRPr="004D451D">
              <w:rPr>
                <w:rFonts w:ascii="Arial" w:eastAsia="標楷體" w:hAnsi="Arial" w:cs="Arial" w:hint="eastAsia"/>
                <w:sz w:val="22"/>
                <w:szCs w:val="22"/>
              </w:rPr>
              <w:t>131.12</w:t>
            </w:r>
          </w:p>
        </w:tc>
        <w:tc>
          <w:tcPr>
            <w:tcW w:w="679" w:type="pct"/>
            <w:shd w:val="clear" w:color="auto" w:fill="auto"/>
            <w:vAlign w:val="center"/>
          </w:tcPr>
          <w:p w:rsidR="008D3AEE" w:rsidRPr="004D451D" w:rsidRDefault="008D3AEE" w:rsidP="008D3AEE">
            <w:pPr>
              <w:jc w:val="right"/>
              <w:rPr>
                <w:rFonts w:ascii="Arial" w:eastAsia="標楷體" w:hAnsi="Arial" w:cs="Arial"/>
                <w:sz w:val="22"/>
                <w:szCs w:val="22"/>
              </w:rPr>
            </w:pPr>
            <w:r w:rsidRPr="004D451D">
              <w:rPr>
                <w:rFonts w:ascii="Arial" w:eastAsia="標楷體" w:hAnsi="Arial" w:cs="Arial" w:hint="eastAsia"/>
                <w:sz w:val="22"/>
                <w:szCs w:val="22"/>
              </w:rPr>
              <w:t>175.23</w:t>
            </w:r>
          </w:p>
        </w:tc>
        <w:tc>
          <w:tcPr>
            <w:tcW w:w="732"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179.53</w:t>
            </w:r>
          </w:p>
        </w:tc>
        <w:tc>
          <w:tcPr>
            <w:tcW w:w="611"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184.6</w:t>
            </w:r>
          </w:p>
        </w:tc>
        <w:tc>
          <w:tcPr>
            <w:tcW w:w="617" w:type="pct"/>
            <w:shd w:val="clear" w:color="auto" w:fill="auto"/>
            <w:vAlign w:val="center"/>
          </w:tcPr>
          <w:p w:rsidR="008D3AEE" w:rsidRPr="004D451D" w:rsidRDefault="008D3AEE" w:rsidP="00165E05">
            <w:pPr>
              <w:jc w:val="right"/>
              <w:rPr>
                <w:rFonts w:ascii="Arial" w:eastAsia="標楷體" w:hAnsi="Arial" w:cs="Arial"/>
                <w:sz w:val="22"/>
                <w:szCs w:val="22"/>
              </w:rPr>
            </w:pPr>
            <w:r w:rsidRPr="004D451D">
              <w:rPr>
                <w:rFonts w:ascii="Arial" w:eastAsia="標楷體" w:hAnsi="Arial" w:cs="Arial" w:hint="eastAsia"/>
                <w:sz w:val="22"/>
                <w:szCs w:val="22"/>
              </w:rPr>
              <w:t>178.94</w:t>
            </w:r>
          </w:p>
        </w:tc>
      </w:tr>
      <w:tr w:rsidR="004D451D" w:rsidRPr="004D451D" w:rsidTr="00057E8D">
        <w:trPr>
          <w:trHeight w:val="412"/>
        </w:trPr>
        <w:tc>
          <w:tcPr>
            <w:tcW w:w="188" w:type="pct"/>
            <w:shd w:val="clear" w:color="000000" w:fill="D9D9D9"/>
            <w:vAlign w:val="center"/>
            <w:hideMark/>
          </w:tcPr>
          <w:p w:rsidR="008D3AEE" w:rsidRPr="004D451D" w:rsidRDefault="008D3AEE" w:rsidP="00134AEA">
            <w:pPr>
              <w:widowControl/>
              <w:jc w:val="center"/>
              <w:rPr>
                <w:rFonts w:eastAsia="標楷體"/>
                <w:b/>
                <w:bCs/>
                <w:kern w:val="0"/>
              </w:rPr>
            </w:pPr>
          </w:p>
        </w:tc>
        <w:tc>
          <w:tcPr>
            <w:tcW w:w="1429" w:type="pct"/>
            <w:shd w:val="clear" w:color="000000" w:fill="D9D9D9"/>
            <w:vAlign w:val="center"/>
            <w:hideMark/>
          </w:tcPr>
          <w:p w:rsidR="008D3AEE" w:rsidRPr="004D451D" w:rsidRDefault="008D3AEE" w:rsidP="00134AEA">
            <w:pPr>
              <w:widowControl/>
              <w:rPr>
                <w:rFonts w:eastAsia="標楷體"/>
                <w:b/>
                <w:bCs/>
                <w:kern w:val="0"/>
              </w:rPr>
            </w:pPr>
            <w:r w:rsidRPr="004D451D">
              <w:rPr>
                <w:rFonts w:eastAsia="標楷體"/>
                <w:b/>
                <w:bCs/>
                <w:kern w:val="0"/>
              </w:rPr>
              <w:t>淨穩定資金比率</w:t>
            </w:r>
            <w:r w:rsidRPr="004D451D">
              <w:rPr>
                <w:rFonts w:eastAsia="標楷體"/>
                <w:b/>
                <w:bCs/>
                <w:kern w:val="0"/>
              </w:rPr>
              <w:t>(NSFR)</w:t>
            </w:r>
          </w:p>
        </w:tc>
        <w:tc>
          <w:tcPr>
            <w:tcW w:w="745" w:type="pct"/>
            <w:shd w:val="clear" w:color="000000" w:fill="D9D9D9"/>
            <w:vAlign w:val="center"/>
          </w:tcPr>
          <w:p w:rsidR="008D3AEE" w:rsidRPr="004D451D" w:rsidRDefault="008D3AEE" w:rsidP="0031262F">
            <w:pPr>
              <w:widowControl/>
              <w:jc w:val="right"/>
              <w:rPr>
                <w:rFonts w:eastAsia="標楷體"/>
                <w:b/>
                <w:bCs/>
                <w:kern w:val="0"/>
              </w:rPr>
            </w:pPr>
          </w:p>
        </w:tc>
        <w:tc>
          <w:tcPr>
            <w:tcW w:w="679" w:type="pct"/>
            <w:shd w:val="clear" w:color="000000" w:fill="D9D9D9"/>
            <w:vAlign w:val="center"/>
          </w:tcPr>
          <w:p w:rsidR="008D3AEE" w:rsidRPr="004D451D" w:rsidRDefault="008D3AEE" w:rsidP="0031262F">
            <w:pPr>
              <w:widowControl/>
              <w:jc w:val="right"/>
              <w:rPr>
                <w:rFonts w:eastAsia="標楷體"/>
                <w:b/>
                <w:bCs/>
                <w:kern w:val="0"/>
              </w:rPr>
            </w:pPr>
          </w:p>
        </w:tc>
        <w:tc>
          <w:tcPr>
            <w:tcW w:w="732" w:type="pct"/>
            <w:shd w:val="clear" w:color="000000" w:fill="D9D9D9"/>
            <w:vAlign w:val="center"/>
          </w:tcPr>
          <w:p w:rsidR="008D3AEE" w:rsidRPr="004D451D" w:rsidRDefault="008D3AEE" w:rsidP="0031262F">
            <w:pPr>
              <w:widowControl/>
              <w:jc w:val="right"/>
              <w:rPr>
                <w:rFonts w:eastAsia="標楷體"/>
                <w:b/>
                <w:bCs/>
                <w:kern w:val="0"/>
              </w:rPr>
            </w:pPr>
          </w:p>
        </w:tc>
        <w:tc>
          <w:tcPr>
            <w:tcW w:w="611" w:type="pct"/>
            <w:shd w:val="clear" w:color="000000" w:fill="D9D9D9"/>
            <w:vAlign w:val="center"/>
          </w:tcPr>
          <w:p w:rsidR="008D3AEE" w:rsidRPr="004D451D" w:rsidRDefault="008D3AEE" w:rsidP="0031262F">
            <w:pPr>
              <w:widowControl/>
              <w:jc w:val="right"/>
              <w:rPr>
                <w:rFonts w:eastAsia="標楷體"/>
                <w:b/>
                <w:bCs/>
                <w:kern w:val="0"/>
              </w:rPr>
            </w:pPr>
          </w:p>
        </w:tc>
        <w:tc>
          <w:tcPr>
            <w:tcW w:w="617" w:type="pct"/>
            <w:shd w:val="clear" w:color="000000" w:fill="D9D9D9"/>
            <w:vAlign w:val="center"/>
          </w:tcPr>
          <w:p w:rsidR="008D3AEE" w:rsidRPr="004D451D" w:rsidRDefault="008D3AEE" w:rsidP="0031262F">
            <w:pPr>
              <w:jc w:val="right"/>
            </w:pPr>
            <w:r w:rsidRPr="004D451D">
              <w:t xml:space="preserve">　</w:t>
            </w:r>
          </w:p>
        </w:tc>
      </w:tr>
      <w:tr w:rsidR="004D451D" w:rsidRPr="004D451D" w:rsidTr="00057E8D">
        <w:trPr>
          <w:trHeight w:val="412"/>
        </w:trPr>
        <w:tc>
          <w:tcPr>
            <w:tcW w:w="188" w:type="pct"/>
            <w:shd w:val="clear" w:color="auto" w:fill="auto"/>
            <w:vAlign w:val="center"/>
            <w:hideMark/>
          </w:tcPr>
          <w:p w:rsidR="008D3AEE" w:rsidRPr="004D451D" w:rsidRDefault="008D3AEE" w:rsidP="00134AEA">
            <w:pPr>
              <w:widowControl/>
              <w:jc w:val="center"/>
              <w:rPr>
                <w:rFonts w:eastAsia="標楷體"/>
                <w:kern w:val="0"/>
              </w:rPr>
            </w:pPr>
            <w:r w:rsidRPr="004D451D">
              <w:rPr>
                <w:rFonts w:eastAsia="標楷體"/>
                <w:kern w:val="0"/>
              </w:rPr>
              <w:t>18</w:t>
            </w:r>
          </w:p>
        </w:tc>
        <w:tc>
          <w:tcPr>
            <w:tcW w:w="1429" w:type="pct"/>
            <w:shd w:val="clear" w:color="auto" w:fill="auto"/>
            <w:vAlign w:val="center"/>
            <w:hideMark/>
          </w:tcPr>
          <w:p w:rsidR="008D3AEE" w:rsidRPr="004D451D" w:rsidRDefault="008D3AEE" w:rsidP="00134AEA">
            <w:pPr>
              <w:widowControl/>
              <w:rPr>
                <w:rFonts w:eastAsia="標楷體"/>
                <w:kern w:val="0"/>
              </w:rPr>
            </w:pPr>
            <w:r w:rsidRPr="004D451D">
              <w:rPr>
                <w:rFonts w:eastAsia="標楷體"/>
                <w:kern w:val="0"/>
              </w:rPr>
              <w:t>可用穩定資金總額</w:t>
            </w:r>
          </w:p>
        </w:tc>
        <w:tc>
          <w:tcPr>
            <w:tcW w:w="745" w:type="pct"/>
            <w:shd w:val="clear" w:color="auto" w:fill="auto"/>
            <w:vAlign w:val="center"/>
          </w:tcPr>
          <w:p w:rsidR="008D3AEE" w:rsidRPr="004D451D" w:rsidRDefault="00057E8D" w:rsidP="00057E8D">
            <w:pPr>
              <w:jc w:val="right"/>
              <w:rPr>
                <w:rFonts w:ascii="Arial" w:eastAsia="標楷體" w:hAnsi="Arial" w:cs="Arial"/>
                <w:sz w:val="22"/>
                <w:szCs w:val="22"/>
              </w:rPr>
            </w:pPr>
            <w:r w:rsidRPr="004D451D">
              <w:rPr>
                <w:rFonts w:ascii="Arial" w:eastAsia="標楷體" w:hAnsi="Arial" w:cs="Arial" w:hint="eastAsia"/>
                <w:sz w:val="22"/>
                <w:szCs w:val="22"/>
              </w:rPr>
              <w:t>194,168,326</w:t>
            </w:r>
          </w:p>
        </w:tc>
        <w:tc>
          <w:tcPr>
            <w:tcW w:w="679" w:type="pct"/>
            <w:shd w:val="clear" w:color="auto" w:fill="auto"/>
            <w:vAlign w:val="center"/>
          </w:tcPr>
          <w:p w:rsidR="008D3AEE" w:rsidRPr="004D451D" w:rsidRDefault="00057E8D" w:rsidP="00057E8D">
            <w:pPr>
              <w:jc w:val="right"/>
              <w:rPr>
                <w:rFonts w:ascii="Arial" w:eastAsia="標楷體" w:hAnsi="Arial" w:cs="Arial"/>
                <w:sz w:val="22"/>
                <w:szCs w:val="22"/>
              </w:rPr>
            </w:pPr>
            <w:r w:rsidRPr="004D451D">
              <w:rPr>
                <w:rFonts w:ascii="Arial" w:eastAsia="標楷體" w:hAnsi="Arial" w:cs="Arial" w:hint="eastAsia"/>
                <w:sz w:val="22"/>
                <w:szCs w:val="22"/>
              </w:rPr>
              <w:t>193,666,422</w:t>
            </w:r>
            <w:r w:rsidR="008D3AEE" w:rsidRPr="004D451D">
              <w:rPr>
                <w:rFonts w:ascii="Arial" w:eastAsia="標楷體" w:hAnsi="Arial" w:cs="Arial"/>
                <w:noProof/>
                <w:sz w:val="22"/>
                <w:szCs w:val="22"/>
              </w:rPr>
              <mc:AlternateContent>
                <mc:Choice Requires="wps">
                  <w:drawing>
                    <wp:anchor distT="0" distB="0" distL="114300" distR="114300" simplePos="0" relativeHeight="251665408" behindDoc="0" locked="0" layoutInCell="1" allowOverlap="1" wp14:anchorId="397F284E" wp14:editId="5E3A140C">
                      <wp:simplePos x="0" y="0"/>
                      <wp:positionH relativeFrom="column">
                        <wp:posOffset>836930</wp:posOffset>
                      </wp:positionH>
                      <wp:positionV relativeFrom="paragraph">
                        <wp:posOffset>-3810</wp:posOffset>
                      </wp:positionV>
                      <wp:extent cx="2830195" cy="848995"/>
                      <wp:effectExtent l="0" t="0" r="27305" b="27305"/>
                      <wp:wrapNone/>
                      <wp:docPr id="2" name="直線接點 2"/>
                      <wp:cNvGraphicFramePr/>
                      <a:graphic xmlns:a="http://schemas.openxmlformats.org/drawingml/2006/main">
                        <a:graphicData uri="http://schemas.microsoft.com/office/word/2010/wordprocessingShape">
                          <wps:wsp>
                            <wps:cNvCnPr/>
                            <wps:spPr>
                              <a:xfrm>
                                <a:off x="0" y="0"/>
                                <a:ext cx="2830195" cy="84899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3pt" to="288.7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ywEAAL0DAAAOAAAAZHJzL2Uyb0RvYy54bWysU0uO1DAQ3SNxB8t7Oh8+6ok6PYsZwQZB&#10;i88BPE65Y+GfbNNJX4IDgMSOGyCxmPsw4haUnXQGAUIIsXFcn/eqXrmyOR+1IgfwQVrT0mpVUgKG&#10;206afUtfv3p8b01JiMx0TFkDLT1CoOfbu3c2g2ugtr1VHXiCJCY0g2tpH6NriiLwHjQLK+vAYFBY&#10;r1lE0++LzrMB2bUq6rJ8VAzWd85bDiGg93IK0m3mFwJ4fC5EgEhUS7G3mE+fz6t0FtsNa/aeuV7y&#10;uQ32D11oJg0WXaguWWTkrZe/UGnJvQ1WxBW3urBCSA5ZA6qpyp/UvOyZg6wFhxPcMqbw/2j5s8PO&#10;E9m1tKbEMI1PdPPh882X91/fffp2/ZHUaUKDCw0mXpidn63gdj7JHYXX6YtCyJinelymCmMkHJ31&#10;+n5ZnT2khGNs/WB9hnekKW7Rzof4BKwm6dJSJU1SzRp2eBrilHpKSW5lki81NbWRb/GoYAq+AIGC&#10;sHCVSfIqwYXy5MBwCbo31VxdGcxMECGVWkDln0FzboJBXq+/BS7ZuaI1cQFqaaz/XdU4nloVU/5J&#10;9aQ1yb6y3TE/Sh4H7kie67zPaQl/tDP89q/bfgcAAP//AwBQSwMEFAAGAAgAAAAhAGAeUs3eAAAA&#10;CQEAAA8AAABkcnMvZG93bnJldi54bWxMj8tugzAQRfeV+g/WVOouMTRKiAgmqvpYtQtKu+jSwRNA&#10;wWOEHaD9+k5WzfLqjO49k+1n24kRB986UhAvIxBIlTMt1Qq+Pl8XWxA+aDK6c4QKftDDPr+9yXRq&#10;3EQfOJahFlxCPtUKmhD6VEpfNWi1X7oeidnRDVYHjkMtzaAnLredfIiijbS6JV5odI9PDVan8mwV&#10;JC9vZdFPz++/hUxkUYwubE/fSt3fzY87EAHn8H8MF31Wh5ydDu5MxouO8ypm9aBgsQHBfJ0kaxCH&#10;C1jFIPNMXn+Q/wEAAP//AwBQSwECLQAUAAYACAAAACEAtoM4kv4AAADhAQAAEwAAAAAAAAAAAAAA&#10;AAAAAAAAW0NvbnRlbnRfVHlwZXNdLnhtbFBLAQItABQABgAIAAAAIQA4/SH/1gAAAJQBAAALAAAA&#10;AAAAAAAAAAAAAC8BAABfcmVscy8ucmVsc1BLAQItABQABgAIAAAAIQAm5+F+ywEAAL0DAAAOAAAA&#10;AAAAAAAAAAAAAC4CAABkcnMvZTJvRG9jLnhtbFBLAQItABQABgAIAAAAIQBgHlLN3gAAAAkBAAAP&#10;AAAAAAAAAAAAAAAAACUEAABkcnMvZG93bnJldi54bWxQSwUGAAAAAAQABADzAAAAMAUAAAAA&#10;" strokecolor="black [3040]"/>
                  </w:pict>
                </mc:Fallback>
              </mc:AlternateContent>
            </w:r>
          </w:p>
        </w:tc>
        <w:tc>
          <w:tcPr>
            <w:tcW w:w="732" w:type="pct"/>
            <w:shd w:val="clear" w:color="auto" w:fill="auto"/>
            <w:vAlign w:val="center"/>
          </w:tcPr>
          <w:p w:rsidR="008D3AEE" w:rsidRPr="004D451D" w:rsidRDefault="008D3AEE" w:rsidP="0031262F">
            <w:pPr>
              <w:widowControl/>
              <w:jc w:val="right"/>
              <w:rPr>
                <w:rFonts w:eastAsia="標楷體"/>
                <w:kern w:val="0"/>
              </w:rPr>
            </w:pPr>
          </w:p>
        </w:tc>
        <w:tc>
          <w:tcPr>
            <w:tcW w:w="611" w:type="pct"/>
            <w:shd w:val="clear" w:color="auto" w:fill="auto"/>
            <w:vAlign w:val="center"/>
          </w:tcPr>
          <w:p w:rsidR="008D3AEE" w:rsidRPr="004D451D" w:rsidRDefault="008D3AEE" w:rsidP="0031262F">
            <w:pPr>
              <w:widowControl/>
              <w:jc w:val="right"/>
              <w:rPr>
                <w:rFonts w:eastAsia="標楷體"/>
                <w:kern w:val="0"/>
              </w:rPr>
            </w:pPr>
          </w:p>
        </w:tc>
        <w:tc>
          <w:tcPr>
            <w:tcW w:w="617" w:type="pct"/>
            <w:shd w:val="clear" w:color="auto" w:fill="auto"/>
            <w:vAlign w:val="center"/>
          </w:tcPr>
          <w:p w:rsidR="008D3AEE" w:rsidRPr="004D451D" w:rsidRDefault="008D3AEE" w:rsidP="0031262F">
            <w:pPr>
              <w:jc w:val="right"/>
            </w:pPr>
          </w:p>
        </w:tc>
      </w:tr>
      <w:tr w:rsidR="004D451D" w:rsidRPr="004D451D" w:rsidTr="00057E8D">
        <w:trPr>
          <w:trHeight w:val="382"/>
        </w:trPr>
        <w:tc>
          <w:tcPr>
            <w:tcW w:w="188" w:type="pct"/>
            <w:shd w:val="clear" w:color="auto" w:fill="auto"/>
            <w:vAlign w:val="center"/>
            <w:hideMark/>
          </w:tcPr>
          <w:p w:rsidR="00057E8D" w:rsidRPr="004D451D" w:rsidRDefault="00057E8D" w:rsidP="00134AEA">
            <w:pPr>
              <w:widowControl/>
              <w:jc w:val="center"/>
              <w:rPr>
                <w:rFonts w:eastAsia="標楷體"/>
                <w:kern w:val="0"/>
              </w:rPr>
            </w:pPr>
            <w:r w:rsidRPr="004D451D">
              <w:rPr>
                <w:rFonts w:eastAsia="標楷體"/>
                <w:kern w:val="0"/>
              </w:rPr>
              <w:t>19</w:t>
            </w:r>
          </w:p>
        </w:tc>
        <w:tc>
          <w:tcPr>
            <w:tcW w:w="1429" w:type="pct"/>
            <w:shd w:val="clear" w:color="auto" w:fill="auto"/>
            <w:vAlign w:val="center"/>
            <w:hideMark/>
          </w:tcPr>
          <w:p w:rsidR="00057E8D" w:rsidRPr="004D451D" w:rsidRDefault="00057E8D" w:rsidP="00134AEA">
            <w:pPr>
              <w:widowControl/>
              <w:rPr>
                <w:rFonts w:eastAsia="標楷體"/>
                <w:kern w:val="0"/>
              </w:rPr>
            </w:pPr>
            <w:r w:rsidRPr="004D451D">
              <w:rPr>
                <w:rFonts w:eastAsia="標楷體"/>
                <w:kern w:val="0"/>
              </w:rPr>
              <w:t>應有穩定資金總額</w:t>
            </w:r>
          </w:p>
        </w:tc>
        <w:tc>
          <w:tcPr>
            <w:tcW w:w="745" w:type="pct"/>
            <w:shd w:val="clear" w:color="auto" w:fill="auto"/>
            <w:vAlign w:val="center"/>
          </w:tcPr>
          <w:p w:rsidR="00057E8D" w:rsidRPr="004D451D" w:rsidRDefault="00057E8D" w:rsidP="00057E8D">
            <w:pPr>
              <w:jc w:val="right"/>
              <w:rPr>
                <w:rFonts w:ascii="Arial" w:eastAsia="標楷體" w:hAnsi="Arial" w:cs="Arial"/>
                <w:sz w:val="22"/>
                <w:szCs w:val="22"/>
              </w:rPr>
            </w:pPr>
            <w:r w:rsidRPr="004D451D">
              <w:rPr>
                <w:rFonts w:ascii="Arial" w:eastAsia="標楷體" w:hAnsi="Arial" w:cs="Arial" w:hint="eastAsia"/>
                <w:sz w:val="22"/>
                <w:szCs w:val="22"/>
              </w:rPr>
              <w:t>163,767,097</w:t>
            </w:r>
          </w:p>
        </w:tc>
        <w:tc>
          <w:tcPr>
            <w:tcW w:w="679" w:type="pct"/>
            <w:shd w:val="clear" w:color="auto" w:fill="auto"/>
            <w:vAlign w:val="center"/>
          </w:tcPr>
          <w:p w:rsidR="00057E8D" w:rsidRPr="004D451D" w:rsidRDefault="00057E8D" w:rsidP="00057E8D">
            <w:pPr>
              <w:jc w:val="right"/>
              <w:rPr>
                <w:rFonts w:ascii="Arial" w:eastAsia="標楷體" w:hAnsi="Arial" w:cs="Arial"/>
                <w:sz w:val="22"/>
                <w:szCs w:val="22"/>
              </w:rPr>
            </w:pPr>
            <w:r w:rsidRPr="004D451D">
              <w:rPr>
                <w:rFonts w:ascii="Arial" w:eastAsia="標楷體" w:hAnsi="Arial" w:cs="Arial" w:hint="eastAsia"/>
                <w:sz w:val="22"/>
                <w:szCs w:val="22"/>
              </w:rPr>
              <w:t>156,592,586</w:t>
            </w:r>
          </w:p>
        </w:tc>
        <w:tc>
          <w:tcPr>
            <w:tcW w:w="732" w:type="pct"/>
            <w:shd w:val="clear" w:color="auto" w:fill="auto"/>
            <w:vAlign w:val="center"/>
          </w:tcPr>
          <w:p w:rsidR="00057E8D" w:rsidRPr="004D451D" w:rsidRDefault="00057E8D" w:rsidP="0031262F">
            <w:pPr>
              <w:widowControl/>
              <w:jc w:val="right"/>
              <w:rPr>
                <w:rFonts w:eastAsia="標楷體"/>
                <w:kern w:val="0"/>
              </w:rPr>
            </w:pPr>
          </w:p>
        </w:tc>
        <w:tc>
          <w:tcPr>
            <w:tcW w:w="611" w:type="pct"/>
            <w:shd w:val="clear" w:color="auto" w:fill="auto"/>
            <w:vAlign w:val="center"/>
          </w:tcPr>
          <w:p w:rsidR="00057E8D" w:rsidRPr="004D451D" w:rsidRDefault="00057E8D" w:rsidP="0031262F">
            <w:pPr>
              <w:widowControl/>
              <w:jc w:val="right"/>
              <w:rPr>
                <w:rFonts w:eastAsia="標楷體"/>
                <w:kern w:val="0"/>
              </w:rPr>
            </w:pPr>
          </w:p>
        </w:tc>
        <w:tc>
          <w:tcPr>
            <w:tcW w:w="617" w:type="pct"/>
            <w:shd w:val="clear" w:color="auto" w:fill="auto"/>
            <w:vAlign w:val="center"/>
          </w:tcPr>
          <w:p w:rsidR="00057E8D" w:rsidRPr="004D451D" w:rsidRDefault="00057E8D" w:rsidP="0031262F">
            <w:pPr>
              <w:jc w:val="right"/>
            </w:pPr>
          </w:p>
        </w:tc>
      </w:tr>
      <w:tr w:rsidR="004D451D" w:rsidRPr="004D451D" w:rsidTr="00057E8D">
        <w:trPr>
          <w:trHeight w:val="459"/>
        </w:trPr>
        <w:tc>
          <w:tcPr>
            <w:tcW w:w="188" w:type="pct"/>
            <w:shd w:val="clear" w:color="auto" w:fill="auto"/>
            <w:vAlign w:val="center"/>
            <w:hideMark/>
          </w:tcPr>
          <w:p w:rsidR="00057E8D" w:rsidRPr="004D451D" w:rsidRDefault="00057E8D" w:rsidP="00134AEA">
            <w:pPr>
              <w:widowControl/>
              <w:jc w:val="center"/>
              <w:rPr>
                <w:rFonts w:eastAsia="標楷體"/>
                <w:kern w:val="0"/>
              </w:rPr>
            </w:pPr>
            <w:r w:rsidRPr="004D451D">
              <w:rPr>
                <w:rFonts w:eastAsia="標楷體"/>
                <w:kern w:val="0"/>
              </w:rPr>
              <w:t>20</w:t>
            </w:r>
          </w:p>
        </w:tc>
        <w:tc>
          <w:tcPr>
            <w:tcW w:w="1429" w:type="pct"/>
            <w:shd w:val="clear" w:color="auto" w:fill="auto"/>
            <w:vAlign w:val="center"/>
            <w:hideMark/>
          </w:tcPr>
          <w:p w:rsidR="00057E8D" w:rsidRPr="004D451D" w:rsidRDefault="00057E8D" w:rsidP="00134AEA">
            <w:pPr>
              <w:widowControl/>
              <w:rPr>
                <w:rFonts w:eastAsia="標楷體"/>
                <w:kern w:val="0"/>
              </w:rPr>
            </w:pPr>
            <w:r w:rsidRPr="004D451D">
              <w:rPr>
                <w:rFonts w:eastAsia="標楷體"/>
                <w:kern w:val="0"/>
              </w:rPr>
              <w:t>淨穩定資金比率</w:t>
            </w:r>
            <w:r w:rsidRPr="004D451D">
              <w:rPr>
                <w:rFonts w:eastAsia="標楷體"/>
                <w:kern w:val="0"/>
              </w:rPr>
              <w:t>(%)</w:t>
            </w:r>
          </w:p>
        </w:tc>
        <w:tc>
          <w:tcPr>
            <w:tcW w:w="745" w:type="pct"/>
            <w:shd w:val="clear" w:color="auto" w:fill="auto"/>
            <w:vAlign w:val="center"/>
          </w:tcPr>
          <w:p w:rsidR="00057E8D" w:rsidRPr="004D451D" w:rsidRDefault="00057E8D" w:rsidP="00057E8D">
            <w:pPr>
              <w:jc w:val="right"/>
              <w:rPr>
                <w:rFonts w:ascii="Arial" w:eastAsia="標楷體" w:hAnsi="Arial" w:cs="Arial"/>
                <w:sz w:val="22"/>
                <w:szCs w:val="22"/>
              </w:rPr>
            </w:pPr>
            <w:r w:rsidRPr="004D451D">
              <w:rPr>
                <w:rFonts w:ascii="Arial" w:eastAsia="標楷體" w:hAnsi="Arial" w:cs="Arial" w:hint="eastAsia"/>
                <w:sz w:val="22"/>
                <w:szCs w:val="22"/>
              </w:rPr>
              <w:t>118.56%</w:t>
            </w:r>
          </w:p>
        </w:tc>
        <w:tc>
          <w:tcPr>
            <w:tcW w:w="679" w:type="pct"/>
            <w:shd w:val="clear" w:color="auto" w:fill="auto"/>
            <w:vAlign w:val="center"/>
          </w:tcPr>
          <w:p w:rsidR="00057E8D" w:rsidRPr="004D451D" w:rsidRDefault="00057E8D" w:rsidP="00057E8D">
            <w:pPr>
              <w:jc w:val="right"/>
              <w:rPr>
                <w:rFonts w:ascii="Arial" w:eastAsia="標楷體" w:hAnsi="Arial" w:cs="Arial"/>
                <w:sz w:val="22"/>
                <w:szCs w:val="22"/>
              </w:rPr>
            </w:pPr>
            <w:r w:rsidRPr="004D451D">
              <w:rPr>
                <w:rFonts w:ascii="Arial" w:eastAsia="標楷體" w:hAnsi="Arial" w:cs="Arial" w:hint="eastAsia"/>
                <w:sz w:val="22"/>
                <w:szCs w:val="22"/>
              </w:rPr>
              <w:t>123.68%</w:t>
            </w:r>
          </w:p>
        </w:tc>
        <w:tc>
          <w:tcPr>
            <w:tcW w:w="732" w:type="pct"/>
            <w:shd w:val="clear" w:color="auto" w:fill="auto"/>
            <w:vAlign w:val="center"/>
          </w:tcPr>
          <w:p w:rsidR="00057E8D" w:rsidRPr="004D451D" w:rsidRDefault="00057E8D" w:rsidP="0031262F">
            <w:pPr>
              <w:widowControl/>
              <w:jc w:val="right"/>
              <w:rPr>
                <w:rFonts w:eastAsia="標楷體"/>
                <w:kern w:val="0"/>
              </w:rPr>
            </w:pPr>
          </w:p>
        </w:tc>
        <w:tc>
          <w:tcPr>
            <w:tcW w:w="611" w:type="pct"/>
            <w:shd w:val="clear" w:color="auto" w:fill="auto"/>
            <w:vAlign w:val="center"/>
          </w:tcPr>
          <w:p w:rsidR="00057E8D" w:rsidRPr="004D451D" w:rsidRDefault="00057E8D" w:rsidP="0031262F">
            <w:pPr>
              <w:widowControl/>
              <w:jc w:val="right"/>
              <w:rPr>
                <w:rFonts w:eastAsia="標楷體"/>
                <w:kern w:val="0"/>
              </w:rPr>
            </w:pPr>
          </w:p>
        </w:tc>
        <w:tc>
          <w:tcPr>
            <w:tcW w:w="617" w:type="pct"/>
            <w:shd w:val="clear" w:color="auto" w:fill="auto"/>
            <w:vAlign w:val="center"/>
          </w:tcPr>
          <w:p w:rsidR="00057E8D" w:rsidRPr="004D451D" w:rsidRDefault="00057E8D" w:rsidP="0031262F">
            <w:pPr>
              <w:jc w:val="right"/>
            </w:pPr>
          </w:p>
        </w:tc>
      </w:tr>
      <w:tr w:rsidR="004D451D" w:rsidRPr="004D451D" w:rsidTr="0031262F">
        <w:trPr>
          <w:trHeight w:val="412"/>
        </w:trPr>
        <w:tc>
          <w:tcPr>
            <w:tcW w:w="5000" w:type="pct"/>
            <w:gridSpan w:val="7"/>
            <w:shd w:val="clear" w:color="auto" w:fill="auto"/>
            <w:hideMark/>
          </w:tcPr>
          <w:p w:rsidR="00057E8D" w:rsidRPr="004D451D" w:rsidRDefault="00057E8D" w:rsidP="00134AEA">
            <w:pPr>
              <w:widowControl/>
              <w:rPr>
                <w:rFonts w:eastAsia="標楷體"/>
                <w:kern w:val="0"/>
              </w:rPr>
            </w:pPr>
            <w:r w:rsidRPr="004D451D">
              <w:rPr>
                <w:rFonts w:eastAsia="標楷體"/>
                <w:kern w:val="0"/>
              </w:rPr>
              <w:t>重大變動原因及說明：</w:t>
            </w:r>
          </w:p>
          <w:p w:rsidR="00057E8D" w:rsidRPr="004D451D" w:rsidRDefault="00057E8D" w:rsidP="00CC7294">
            <w:pPr>
              <w:rPr>
                <w:rFonts w:ascii="標楷體" w:eastAsia="標楷體" w:hAnsi="標楷體" w:cs="標楷體"/>
                <w:kern w:val="0"/>
                <w:sz w:val="20"/>
                <w:szCs w:val="20"/>
              </w:rPr>
            </w:pPr>
            <w:r w:rsidRPr="004D451D">
              <w:rPr>
                <w:rFonts w:ascii="標楷體" w:eastAsia="標楷體" w:hAnsi="標楷體"/>
                <w:bCs/>
                <w:kern w:val="0"/>
                <w:sz w:val="20"/>
                <w:szCs w:val="20"/>
              </w:rPr>
              <w:t>淨穩定資金比率(NSFR)</w:t>
            </w:r>
            <w:r w:rsidRPr="004D451D">
              <w:rPr>
                <w:rFonts w:ascii="標楷體" w:eastAsia="標楷體" w:hAnsi="標楷體" w:cs="標楷體"/>
                <w:kern w:val="0"/>
                <w:sz w:val="20"/>
                <w:szCs w:val="20"/>
              </w:rPr>
              <w:t>實施標準</w:t>
            </w:r>
            <w:r w:rsidRPr="004D451D">
              <w:rPr>
                <w:rFonts w:ascii="標楷體" w:eastAsia="標楷體" w:hAnsi="標楷體" w:hint="eastAsia"/>
                <w:bCs/>
                <w:kern w:val="0"/>
                <w:sz w:val="20"/>
                <w:szCs w:val="20"/>
              </w:rPr>
              <w:t>自</w:t>
            </w:r>
            <w:r w:rsidRPr="004D451D">
              <w:rPr>
                <w:rFonts w:ascii="標楷體" w:eastAsia="標楷體" w:hAnsi="標楷體" w:cs="標楷體"/>
                <w:kern w:val="0"/>
                <w:sz w:val="20"/>
                <w:szCs w:val="20"/>
              </w:rPr>
              <w:t>中華民國一百零七年一月一日施行。</w:t>
            </w:r>
          </w:p>
          <w:p w:rsidR="00057E8D" w:rsidRPr="004D451D" w:rsidRDefault="00057E8D" w:rsidP="00134AEA">
            <w:pPr>
              <w:widowControl/>
              <w:rPr>
                <w:rFonts w:eastAsia="標楷體"/>
                <w:kern w:val="0"/>
              </w:rPr>
            </w:pPr>
          </w:p>
          <w:p w:rsidR="00057E8D" w:rsidRPr="004D451D" w:rsidRDefault="00057E8D" w:rsidP="00134AEA">
            <w:pPr>
              <w:widowControl/>
              <w:rPr>
                <w:rFonts w:eastAsia="標楷體"/>
                <w:kern w:val="0"/>
              </w:rPr>
            </w:pPr>
          </w:p>
        </w:tc>
      </w:tr>
    </w:tbl>
    <w:p w:rsidR="0073013F" w:rsidRPr="004D451D" w:rsidRDefault="0073013F" w:rsidP="0073013F">
      <w:pPr>
        <w:spacing w:line="340" w:lineRule="exact"/>
        <w:ind w:left="361"/>
        <w:jc w:val="both"/>
        <w:rPr>
          <w:rFonts w:ascii="標楷體" w:eastAsia="標楷體" w:hAnsi="標楷體" w:cs="Arial"/>
          <w:kern w:val="0"/>
          <w:sz w:val="32"/>
          <w:szCs w:val="32"/>
        </w:rPr>
      </w:pPr>
    </w:p>
    <w:p w:rsidR="0073013F" w:rsidRPr="004D451D" w:rsidRDefault="0073013F" w:rsidP="0073013F">
      <w:pPr>
        <w:spacing w:line="340" w:lineRule="exact"/>
        <w:ind w:left="1"/>
        <w:jc w:val="both"/>
        <w:rPr>
          <w:rFonts w:ascii="標楷體" w:eastAsia="標楷體" w:hAnsi="標楷體" w:cs="新細明體"/>
          <w:b/>
          <w:bCs/>
          <w:kern w:val="0"/>
        </w:rPr>
      </w:pPr>
      <w:r w:rsidRPr="004D451D">
        <w:rPr>
          <w:rFonts w:ascii="標楷體" w:eastAsia="標楷體" w:hAnsi="標楷體" w:cs="新細明體" w:hint="eastAsia"/>
          <w:b/>
          <w:bCs/>
          <w:kern w:val="0"/>
        </w:rPr>
        <w:t>填表說明：</w:t>
      </w:r>
    </w:p>
    <w:p w:rsidR="0073013F" w:rsidRPr="004D451D" w:rsidRDefault="00F41601" w:rsidP="009F53B0">
      <w:pPr>
        <w:numPr>
          <w:ilvl w:val="0"/>
          <w:numId w:val="100"/>
        </w:numPr>
        <w:spacing w:line="340" w:lineRule="exact"/>
        <w:ind w:leftChars="150" w:left="720" w:hangingChars="150"/>
        <w:jc w:val="both"/>
        <w:rPr>
          <w:rFonts w:eastAsia="標楷體"/>
        </w:rPr>
      </w:pPr>
      <w:r w:rsidRPr="004D451D">
        <w:rPr>
          <w:rFonts w:eastAsia="標楷體" w:hint="eastAsia"/>
        </w:rPr>
        <w:t>本表更新頻率：半年</w:t>
      </w:r>
      <w:r w:rsidR="00C6215D" w:rsidRPr="004D451D">
        <w:rPr>
          <w:rFonts w:eastAsia="標楷體" w:hint="eastAsia"/>
        </w:rPr>
        <w:t>，</w:t>
      </w:r>
      <w:r w:rsidR="0073013F" w:rsidRPr="004D451D">
        <w:rPr>
          <w:rFonts w:eastAsia="標楷體" w:hint="eastAsia"/>
        </w:rPr>
        <w:t>請填列申報</w:t>
      </w:r>
      <w:r w:rsidR="009A6C3D" w:rsidRPr="004D451D">
        <w:rPr>
          <w:rFonts w:eastAsia="標楷體" w:hint="eastAsia"/>
        </w:rPr>
        <w:t>本季</w:t>
      </w:r>
      <w:r w:rsidR="0073013F" w:rsidRPr="004D451D">
        <w:rPr>
          <w:rFonts w:eastAsia="標楷體" w:hint="eastAsia"/>
        </w:rPr>
        <w:t>及前四季季底資料。</w:t>
      </w:r>
    </w:p>
    <w:p w:rsidR="0073013F" w:rsidRPr="004D451D" w:rsidRDefault="0073013F" w:rsidP="009F53B0">
      <w:pPr>
        <w:numPr>
          <w:ilvl w:val="0"/>
          <w:numId w:val="100"/>
        </w:numPr>
        <w:spacing w:line="340" w:lineRule="exact"/>
        <w:ind w:leftChars="150" w:left="720" w:hangingChars="150"/>
        <w:jc w:val="both"/>
        <w:rPr>
          <w:rFonts w:eastAsia="標楷體"/>
        </w:rPr>
      </w:pPr>
      <w:r w:rsidRPr="004D451D">
        <w:rPr>
          <w:rFonts w:eastAsia="標楷體" w:hint="eastAsia"/>
        </w:rPr>
        <w:t>本表採個體基礎填報。</w:t>
      </w:r>
    </w:p>
    <w:p w:rsidR="000E5016" w:rsidRPr="004D451D" w:rsidRDefault="000E5016" w:rsidP="009F53B0">
      <w:pPr>
        <w:numPr>
          <w:ilvl w:val="0"/>
          <w:numId w:val="100"/>
        </w:numPr>
        <w:spacing w:line="340" w:lineRule="exact"/>
        <w:ind w:leftChars="150" w:left="720" w:hangingChars="150"/>
        <w:jc w:val="both"/>
        <w:rPr>
          <w:rFonts w:eastAsia="標楷體"/>
        </w:rPr>
      </w:pPr>
      <w:r w:rsidRPr="004D451D">
        <w:rPr>
          <w:rFonts w:eastAsia="標楷體" w:hint="eastAsia"/>
        </w:rPr>
        <w:t>完全導入</w:t>
      </w:r>
      <w:r w:rsidRPr="004D451D">
        <w:rPr>
          <w:rFonts w:eastAsia="標楷體" w:hint="eastAsia"/>
        </w:rPr>
        <w:t>ECL</w:t>
      </w:r>
      <w:r w:rsidRPr="004D451D">
        <w:rPr>
          <w:rFonts w:eastAsia="標楷體" w:hint="eastAsia"/>
        </w:rPr>
        <w:t>會計模型：因應</w:t>
      </w:r>
      <w:r w:rsidRPr="004D451D">
        <w:rPr>
          <w:rFonts w:eastAsia="標楷體" w:hint="eastAsia"/>
        </w:rPr>
        <w:t>IFRS 9</w:t>
      </w:r>
      <w:r w:rsidRPr="004D451D">
        <w:rPr>
          <w:rFonts w:eastAsia="標楷體" w:hint="eastAsia"/>
        </w:rPr>
        <w:t>之適用，增列完全導入預期信用損失會計模型之相關比率。</w:t>
      </w:r>
    </w:p>
    <w:p w:rsidR="0073013F" w:rsidRPr="004D451D" w:rsidRDefault="0073013F" w:rsidP="009F53B0">
      <w:pPr>
        <w:numPr>
          <w:ilvl w:val="0"/>
          <w:numId w:val="100"/>
        </w:numPr>
        <w:spacing w:line="340" w:lineRule="exact"/>
        <w:ind w:leftChars="150" w:left="720" w:hangingChars="150"/>
        <w:jc w:val="both"/>
        <w:rPr>
          <w:rFonts w:eastAsia="標楷體"/>
        </w:rPr>
      </w:pPr>
      <w:r w:rsidRPr="004D451D">
        <w:rPr>
          <w:rFonts w:eastAsia="標楷體" w:hint="eastAsia"/>
        </w:rPr>
        <w:t>第</w:t>
      </w:r>
      <w:r w:rsidRPr="004D451D">
        <w:rPr>
          <w:rFonts w:eastAsia="標楷體" w:hint="eastAsia"/>
        </w:rPr>
        <w:t>9</w:t>
      </w:r>
      <w:r w:rsidRPr="004D451D">
        <w:rPr>
          <w:rFonts w:eastAsia="標楷體" w:hint="eastAsia"/>
        </w:rPr>
        <w:t>列「抗景氣循環緩衝資本比率要求</w:t>
      </w:r>
      <w:r w:rsidRPr="004D451D">
        <w:rPr>
          <w:rFonts w:eastAsia="標楷體" w:hint="eastAsia"/>
        </w:rPr>
        <w:t>(%)</w:t>
      </w:r>
      <w:r w:rsidRPr="004D451D">
        <w:rPr>
          <w:rFonts w:eastAsia="標楷體" w:hint="eastAsia"/>
        </w:rPr>
        <w:t>」：我國目前抗景氣循環緩衝資本比率要求為</w:t>
      </w:r>
      <w:r w:rsidRPr="004D451D">
        <w:rPr>
          <w:rFonts w:eastAsia="標楷體" w:hint="eastAsia"/>
        </w:rPr>
        <w:t>0%</w:t>
      </w:r>
      <w:r w:rsidR="009822CA" w:rsidRPr="004D451D">
        <w:rPr>
          <w:rFonts w:eastAsia="標楷體" w:hint="eastAsia"/>
        </w:rPr>
        <w:t>，俟</w:t>
      </w:r>
      <w:r w:rsidRPr="004D451D">
        <w:rPr>
          <w:rFonts w:eastAsia="標楷體" w:hint="eastAsia"/>
        </w:rPr>
        <w:t>主管機關發布相關定義、計算方式與規範，再依循辦理填列。</w:t>
      </w:r>
    </w:p>
    <w:p w:rsidR="0073013F" w:rsidRPr="004D451D" w:rsidRDefault="0073013F" w:rsidP="009F53B0">
      <w:pPr>
        <w:numPr>
          <w:ilvl w:val="0"/>
          <w:numId w:val="100"/>
        </w:numPr>
        <w:spacing w:line="340" w:lineRule="exact"/>
        <w:ind w:leftChars="150" w:left="720" w:hangingChars="150"/>
        <w:jc w:val="both"/>
        <w:rPr>
          <w:rFonts w:eastAsia="標楷體"/>
        </w:rPr>
      </w:pPr>
      <w:r w:rsidRPr="004D451D">
        <w:rPr>
          <w:rFonts w:eastAsia="標楷體" w:hint="eastAsia"/>
        </w:rPr>
        <w:t>第</w:t>
      </w:r>
      <w:r w:rsidRPr="004D451D">
        <w:rPr>
          <w:rFonts w:eastAsia="標楷體" w:hint="eastAsia"/>
        </w:rPr>
        <w:t>10</w:t>
      </w:r>
      <w:r w:rsidRPr="004D451D">
        <w:rPr>
          <w:rFonts w:eastAsia="標楷體" w:hint="eastAsia"/>
        </w:rPr>
        <w:t>列「</w:t>
      </w:r>
      <w:r w:rsidRPr="004D451D">
        <w:rPr>
          <w:rFonts w:eastAsia="標楷體"/>
        </w:rPr>
        <w:t>G-SIB</w:t>
      </w:r>
      <w:r w:rsidRPr="004D451D">
        <w:rPr>
          <w:rFonts w:eastAsia="標楷體" w:hint="eastAsia"/>
        </w:rPr>
        <w:t>及</w:t>
      </w:r>
      <w:r w:rsidRPr="004D451D">
        <w:rPr>
          <w:rFonts w:eastAsia="標楷體"/>
        </w:rPr>
        <w:t>/</w:t>
      </w:r>
      <w:r w:rsidRPr="004D451D">
        <w:rPr>
          <w:rFonts w:eastAsia="標楷體" w:hint="eastAsia"/>
        </w:rPr>
        <w:t>或</w:t>
      </w:r>
      <w:r w:rsidRPr="004D451D">
        <w:rPr>
          <w:rFonts w:eastAsia="標楷體"/>
        </w:rPr>
        <w:t>D-SIB</w:t>
      </w:r>
      <w:r w:rsidRPr="004D451D">
        <w:rPr>
          <w:rFonts w:eastAsia="標楷體" w:hint="eastAsia"/>
        </w:rPr>
        <w:t>其他資本比率要求</w:t>
      </w:r>
      <w:r w:rsidRPr="004D451D">
        <w:rPr>
          <w:rFonts w:eastAsia="標楷體"/>
        </w:rPr>
        <w:t xml:space="preserve"> (%)</w:t>
      </w:r>
      <w:r w:rsidRPr="004D451D">
        <w:rPr>
          <w:rFonts w:eastAsia="標楷體" w:hint="eastAsia"/>
        </w:rPr>
        <w:t>」：</w:t>
      </w:r>
      <w:r w:rsidR="007B689C" w:rsidRPr="004D451D">
        <w:rPr>
          <w:rFonts w:eastAsia="標楷體" w:hint="eastAsia"/>
        </w:rPr>
        <w:t>我</w:t>
      </w:r>
      <w:r w:rsidRPr="004D451D">
        <w:rPr>
          <w:rFonts w:eastAsia="標楷體" w:hint="eastAsia"/>
        </w:rPr>
        <w:t>國</w:t>
      </w:r>
      <w:r w:rsidR="007B689C" w:rsidRPr="004D451D">
        <w:rPr>
          <w:rFonts w:eastAsia="標楷體" w:hint="eastAsia"/>
        </w:rPr>
        <w:t>目前</w:t>
      </w:r>
      <w:r w:rsidRPr="004D451D">
        <w:rPr>
          <w:rFonts w:eastAsia="標楷體" w:hint="eastAsia"/>
        </w:rPr>
        <w:t>尚無符合巴塞爾銀行監理委員會定義之</w:t>
      </w:r>
      <w:r w:rsidRPr="004D451D">
        <w:rPr>
          <w:rFonts w:eastAsia="標楷體" w:hint="eastAsia"/>
        </w:rPr>
        <w:t>G-SIB</w:t>
      </w:r>
      <w:r w:rsidRPr="004D451D">
        <w:rPr>
          <w:rFonts w:eastAsia="標楷體" w:hint="eastAsia"/>
        </w:rPr>
        <w:t>及</w:t>
      </w:r>
      <w:r w:rsidRPr="004D451D">
        <w:rPr>
          <w:rFonts w:eastAsia="標楷體" w:hint="eastAsia"/>
        </w:rPr>
        <w:t>/</w:t>
      </w:r>
      <w:r w:rsidRPr="004D451D">
        <w:rPr>
          <w:rFonts w:eastAsia="標楷體" w:hint="eastAsia"/>
        </w:rPr>
        <w:t>或</w:t>
      </w:r>
      <w:r w:rsidRPr="004D451D">
        <w:rPr>
          <w:rFonts w:eastAsia="標楷體" w:hint="eastAsia"/>
        </w:rPr>
        <w:t>D-SIB</w:t>
      </w:r>
      <w:r w:rsidRPr="004D451D">
        <w:rPr>
          <w:rFonts w:eastAsia="標楷體" w:hint="eastAsia"/>
        </w:rPr>
        <w:t>條件之銀行，故</w:t>
      </w:r>
      <w:r w:rsidR="00C615F8" w:rsidRPr="004D451D">
        <w:rPr>
          <w:rFonts w:eastAsia="標楷體" w:hint="eastAsia"/>
        </w:rPr>
        <w:t>暫</w:t>
      </w:r>
      <w:r w:rsidRPr="004D451D">
        <w:rPr>
          <w:rFonts w:eastAsia="標楷體" w:hint="eastAsia"/>
        </w:rPr>
        <w:t>無需填報此列。</w:t>
      </w:r>
    </w:p>
    <w:p w:rsidR="0073013F" w:rsidRPr="004D451D" w:rsidRDefault="0073013F" w:rsidP="009F53B0">
      <w:pPr>
        <w:numPr>
          <w:ilvl w:val="0"/>
          <w:numId w:val="100"/>
        </w:numPr>
        <w:spacing w:line="340" w:lineRule="exact"/>
        <w:ind w:leftChars="150" w:left="720" w:hangingChars="150"/>
        <w:jc w:val="both"/>
        <w:rPr>
          <w:rFonts w:eastAsia="標楷體"/>
        </w:rPr>
      </w:pPr>
      <w:r w:rsidRPr="004D451D">
        <w:rPr>
          <w:rFonts w:eastAsia="標楷體" w:hint="eastAsia"/>
        </w:rPr>
        <w:t>本表各項目定義如下：</w:t>
      </w:r>
    </w:p>
    <w:p w:rsidR="0073013F" w:rsidRPr="004D451D" w:rsidRDefault="0073013F" w:rsidP="009F53B0">
      <w:pPr>
        <w:numPr>
          <w:ilvl w:val="1"/>
          <w:numId w:val="100"/>
        </w:numPr>
        <w:spacing w:line="340" w:lineRule="exact"/>
        <w:ind w:leftChars="250" w:left="1080" w:hangingChars="200" w:hanging="480"/>
        <w:jc w:val="both"/>
        <w:rPr>
          <w:rFonts w:eastAsia="標楷體"/>
        </w:rPr>
      </w:pPr>
      <w:r w:rsidRPr="004D451D">
        <w:rPr>
          <w:rFonts w:eastAsia="標楷體" w:hint="eastAsia"/>
        </w:rPr>
        <w:lastRenderedPageBreak/>
        <w:t>第</w:t>
      </w:r>
      <w:r w:rsidRPr="004D451D">
        <w:rPr>
          <w:rFonts w:eastAsia="標楷體" w:hint="eastAsia"/>
        </w:rPr>
        <w:t>12</w:t>
      </w:r>
      <w:r w:rsidRPr="004D451D">
        <w:rPr>
          <w:rFonts w:eastAsia="標楷體" w:hint="eastAsia"/>
        </w:rPr>
        <w:t>列「</w:t>
      </w:r>
      <w:r w:rsidRPr="004D451D">
        <w:rPr>
          <w:rFonts w:eastAsia="標楷體" w:hint="eastAsia"/>
          <w:kern w:val="0"/>
        </w:rPr>
        <w:t>符合銀行最低資本要求後之可用普通股權益第一類資本比率</w:t>
      </w:r>
      <w:r w:rsidRPr="004D451D">
        <w:rPr>
          <w:rFonts w:eastAsia="標楷體" w:hint="eastAsia"/>
          <w:kern w:val="0"/>
        </w:rPr>
        <w:t>(%)</w:t>
      </w:r>
      <w:r w:rsidRPr="004D451D">
        <w:rPr>
          <w:rFonts w:eastAsia="標楷體" w:hint="eastAsia"/>
        </w:rPr>
        <w:t>」：不一定等於普通股權益第一類資本比率</w:t>
      </w:r>
      <w:r w:rsidR="007B689C" w:rsidRPr="004D451D">
        <w:rPr>
          <w:rFonts w:eastAsia="標楷體" w:hint="eastAsia"/>
        </w:rPr>
        <w:t>(%)</w:t>
      </w:r>
      <w:r w:rsidRPr="004D451D">
        <w:rPr>
          <w:rFonts w:eastAsia="標楷體" w:hint="eastAsia"/>
        </w:rPr>
        <w:t>及普通股權益第一類資本比率最低要求之差。可參考【附表四之三】第</w:t>
      </w:r>
      <w:r w:rsidRPr="004D451D">
        <w:rPr>
          <w:rFonts w:eastAsia="標楷體" w:hint="eastAsia"/>
        </w:rPr>
        <w:t>68</w:t>
      </w:r>
      <w:r w:rsidRPr="004D451D">
        <w:rPr>
          <w:rFonts w:eastAsia="標楷體" w:hint="eastAsia"/>
        </w:rPr>
        <w:t>列項目說明。</w:t>
      </w:r>
    </w:p>
    <w:p w:rsidR="0073013F" w:rsidRPr="004D451D" w:rsidRDefault="0073013F" w:rsidP="009F53B0">
      <w:pPr>
        <w:numPr>
          <w:ilvl w:val="1"/>
          <w:numId w:val="100"/>
        </w:numPr>
        <w:spacing w:line="340" w:lineRule="exact"/>
        <w:ind w:leftChars="250" w:left="1080" w:hangingChars="200" w:hanging="480"/>
        <w:jc w:val="both"/>
        <w:rPr>
          <w:rFonts w:eastAsia="標楷體"/>
        </w:rPr>
      </w:pPr>
      <w:r w:rsidRPr="004D451D">
        <w:rPr>
          <w:rFonts w:eastAsia="標楷體" w:hint="eastAsia"/>
        </w:rPr>
        <w:t>第</w:t>
      </w:r>
      <w:r w:rsidRPr="004D451D">
        <w:rPr>
          <w:rFonts w:eastAsia="標楷體"/>
        </w:rPr>
        <w:t>13</w:t>
      </w:r>
      <w:r w:rsidRPr="004D451D">
        <w:rPr>
          <w:rFonts w:eastAsia="標楷體" w:hint="eastAsia"/>
        </w:rPr>
        <w:t>列「槓桿比率暴險衡量總額」</w:t>
      </w:r>
      <w:r w:rsidR="00A43C6E" w:rsidRPr="004D451D">
        <w:rPr>
          <w:rFonts w:eastAsia="標楷體" w:hint="eastAsia"/>
        </w:rPr>
        <w:t>：</w:t>
      </w:r>
      <w:r w:rsidRPr="004D451D">
        <w:rPr>
          <w:rFonts w:eastAsia="標楷體" w:hint="eastAsia"/>
        </w:rPr>
        <w:t>金額係反映期末價值。</w:t>
      </w:r>
    </w:p>
    <w:p w:rsidR="0073013F" w:rsidRPr="004D451D" w:rsidRDefault="0073013F" w:rsidP="009F53B0">
      <w:pPr>
        <w:numPr>
          <w:ilvl w:val="1"/>
          <w:numId w:val="100"/>
        </w:numPr>
        <w:spacing w:line="340" w:lineRule="exact"/>
        <w:ind w:leftChars="250" w:left="1080" w:hangingChars="200" w:hanging="480"/>
        <w:jc w:val="both"/>
        <w:rPr>
          <w:rFonts w:eastAsia="標楷體"/>
        </w:rPr>
      </w:pPr>
      <w:r w:rsidRPr="004D451D">
        <w:rPr>
          <w:rFonts w:eastAsia="標楷體" w:hint="eastAsia"/>
        </w:rPr>
        <w:t>第</w:t>
      </w:r>
      <w:r w:rsidRPr="004D451D">
        <w:rPr>
          <w:rFonts w:eastAsia="標楷體" w:hint="eastAsia"/>
        </w:rPr>
        <w:t>15</w:t>
      </w:r>
      <w:r w:rsidRPr="004D451D">
        <w:rPr>
          <w:rFonts w:eastAsia="標楷體" w:hint="eastAsia"/>
        </w:rPr>
        <w:t>列「合格高品質流動性資產</w:t>
      </w:r>
      <w:r w:rsidRPr="004D451D">
        <w:rPr>
          <w:rFonts w:eastAsia="標楷體" w:hint="eastAsia"/>
        </w:rPr>
        <w:t>(HQLA)</w:t>
      </w:r>
      <w:r w:rsidRPr="004D451D">
        <w:rPr>
          <w:rFonts w:eastAsia="標楷體" w:hint="eastAsia"/>
        </w:rPr>
        <w:t>總額」及第</w:t>
      </w:r>
      <w:r w:rsidRPr="004D451D">
        <w:rPr>
          <w:rFonts w:eastAsia="標楷體" w:hint="eastAsia"/>
        </w:rPr>
        <w:t>16</w:t>
      </w:r>
      <w:r w:rsidRPr="004D451D">
        <w:rPr>
          <w:rFonts w:eastAsia="標楷體" w:hint="eastAsia"/>
        </w:rPr>
        <w:t>列「淨現金流出總額」</w:t>
      </w:r>
      <w:r w:rsidR="00A43C6E" w:rsidRPr="004D451D">
        <w:rPr>
          <w:rFonts w:eastAsia="標楷體" w:hint="eastAsia"/>
        </w:rPr>
        <w:t>：</w:t>
      </w:r>
      <w:r w:rsidR="00F173BB" w:rsidRPr="004D451D">
        <w:rPr>
          <w:rFonts w:eastAsia="標楷體" w:hint="eastAsia"/>
        </w:rPr>
        <w:t>其定義係依</w:t>
      </w:r>
      <w:r w:rsidRPr="004D451D">
        <w:rPr>
          <w:rFonts w:eastAsia="標楷體" w:hint="eastAsia"/>
        </w:rPr>
        <w:t>據</w:t>
      </w:r>
      <w:r w:rsidR="00F173BB" w:rsidRPr="004D451D">
        <w:rPr>
          <w:rFonts w:eastAsia="標楷體" w:hint="eastAsia"/>
        </w:rPr>
        <w:t>「銀行流動性覆蓋比率實施標準」之規定辦理</w:t>
      </w:r>
      <w:r w:rsidRPr="004D451D">
        <w:rPr>
          <w:rFonts w:eastAsia="標楷體" w:hint="eastAsia"/>
        </w:rPr>
        <w:t>。</w:t>
      </w:r>
    </w:p>
    <w:p w:rsidR="0073013F" w:rsidRPr="004D451D" w:rsidRDefault="0073013F" w:rsidP="0073013F">
      <w:pPr>
        <w:spacing w:line="340" w:lineRule="exact"/>
        <w:ind w:left="1"/>
        <w:jc w:val="both"/>
        <w:rPr>
          <w:rFonts w:ascii="標楷體" w:eastAsia="標楷體" w:hAnsi="標楷體" w:cs="新細明體"/>
          <w:b/>
          <w:bCs/>
          <w:kern w:val="0"/>
        </w:rPr>
      </w:pPr>
    </w:p>
    <w:p w:rsidR="0073013F" w:rsidRPr="004D451D" w:rsidRDefault="0073013F" w:rsidP="0073013F">
      <w:pPr>
        <w:spacing w:line="340" w:lineRule="exact"/>
        <w:ind w:left="1"/>
        <w:jc w:val="both"/>
        <w:rPr>
          <w:rFonts w:ascii="標楷體" w:eastAsia="標楷體" w:hAnsi="標楷體" w:cs="新細明體"/>
          <w:b/>
          <w:bCs/>
          <w:kern w:val="0"/>
        </w:rPr>
      </w:pPr>
    </w:p>
    <w:p w:rsidR="0073013F" w:rsidRPr="004D451D" w:rsidRDefault="0073013F" w:rsidP="0073013F">
      <w:pPr>
        <w:spacing w:line="340" w:lineRule="exact"/>
        <w:ind w:left="1"/>
        <w:jc w:val="both"/>
        <w:rPr>
          <w:rFonts w:ascii="標楷體" w:eastAsia="標楷體" w:hAnsi="標楷體" w:cs="新細明體"/>
          <w:b/>
          <w:bCs/>
          <w:kern w:val="0"/>
        </w:rPr>
      </w:pPr>
      <w:r w:rsidRPr="004D451D">
        <w:rPr>
          <w:rFonts w:ascii="標楷體" w:eastAsia="標楷體" w:hAnsi="標楷體" w:cs="新細明體" w:hint="eastAsia"/>
          <w:b/>
          <w:bCs/>
          <w:kern w:val="0"/>
        </w:rPr>
        <w:t>跨表檢核：</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1A=</w:t>
      </w:r>
      <w:r w:rsidRPr="004D451D">
        <w:rPr>
          <w:rFonts w:eastAsia="標楷體"/>
          <w:bCs/>
          <w:kern w:val="0"/>
        </w:rPr>
        <w:t>【附表四之三】</w:t>
      </w:r>
      <w:r w:rsidRPr="004D451D">
        <w:rPr>
          <w:rFonts w:eastAsia="標楷體"/>
          <w:bCs/>
          <w:kern w:val="0"/>
        </w:rPr>
        <w:t>29</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2A=</w:t>
      </w:r>
      <w:r w:rsidRPr="004D451D">
        <w:rPr>
          <w:rFonts w:eastAsia="標楷體"/>
          <w:bCs/>
          <w:kern w:val="0"/>
        </w:rPr>
        <w:t>【附表四之三】</w:t>
      </w:r>
      <w:r w:rsidRPr="004D451D">
        <w:rPr>
          <w:rFonts w:eastAsia="標楷體"/>
          <w:bCs/>
          <w:kern w:val="0"/>
        </w:rPr>
        <w:t>45=</w:t>
      </w:r>
      <w:r w:rsidRPr="004D451D">
        <w:rPr>
          <w:rFonts w:eastAsia="標楷體"/>
          <w:bCs/>
          <w:kern w:val="0"/>
        </w:rPr>
        <w:t>【附表六之一】</w:t>
      </w:r>
      <w:r w:rsidRPr="004D451D">
        <w:rPr>
          <w:rFonts w:eastAsia="標楷體"/>
          <w:bCs/>
          <w:kern w:val="0"/>
        </w:rPr>
        <w:t>20A</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3A=</w:t>
      </w:r>
      <w:r w:rsidRPr="004D451D">
        <w:rPr>
          <w:rFonts w:eastAsia="標楷體"/>
          <w:bCs/>
          <w:kern w:val="0"/>
        </w:rPr>
        <w:t>【附表四之三】</w:t>
      </w:r>
      <w:r w:rsidRPr="004D451D">
        <w:rPr>
          <w:rFonts w:eastAsia="標楷體"/>
          <w:bCs/>
          <w:kern w:val="0"/>
        </w:rPr>
        <w:t>59</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4A=</w:t>
      </w:r>
      <w:r w:rsidRPr="004D451D">
        <w:rPr>
          <w:rFonts w:eastAsia="標楷體"/>
          <w:bCs/>
          <w:kern w:val="0"/>
        </w:rPr>
        <w:t>【附表四之三】</w:t>
      </w:r>
      <w:r w:rsidRPr="004D451D">
        <w:rPr>
          <w:rFonts w:eastAsia="標楷體"/>
          <w:bCs/>
          <w:kern w:val="0"/>
        </w:rPr>
        <w:t>60</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5A=</w:t>
      </w:r>
      <w:r w:rsidRPr="004D451D">
        <w:rPr>
          <w:rFonts w:eastAsia="標楷體"/>
          <w:bCs/>
          <w:kern w:val="0"/>
        </w:rPr>
        <w:t>【附表四之三】</w:t>
      </w:r>
      <w:r w:rsidRPr="004D451D">
        <w:rPr>
          <w:rFonts w:eastAsia="標楷體"/>
          <w:bCs/>
          <w:kern w:val="0"/>
        </w:rPr>
        <w:t>61</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6A=</w:t>
      </w:r>
      <w:r w:rsidRPr="004D451D">
        <w:rPr>
          <w:rFonts w:eastAsia="標楷體"/>
          <w:bCs/>
          <w:kern w:val="0"/>
        </w:rPr>
        <w:t>【附表四之三】</w:t>
      </w:r>
      <w:r w:rsidRPr="004D451D">
        <w:rPr>
          <w:rFonts w:eastAsia="標楷體"/>
          <w:bCs/>
          <w:kern w:val="0"/>
        </w:rPr>
        <w:t>62</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7A=</w:t>
      </w:r>
      <w:r w:rsidRPr="004D451D">
        <w:rPr>
          <w:rFonts w:eastAsia="標楷體"/>
          <w:bCs/>
          <w:kern w:val="0"/>
        </w:rPr>
        <w:t>【附表四之三】</w:t>
      </w:r>
      <w:r w:rsidRPr="004D451D">
        <w:rPr>
          <w:rFonts w:eastAsia="標楷體"/>
          <w:bCs/>
          <w:kern w:val="0"/>
        </w:rPr>
        <w:t>63</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8A=</w:t>
      </w:r>
      <w:r w:rsidRPr="004D451D">
        <w:rPr>
          <w:rFonts w:eastAsia="標楷體"/>
          <w:bCs/>
          <w:kern w:val="0"/>
        </w:rPr>
        <w:t>【附表四之三】</w:t>
      </w:r>
      <w:r w:rsidRPr="004D451D">
        <w:rPr>
          <w:rFonts w:eastAsia="標楷體"/>
          <w:bCs/>
          <w:kern w:val="0"/>
        </w:rPr>
        <w:t>65</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9A=</w:t>
      </w:r>
      <w:r w:rsidRPr="004D451D">
        <w:rPr>
          <w:rFonts w:eastAsia="標楷體"/>
          <w:bCs/>
          <w:kern w:val="0"/>
        </w:rPr>
        <w:t>【附表四之三】</w:t>
      </w:r>
      <w:r w:rsidRPr="004D451D">
        <w:rPr>
          <w:rFonts w:eastAsia="標楷體"/>
          <w:bCs/>
          <w:kern w:val="0"/>
        </w:rPr>
        <w:t>66</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10A=</w:t>
      </w:r>
      <w:r w:rsidRPr="004D451D">
        <w:rPr>
          <w:rFonts w:eastAsia="標楷體"/>
          <w:bCs/>
          <w:kern w:val="0"/>
        </w:rPr>
        <w:t>【附表四之三】</w:t>
      </w:r>
      <w:r w:rsidRPr="004D451D">
        <w:rPr>
          <w:rFonts w:eastAsia="標楷體"/>
          <w:bCs/>
          <w:kern w:val="0"/>
        </w:rPr>
        <w:t>67</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12A=</w:t>
      </w:r>
      <w:r w:rsidRPr="004D451D">
        <w:rPr>
          <w:rFonts w:eastAsia="標楷體"/>
          <w:bCs/>
          <w:kern w:val="0"/>
        </w:rPr>
        <w:t>【附表四之三】</w:t>
      </w:r>
      <w:r w:rsidRPr="004D451D">
        <w:rPr>
          <w:rFonts w:eastAsia="標楷體"/>
          <w:bCs/>
          <w:kern w:val="0"/>
        </w:rPr>
        <w:t>68</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13A=</w:t>
      </w:r>
      <w:r w:rsidRPr="004D451D">
        <w:rPr>
          <w:rFonts w:eastAsia="標楷體"/>
          <w:bCs/>
          <w:kern w:val="0"/>
        </w:rPr>
        <w:t>【附表六之一】</w:t>
      </w:r>
      <w:r w:rsidRPr="004D451D">
        <w:rPr>
          <w:rFonts w:eastAsia="標楷體"/>
          <w:bCs/>
          <w:kern w:val="0"/>
        </w:rPr>
        <w:t>21A</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14A=</w:t>
      </w:r>
      <w:r w:rsidRPr="004D451D">
        <w:rPr>
          <w:rFonts w:eastAsia="標楷體"/>
          <w:bCs/>
          <w:kern w:val="0"/>
        </w:rPr>
        <w:t>【附表六之一】</w:t>
      </w:r>
      <w:r w:rsidRPr="004D451D">
        <w:rPr>
          <w:rFonts w:eastAsia="標楷體"/>
          <w:bCs/>
          <w:kern w:val="0"/>
        </w:rPr>
        <w:t>22A</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15A=</w:t>
      </w:r>
      <w:r w:rsidRPr="004D451D">
        <w:rPr>
          <w:rFonts w:eastAsia="標楷體"/>
          <w:bCs/>
          <w:kern w:val="0"/>
        </w:rPr>
        <w:t>【附表五十一】</w:t>
      </w:r>
      <w:r w:rsidR="001D56CE" w:rsidRPr="004D451D">
        <w:rPr>
          <w:rFonts w:eastAsia="標楷體"/>
          <w:bCs/>
          <w:kern w:val="0"/>
        </w:rPr>
        <w:t>21</w:t>
      </w:r>
      <w:r w:rsidR="001D56CE" w:rsidRPr="004D451D">
        <w:rPr>
          <w:rFonts w:eastAsia="標楷體" w:hint="eastAsia"/>
          <w:bCs/>
          <w:kern w:val="0"/>
        </w:rPr>
        <w:t>B</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16A=</w:t>
      </w:r>
      <w:r w:rsidRPr="004D451D">
        <w:rPr>
          <w:rFonts w:eastAsia="標楷體"/>
          <w:bCs/>
          <w:kern w:val="0"/>
        </w:rPr>
        <w:t>【附表五十一】</w:t>
      </w:r>
      <w:r w:rsidR="001D56CE" w:rsidRPr="004D451D">
        <w:rPr>
          <w:rFonts w:eastAsia="標楷體"/>
          <w:bCs/>
          <w:kern w:val="0"/>
        </w:rPr>
        <w:t>22</w:t>
      </w:r>
      <w:r w:rsidR="001D56CE" w:rsidRPr="004D451D">
        <w:rPr>
          <w:rFonts w:eastAsia="標楷體" w:hint="eastAsia"/>
          <w:bCs/>
          <w:kern w:val="0"/>
        </w:rPr>
        <w:t>B</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17A=</w:t>
      </w:r>
      <w:r w:rsidRPr="004D451D">
        <w:rPr>
          <w:rFonts w:eastAsia="標楷體"/>
          <w:bCs/>
          <w:kern w:val="0"/>
        </w:rPr>
        <w:t>【附表五十一】</w:t>
      </w:r>
      <w:r w:rsidR="001D56CE" w:rsidRPr="004D451D">
        <w:rPr>
          <w:rFonts w:eastAsia="標楷體"/>
          <w:bCs/>
          <w:kern w:val="0"/>
        </w:rPr>
        <w:t>23</w:t>
      </w:r>
      <w:r w:rsidR="001D56CE" w:rsidRPr="004D451D">
        <w:rPr>
          <w:rFonts w:eastAsia="標楷體" w:hint="eastAsia"/>
          <w:bCs/>
          <w:kern w:val="0"/>
        </w:rPr>
        <w:t>B</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18A=</w:t>
      </w:r>
      <w:r w:rsidRPr="004D451D">
        <w:rPr>
          <w:rFonts w:eastAsia="標楷體"/>
          <w:bCs/>
          <w:kern w:val="0"/>
        </w:rPr>
        <w:t>【附表五十二】</w:t>
      </w:r>
      <w:r w:rsidR="001D56CE" w:rsidRPr="004D451D">
        <w:rPr>
          <w:rFonts w:eastAsia="標楷體"/>
          <w:bCs/>
          <w:kern w:val="0"/>
        </w:rPr>
        <w:t>14</w:t>
      </w:r>
      <w:r w:rsidR="001D56CE" w:rsidRPr="004D451D">
        <w:rPr>
          <w:rFonts w:eastAsia="標楷體" w:hint="eastAsia"/>
          <w:bCs/>
          <w:kern w:val="0"/>
        </w:rPr>
        <w:t>E</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19A=</w:t>
      </w:r>
      <w:r w:rsidRPr="004D451D">
        <w:rPr>
          <w:rFonts w:eastAsia="標楷體"/>
          <w:bCs/>
          <w:kern w:val="0"/>
        </w:rPr>
        <w:t>【附表五十二】</w:t>
      </w:r>
      <w:r w:rsidR="001D56CE" w:rsidRPr="004D451D">
        <w:rPr>
          <w:rFonts w:eastAsia="標楷體"/>
          <w:bCs/>
          <w:kern w:val="0"/>
        </w:rPr>
        <w:t>33</w:t>
      </w:r>
      <w:r w:rsidR="001D56CE" w:rsidRPr="004D451D">
        <w:rPr>
          <w:rFonts w:eastAsia="標楷體" w:hint="eastAsia"/>
          <w:bCs/>
          <w:kern w:val="0"/>
        </w:rPr>
        <w:t>E</w:t>
      </w:r>
    </w:p>
    <w:p w:rsidR="0073013F" w:rsidRPr="004D451D" w:rsidRDefault="0073013F" w:rsidP="009F53B0">
      <w:pPr>
        <w:numPr>
          <w:ilvl w:val="0"/>
          <w:numId w:val="101"/>
        </w:numPr>
        <w:spacing w:line="340" w:lineRule="exact"/>
        <w:ind w:leftChars="150" w:left="720" w:hangingChars="150"/>
        <w:jc w:val="both"/>
        <w:rPr>
          <w:rFonts w:eastAsia="標楷體"/>
          <w:bCs/>
          <w:kern w:val="0"/>
        </w:rPr>
      </w:pPr>
      <w:r w:rsidRPr="004D451D">
        <w:rPr>
          <w:rFonts w:eastAsia="標楷體"/>
          <w:bCs/>
          <w:kern w:val="0"/>
        </w:rPr>
        <w:t>【附表八】</w:t>
      </w:r>
      <w:r w:rsidRPr="004D451D">
        <w:rPr>
          <w:rFonts w:eastAsia="標楷體"/>
          <w:bCs/>
          <w:kern w:val="0"/>
        </w:rPr>
        <w:t>20A=</w:t>
      </w:r>
      <w:r w:rsidRPr="004D451D">
        <w:rPr>
          <w:rFonts w:eastAsia="標楷體"/>
          <w:bCs/>
          <w:kern w:val="0"/>
        </w:rPr>
        <w:t>【附表五十二】</w:t>
      </w:r>
      <w:r w:rsidR="001D56CE" w:rsidRPr="004D451D">
        <w:rPr>
          <w:rFonts w:eastAsia="標楷體"/>
          <w:bCs/>
          <w:kern w:val="0"/>
        </w:rPr>
        <w:t>34</w:t>
      </w:r>
      <w:r w:rsidR="001D56CE" w:rsidRPr="004D451D">
        <w:rPr>
          <w:rFonts w:eastAsia="標楷體" w:hint="eastAsia"/>
          <w:bCs/>
          <w:kern w:val="0"/>
        </w:rPr>
        <w:t>E</w:t>
      </w:r>
    </w:p>
    <w:p w:rsidR="0073013F" w:rsidRPr="004D451D" w:rsidRDefault="0073013F" w:rsidP="00B047B1">
      <w:pPr>
        <w:rPr>
          <w:rFonts w:ascii="Arial" w:eastAsia="標楷體" w:hAnsi="Arial" w:cs="Arial"/>
          <w:sz w:val="32"/>
          <w:szCs w:val="32"/>
        </w:rPr>
      </w:pPr>
    </w:p>
    <w:p w:rsidR="0073013F" w:rsidRPr="004D451D" w:rsidRDefault="0073013F" w:rsidP="00B047B1">
      <w:pPr>
        <w:rPr>
          <w:rFonts w:ascii="Arial" w:eastAsia="標楷體" w:hAnsi="Arial" w:cs="Arial"/>
          <w:sz w:val="32"/>
          <w:szCs w:val="32"/>
        </w:rPr>
      </w:pPr>
      <w:r w:rsidRPr="004D451D">
        <w:rPr>
          <w:rFonts w:ascii="Arial" w:eastAsia="標楷體" w:hAnsi="Arial" w:cs="Arial"/>
          <w:sz w:val="32"/>
          <w:szCs w:val="32"/>
        </w:rPr>
        <w:br w:type="page"/>
      </w:r>
    </w:p>
    <w:p w:rsidR="00E03BBD" w:rsidRPr="004D451D" w:rsidRDefault="00E03BBD" w:rsidP="00B047B1">
      <w:pPr>
        <w:rPr>
          <w:rFonts w:eastAsia="標楷體"/>
          <w:sz w:val="28"/>
          <w:szCs w:val="28"/>
        </w:rPr>
      </w:pPr>
      <w:r w:rsidRPr="004D451D">
        <w:rPr>
          <w:rFonts w:eastAsia="標楷體"/>
          <w:b/>
          <w:sz w:val="32"/>
          <w:szCs w:val="32"/>
        </w:rPr>
        <w:lastRenderedPageBreak/>
        <w:t>【附表</w:t>
      </w:r>
      <w:r w:rsidR="00207117" w:rsidRPr="004D451D">
        <w:rPr>
          <w:rFonts w:eastAsia="標楷體" w:hint="eastAsia"/>
          <w:b/>
          <w:sz w:val="32"/>
          <w:szCs w:val="32"/>
        </w:rPr>
        <w:t>九</w:t>
      </w:r>
      <w:r w:rsidRPr="004D451D">
        <w:rPr>
          <w:rFonts w:eastAsia="標楷體"/>
          <w:b/>
          <w:sz w:val="32"/>
          <w:szCs w:val="32"/>
        </w:rPr>
        <w:t>】</w:t>
      </w:r>
    </w:p>
    <w:p w:rsidR="00E03BBD" w:rsidRPr="004D451D" w:rsidRDefault="00E03BBD" w:rsidP="00974ECA">
      <w:pPr>
        <w:pStyle w:val="ad"/>
        <w:spacing w:beforeLines="100" w:before="360" w:afterLines="100" w:after="360" w:line="240" w:lineRule="auto"/>
        <w:ind w:left="0" w:firstLine="0"/>
        <w:jc w:val="center"/>
        <w:rPr>
          <w:rFonts w:ascii="Times New Roman" w:hAnsi="Times New Roman"/>
          <w:b/>
        </w:rPr>
      </w:pPr>
      <w:r w:rsidRPr="004D451D">
        <w:rPr>
          <w:rFonts w:ascii="Times New Roman" w:hAnsi="Times New Roman"/>
          <w:b/>
        </w:rPr>
        <w:t>風險性資產概況</w:t>
      </w:r>
      <w:r w:rsidR="004D6F49" w:rsidRPr="004D451D">
        <w:rPr>
          <w:rFonts w:ascii="Times New Roman" w:hAnsi="Times New Roman" w:hint="eastAsia"/>
          <w:b/>
        </w:rPr>
        <w:t>（</w:t>
      </w:r>
      <w:r w:rsidR="00213083" w:rsidRPr="004D451D">
        <w:rPr>
          <w:rFonts w:ascii="Times New Roman" w:hAnsi="Times New Roman"/>
          <w:b/>
        </w:rPr>
        <w:t>個體</w:t>
      </w:r>
      <w:r w:rsidR="004D6F49" w:rsidRPr="004D451D">
        <w:rPr>
          <w:rFonts w:ascii="Times New Roman" w:hAnsi="Times New Roman" w:hint="eastAsia"/>
          <w:b/>
        </w:rPr>
        <w:t>）</w:t>
      </w:r>
    </w:p>
    <w:p w:rsidR="00E03BBD" w:rsidRPr="004D451D" w:rsidRDefault="00AC410E" w:rsidP="00E013EC">
      <w:pPr>
        <w:pStyle w:val="ad"/>
        <w:spacing w:before="120" w:after="120" w:line="240" w:lineRule="auto"/>
        <w:ind w:left="0" w:firstLine="0"/>
        <w:jc w:val="right"/>
        <w:rPr>
          <w:rFonts w:ascii="Times New Roman" w:hAnsi="Times New Roman"/>
          <w:szCs w:val="32"/>
        </w:rPr>
      </w:pPr>
      <w:r w:rsidRPr="004D451D">
        <w:rPr>
          <w:rFonts w:ascii="Times New Roman" w:hAnsi="Times New Roman" w:hint="eastAsia"/>
          <w:szCs w:val="32"/>
        </w:rPr>
        <w:t>10</w:t>
      </w:r>
      <w:r w:rsidR="00A57CF1" w:rsidRPr="004D451D">
        <w:rPr>
          <w:rFonts w:ascii="Times New Roman" w:hAnsi="Times New Roman" w:hint="eastAsia"/>
          <w:szCs w:val="32"/>
        </w:rPr>
        <w:t>7</w:t>
      </w:r>
      <w:r w:rsidR="00E03BBD" w:rsidRPr="004D451D">
        <w:rPr>
          <w:rFonts w:ascii="Times New Roman" w:hAnsi="Times New Roman"/>
          <w:szCs w:val="32"/>
        </w:rPr>
        <w:t>年</w:t>
      </w:r>
      <w:r w:rsidR="00A57CF1" w:rsidRPr="004D451D">
        <w:rPr>
          <w:rFonts w:ascii="Times New Roman" w:hAnsi="Times New Roman" w:hint="eastAsia"/>
          <w:szCs w:val="32"/>
        </w:rPr>
        <w:t>06</w:t>
      </w:r>
      <w:r w:rsidR="00E03BBD" w:rsidRPr="004D451D">
        <w:rPr>
          <w:rFonts w:ascii="Times New Roman" w:hAnsi="Times New Roman"/>
          <w:szCs w:val="32"/>
        </w:rPr>
        <w:t>月</w:t>
      </w:r>
      <w:r w:rsidRPr="004D451D">
        <w:rPr>
          <w:rFonts w:ascii="Times New Roman" w:hAnsi="Times New Roman" w:hint="eastAsia"/>
          <w:szCs w:val="32"/>
        </w:rPr>
        <w:t>3</w:t>
      </w:r>
      <w:r w:rsidR="00A57CF1" w:rsidRPr="004D451D">
        <w:rPr>
          <w:rFonts w:ascii="Times New Roman" w:hAnsi="Times New Roman" w:hint="eastAsia"/>
          <w:szCs w:val="32"/>
        </w:rPr>
        <w:t>0</w:t>
      </w:r>
      <w:r w:rsidR="00E03BBD" w:rsidRPr="004D451D">
        <w:rPr>
          <w:rFonts w:ascii="Times New Roman" w:hAnsi="Times New Roman"/>
          <w:szCs w:val="32"/>
        </w:rPr>
        <w:t>日</w:t>
      </w:r>
      <w:r w:rsidR="00F7707E" w:rsidRPr="004D451D">
        <w:rPr>
          <w:rFonts w:ascii="Times New Roman" w:hAnsi="Times New Roman" w:hint="eastAsia"/>
          <w:szCs w:val="32"/>
        </w:rPr>
        <w:t xml:space="preserve">　　　　　</w:t>
      </w:r>
      <w:r w:rsidR="00531C88" w:rsidRPr="004D451D">
        <w:rPr>
          <w:rFonts w:ascii="Times New Roman" w:hAnsi="Times New Roman" w:hint="eastAsia"/>
          <w:sz w:val="24"/>
          <w:szCs w:val="32"/>
        </w:rPr>
        <w:t>（</w:t>
      </w:r>
      <w:r w:rsidR="00E013EC" w:rsidRPr="004D451D">
        <w:rPr>
          <w:rFonts w:ascii="Times New Roman" w:hAnsi="Times New Roman"/>
          <w:sz w:val="24"/>
        </w:rPr>
        <w:t>單位：新臺幣千元</w:t>
      </w:r>
      <w:r w:rsidR="00531C88" w:rsidRPr="004D451D">
        <w:rPr>
          <w:rFonts w:ascii="Times New Roman" w:hAnsi="Times New Roman" w:hint="eastAsia"/>
          <w:sz w:val="24"/>
        </w:rPr>
        <w:t>）</w:t>
      </w:r>
    </w:p>
    <w:tbl>
      <w:tblPr>
        <w:tblW w:w="10785" w:type="dxa"/>
        <w:tblInd w:w="-806" w:type="dxa"/>
        <w:tblLayout w:type="fixed"/>
        <w:tblCellMar>
          <w:left w:w="28" w:type="dxa"/>
          <w:right w:w="28" w:type="dxa"/>
        </w:tblCellMar>
        <w:tblLook w:val="0000" w:firstRow="0" w:lastRow="0" w:firstColumn="0" w:lastColumn="0" w:noHBand="0" w:noVBand="0"/>
      </w:tblPr>
      <w:tblGrid>
        <w:gridCol w:w="611"/>
        <w:gridCol w:w="4759"/>
        <w:gridCol w:w="1793"/>
        <w:gridCol w:w="1796"/>
        <w:gridCol w:w="1797"/>
        <w:gridCol w:w="29"/>
      </w:tblGrid>
      <w:tr w:rsidR="004D451D" w:rsidRPr="004D451D" w:rsidTr="00AC410E">
        <w:trPr>
          <w:trHeight w:val="282"/>
          <w:tblHeader/>
        </w:trPr>
        <w:tc>
          <w:tcPr>
            <w:tcW w:w="5370" w:type="dxa"/>
            <w:gridSpan w:val="2"/>
            <w:vMerge w:val="restart"/>
            <w:tcBorders>
              <w:top w:val="single" w:sz="4" w:space="0" w:color="auto"/>
              <w:left w:val="single" w:sz="4" w:space="0" w:color="auto"/>
              <w:right w:val="single" w:sz="4" w:space="0" w:color="auto"/>
            </w:tcBorders>
            <w:vAlign w:val="center"/>
          </w:tcPr>
          <w:p w:rsidR="001C0E4B" w:rsidRPr="004D451D" w:rsidRDefault="001C0E4B" w:rsidP="00C57753">
            <w:pPr>
              <w:widowControl/>
              <w:jc w:val="center"/>
              <w:rPr>
                <w:rFonts w:eastAsia="標楷體"/>
                <w:kern w:val="0"/>
              </w:rPr>
            </w:pPr>
            <w:r w:rsidRPr="004D451D">
              <w:rPr>
                <w:rFonts w:eastAsia="標楷體"/>
                <w:kern w:val="0"/>
              </w:rPr>
              <w:t>項目</w:t>
            </w:r>
          </w:p>
        </w:tc>
        <w:tc>
          <w:tcPr>
            <w:tcW w:w="3589" w:type="dxa"/>
            <w:gridSpan w:val="2"/>
            <w:tcBorders>
              <w:top w:val="single" w:sz="4" w:space="0" w:color="auto"/>
              <w:left w:val="single" w:sz="4" w:space="0" w:color="auto"/>
              <w:bottom w:val="single" w:sz="4" w:space="0" w:color="auto"/>
              <w:right w:val="single" w:sz="4" w:space="0" w:color="auto"/>
            </w:tcBorders>
            <w:vAlign w:val="center"/>
          </w:tcPr>
          <w:p w:rsidR="001C0E4B" w:rsidRPr="004D451D" w:rsidRDefault="001C0E4B" w:rsidP="003B432F">
            <w:pPr>
              <w:widowControl/>
              <w:jc w:val="center"/>
              <w:rPr>
                <w:rFonts w:eastAsia="標楷體"/>
                <w:kern w:val="0"/>
              </w:rPr>
            </w:pPr>
            <w:r w:rsidRPr="004D451D">
              <w:rPr>
                <w:rFonts w:eastAsia="標楷體"/>
                <w:kern w:val="0"/>
              </w:rPr>
              <w:t>風險性資產</w:t>
            </w:r>
          </w:p>
        </w:tc>
        <w:tc>
          <w:tcPr>
            <w:tcW w:w="1826" w:type="dxa"/>
            <w:gridSpan w:val="2"/>
            <w:tcBorders>
              <w:top w:val="single" w:sz="4" w:space="0" w:color="auto"/>
              <w:left w:val="nil"/>
              <w:bottom w:val="single" w:sz="4" w:space="0" w:color="auto"/>
              <w:right w:val="single" w:sz="4" w:space="0" w:color="auto"/>
            </w:tcBorders>
            <w:vAlign w:val="center"/>
          </w:tcPr>
          <w:p w:rsidR="001C0E4B" w:rsidRPr="004D451D" w:rsidRDefault="001C0E4B" w:rsidP="003B432F">
            <w:pPr>
              <w:widowControl/>
              <w:jc w:val="center"/>
              <w:rPr>
                <w:rFonts w:eastAsia="標楷體"/>
                <w:kern w:val="0"/>
              </w:rPr>
            </w:pPr>
            <w:r w:rsidRPr="004D451D">
              <w:rPr>
                <w:rFonts w:eastAsia="標楷體"/>
                <w:kern w:val="0"/>
              </w:rPr>
              <w:t>最低資本要求</w:t>
            </w:r>
          </w:p>
        </w:tc>
      </w:tr>
      <w:tr w:rsidR="004D451D" w:rsidRPr="004D451D" w:rsidTr="00AC410E">
        <w:trPr>
          <w:trHeight w:val="236"/>
          <w:tblHeader/>
        </w:trPr>
        <w:tc>
          <w:tcPr>
            <w:tcW w:w="5370" w:type="dxa"/>
            <w:gridSpan w:val="2"/>
            <w:vMerge/>
            <w:tcBorders>
              <w:left w:val="single" w:sz="4" w:space="0" w:color="auto"/>
              <w:bottom w:val="single" w:sz="4" w:space="0" w:color="auto"/>
              <w:right w:val="single" w:sz="4" w:space="0" w:color="auto"/>
            </w:tcBorders>
            <w:vAlign w:val="center"/>
          </w:tcPr>
          <w:p w:rsidR="00A57CF1" w:rsidRPr="004D451D" w:rsidRDefault="00A57CF1" w:rsidP="003B432F">
            <w:pPr>
              <w:widowControl/>
              <w:jc w:val="both"/>
              <w:rPr>
                <w:rFonts w:eastAsia="標楷體"/>
                <w:kern w:val="0"/>
              </w:rPr>
            </w:pPr>
          </w:p>
        </w:tc>
        <w:tc>
          <w:tcPr>
            <w:tcW w:w="1793" w:type="dxa"/>
            <w:tcBorders>
              <w:top w:val="nil"/>
              <w:left w:val="nil"/>
              <w:bottom w:val="single" w:sz="4" w:space="0" w:color="auto"/>
              <w:right w:val="single" w:sz="4" w:space="0" w:color="auto"/>
            </w:tcBorders>
            <w:vAlign w:val="center"/>
          </w:tcPr>
          <w:p w:rsidR="00A57CF1" w:rsidRPr="004D451D" w:rsidRDefault="00A57CF1" w:rsidP="001F240C">
            <w:pPr>
              <w:widowControl/>
              <w:jc w:val="center"/>
              <w:rPr>
                <w:rFonts w:eastAsia="標楷體"/>
                <w:kern w:val="0"/>
              </w:rPr>
            </w:pPr>
            <w:r w:rsidRPr="004D451D">
              <w:rPr>
                <w:rFonts w:eastAsia="標楷體"/>
                <w:kern w:val="0"/>
              </w:rPr>
              <w:t>本期</w:t>
            </w:r>
            <w:r w:rsidRPr="004D451D">
              <w:rPr>
                <w:rFonts w:eastAsia="標楷體" w:hint="eastAsia"/>
                <w:kern w:val="0"/>
              </w:rPr>
              <w:t>A</w:t>
            </w:r>
          </w:p>
        </w:tc>
        <w:tc>
          <w:tcPr>
            <w:tcW w:w="1796" w:type="dxa"/>
            <w:tcBorders>
              <w:top w:val="nil"/>
              <w:left w:val="nil"/>
              <w:bottom w:val="single" w:sz="4" w:space="0" w:color="auto"/>
              <w:right w:val="single" w:sz="4" w:space="0" w:color="auto"/>
            </w:tcBorders>
            <w:vAlign w:val="center"/>
          </w:tcPr>
          <w:p w:rsidR="00A57CF1" w:rsidRPr="004D451D" w:rsidRDefault="00A57CF1" w:rsidP="001F240C">
            <w:pPr>
              <w:widowControl/>
              <w:jc w:val="center"/>
              <w:rPr>
                <w:rFonts w:eastAsia="標楷體"/>
                <w:kern w:val="0"/>
              </w:rPr>
            </w:pPr>
            <w:r w:rsidRPr="004D451D">
              <w:rPr>
                <w:rFonts w:eastAsia="標楷體"/>
                <w:kern w:val="0"/>
              </w:rPr>
              <w:t>前期</w:t>
            </w:r>
            <w:r w:rsidRPr="004D451D">
              <w:rPr>
                <w:rFonts w:eastAsia="標楷體" w:hint="eastAsia"/>
                <w:kern w:val="0"/>
              </w:rPr>
              <w:t>B</w:t>
            </w:r>
          </w:p>
        </w:tc>
        <w:tc>
          <w:tcPr>
            <w:tcW w:w="1826" w:type="dxa"/>
            <w:gridSpan w:val="2"/>
            <w:tcBorders>
              <w:top w:val="single" w:sz="4" w:space="0" w:color="auto"/>
              <w:left w:val="nil"/>
              <w:bottom w:val="single" w:sz="4" w:space="0" w:color="auto"/>
              <w:right w:val="single" w:sz="4" w:space="0" w:color="auto"/>
            </w:tcBorders>
            <w:vAlign w:val="center"/>
          </w:tcPr>
          <w:p w:rsidR="00A57CF1" w:rsidRPr="004D451D" w:rsidRDefault="00A57CF1" w:rsidP="001F240C">
            <w:pPr>
              <w:widowControl/>
              <w:jc w:val="center"/>
              <w:rPr>
                <w:rFonts w:eastAsia="標楷體"/>
                <w:kern w:val="0"/>
              </w:rPr>
            </w:pPr>
            <w:r w:rsidRPr="004D451D">
              <w:rPr>
                <w:rFonts w:eastAsia="標楷體"/>
                <w:kern w:val="0"/>
              </w:rPr>
              <w:t>本期</w:t>
            </w:r>
            <w:r w:rsidRPr="004D451D">
              <w:rPr>
                <w:rFonts w:eastAsia="標楷體" w:hint="eastAsia"/>
                <w:kern w:val="0"/>
              </w:rPr>
              <w:t>C</w:t>
            </w:r>
          </w:p>
        </w:tc>
      </w:tr>
      <w:tr w:rsidR="004D451D" w:rsidRPr="004D451D" w:rsidTr="00AC410E">
        <w:trPr>
          <w:trHeight w:val="431"/>
        </w:trPr>
        <w:tc>
          <w:tcPr>
            <w:tcW w:w="611" w:type="dxa"/>
            <w:tcBorders>
              <w:top w:val="nil"/>
              <w:left w:val="single" w:sz="4" w:space="0" w:color="auto"/>
              <w:bottom w:val="single" w:sz="4" w:space="0" w:color="auto"/>
              <w:right w:val="single" w:sz="4" w:space="0" w:color="auto"/>
            </w:tcBorders>
            <w:vAlign w:val="center"/>
          </w:tcPr>
          <w:p w:rsidR="00CB1034" w:rsidRPr="004D451D" w:rsidRDefault="00CB1034" w:rsidP="003B432F">
            <w:pPr>
              <w:widowControl/>
              <w:jc w:val="center"/>
              <w:rPr>
                <w:rFonts w:eastAsia="標楷體"/>
                <w:kern w:val="0"/>
              </w:rPr>
            </w:pPr>
            <w:r w:rsidRPr="004D451D">
              <w:rPr>
                <w:rFonts w:eastAsia="標楷體"/>
                <w:kern w:val="0"/>
              </w:rPr>
              <w:t>1</w:t>
            </w:r>
          </w:p>
        </w:tc>
        <w:tc>
          <w:tcPr>
            <w:tcW w:w="4759" w:type="dxa"/>
            <w:tcBorders>
              <w:top w:val="nil"/>
              <w:left w:val="nil"/>
              <w:bottom w:val="single" w:sz="4" w:space="0" w:color="auto"/>
              <w:right w:val="single" w:sz="4" w:space="0" w:color="auto"/>
            </w:tcBorders>
            <w:vAlign w:val="center"/>
          </w:tcPr>
          <w:p w:rsidR="00CB1034" w:rsidRPr="004D451D" w:rsidRDefault="00CB1034" w:rsidP="003B432F">
            <w:pPr>
              <w:widowControl/>
              <w:rPr>
                <w:rFonts w:eastAsia="標楷體"/>
                <w:kern w:val="0"/>
              </w:rPr>
            </w:pPr>
            <w:r w:rsidRPr="004D451D">
              <w:rPr>
                <w:rFonts w:eastAsia="標楷體"/>
                <w:kern w:val="0"/>
              </w:rPr>
              <w:t>信用風險</w:t>
            </w:r>
            <w:r w:rsidRPr="004D451D">
              <w:rPr>
                <w:rFonts w:eastAsia="標楷體"/>
                <w:kern w:val="0"/>
              </w:rPr>
              <w:t>(</w:t>
            </w:r>
            <w:r w:rsidRPr="004D451D">
              <w:rPr>
                <w:rFonts w:eastAsia="標楷體"/>
                <w:kern w:val="0"/>
              </w:rPr>
              <w:t>不含交易對手信用風險</w:t>
            </w:r>
            <w:r w:rsidRPr="004D451D">
              <w:rPr>
                <w:rFonts w:eastAsia="標楷體"/>
                <w:kern w:val="0"/>
              </w:rPr>
              <w:t>)(CCR)</w:t>
            </w:r>
          </w:p>
        </w:tc>
        <w:tc>
          <w:tcPr>
            <w:tcW w:w="1793" w:type="dxa"/>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189,364,601</w:t>
            </w:r>
          </w:p>
        </w:tc>
        <w:tc>
          <w:tcPr>
            <w:tcW w:w="1796" w:type="dxa"/>
            <w:tcBorders>
              <w:top w:val="nil"/>
              <w:left w:val="nil"/>
              <w:bottom w:val="single" w:sz="4" w:space="0" w:color="auto"/>
              <w:right w:val="single" w:sz="4" w:space="0" w:color="auto"/>
            </w:tcBorders>
            <w:vAlign w:val="center"/>
          </w:tcPr>
          <w:p w:rsidR="00CB1034" w:rsidRPr="004D451D" w:rsidRDefault="00CB1034" w:rsidP="001F240C">
            <w:pPr>
              <w:jc w:val="right"/>
              <w:rPr>
                <w:rFonts w:ascii="Arial" w:hAnsi="Arial" w:cs="Arial"/>
              </w:rPr>
            </w:pPr>
            <w:r w:rsidRPr="004D451D">
              <w:rPr>
                <w:rFonts w:ascii="Arial" w:hAnsi="Arial" w:cs="Arial"/>
              </w:rPr>
              <w:t>182,189,600</w:t>
            </w:r>
          </w:p>
        </w:tc>
        <w:tc>
          <w:tcPr>
            <w:tcW w:w="1826" w:type="dxa"/>
            <w:gridSpan w:val="2"/>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15,149,168</w:t>
            </w:r>
          </w:p>
        </w:tc>
      </w:tr>
      <w:tr w:rsidR="004D451D" w:rsidRPr="004D451D" w:rsidTr="00AC410E">
        <w:trPr>
          <w:trHeight w:val="379"/>
        </w:trPr>
        <w:tc>
          <w:tcPr>
            <w:tcW w:w="611" w:type="dxa"/>
            <w:tcBorders>
              <w:top w:val="nil"/>
              <w:left w:val="single" w:sz="4" w:space="0" w:color="auto"/>
              <w:bottom w:val="single" w:sz="4" w:space="0" w:color="auto"/>
              <w:right w:val="single" w:sz="4" w:space="0" w:color="auto"/>
            </w:tcBorders>
            <w:vAlign w:val="center"/>
          </w:tcPr>
          <w:p w:rsidR="00CB1034" w:rsidRPr="004D451D" w:rsidRDefault="00CB1034" w:rsidP="003B432F">
            <w:pPr>
              <w:widowControl/>
              <w:jc w:val="center"/>
              <w:rPr>
                <w:rFonts w:eastAsia="標楷體"/>
                <w:kern w:val="0"/>
              </w:rPr>
            </w:pPr>
            <w:r w:rsidRPr="004D451D">
              <w:rPr>
                <w:rFonts w:eastAsia="標楷體"/>
                <w:kern w:val="0"/>
              </w:rPr>
              <w:t>2</w:t>
            </w:r>
          </w:p>
        </w:tc>
        <w:tc>
          <w:tcPr>
            <w:tcW w:w="4759" w:type="dxa"/>
            <w:tcBorders>
              <w:top w:val="nil"/>
              <w:left w:val="nil"/>
              <w:bottom w:val="single" w:sz="4" w:space="0" w:color="auto"/>
              <w:right w:val="single" w:sz="4" w:space="0" w:color="auto"/>
            </w:tcBorders>
            <w:vAlign w:val="center"/>
          </w:tcPr>
          <w:p w:rsidR="00CB1034" w:rsidRPr="004D451D" w:rsidRDefault="00CB1034" w:rsidP="001C0E4B">
            <w:pPr>
              <w:widowControl/>
              <w:ind w:leftChars="100" w:left="240"/>
              <w:rPr>
                <w:rFonts w:eastAsia="標楷體"/>
                <w:kern w:val="0"/>
              </w:rPr>
            </w:pPr>
            <w:r w:rsidRPr="004D451D">
              <w:rPr>
                <w:rFonts w:eastAsia="標楷體"/>
                <w:kern w:val="0"/>
              </w:rPr>
              <w:t>標準法</w:t>
            </w:r>
            <w:r w:rsidRPr="004D451D">
              <w:rPr>
                <w:rFonts w:eastAsia="標楷體"/>
                <w:kern w:val="0"/>
              </w:rPr>
              <w:t>(SA)</w:t>
            </w:r>
          </w:p>
        </w:tc>
        <w:tc>
          <w:tcPr>
            <w:tcW w:w="1793" w:type="dxa"/>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189,364,601</w:t>
            </w:r>
          </w:p>
        </w:tc>
        <w:tc>
          <w:tcPr>
            <w:tcW w:w="1796" w:type="dxa"/>
            <w:tcBorders>
              <w:top w:val="nil"/>
              <w:left w:val="nil"/>
              <w:bottom w:val="single" w:sz="4" w:space="0" w:color="auto"/>
              <w:right w:val="single" w:sz="4" w:space="0" w:color="auto"/>
            </w:tcBorders>
            <w:vAlign w:val="center"/>
          </w:tcPr>
          <w:p w:rsidR="00CB1034" w:rsidRPr="004D451D" w:rsidRDefault="00CB1034" w:rsidP="001F240C">
            <w:pPr>
              <w:jc w:val="right"/>
              <w:rPr>
                <w:rFonts w:ascii="Arial" w:hAnsi="Arial" w:cs="Arial"/>
              </w:rPr>
            </w:pPr>
            <w:r w:rsidRPr="004D451D">
              <w:rPr>
                <w:rFonts w:ascii="Arial" w:hAnsi="Arial" w:cs="Arial"/>
              </w:rPr>
              <w:t>182,189,600</w:t>
            </w:r>
          </w:p>
        </w:tc>
        <w:tc>
          <w:tcPr>
            <w:tcW w:w="1826" w:type="dxa"/>
            <w:gridSpan w:val="2"/>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15,149,168</w:t>
            </w:r>
          </w:p>
        </w:tc>
      </w:tr>
      <w:tr w:rsidR="004D451D" w:rsidRPr="004D451D" w:rsidTr="00AC410E">
        <w:trPr>
          <w:trHeight w:val="395"/>
        </w:trPr>
        <w:tc>
          <w:tcPr>
            <w:tcW w:w="611" w:type="dxa"/>
            <w:tcBorders>
              <w:top w:val="nil"/>
              <w:left w:val="single" w:sz="4" w:space="0" w:color="auto"/>
              <w:bottom w:val="single" w:sz="4" w:space="0" w:color="auto"/>
              <w:right w:val="single" w:sz="4" w:space="0" w:color="auto"/>
            </w:tcBorders>
            <w:vAlign w:val="center"/>
          </w:tcPr>
          <w:p w:rsidR="00CB1034" w:rsidRPr="004D451D" w:rsidRDefault="00CB1034" w:rsidP="003B432F">
            <w:pPr>
              <w:widowControl/>
              <w:jc w:val="center"/>
              <w:rPr>
                <w:rFonts w:eastAsia="標楷體"/>
                <w:kern w:val="0"/>
              </w:rPr>
            </w:pPr>
            <w:r w:rsidRPr="004D451D">
              <w:rPr>
                <w:rFonts w:eastAsia="標楷體"/>
                <w:kern w:val="0"/>
              </w:rPr>
              <w:t>3</w:t>
            </w:r>
          </w:p>
        </w:tc>
        <w:tc>
          <w:tcPr>
            <w:tcW w:w="4759" w:type="dxa"/>
            <w:tcBorders>
              <w:top w:val="nil"/>
              <w:left w:val="nil"/>
              <w:bottom w:val="single" w:sz="4" w:space="0" w:color="auto"/>
              <w:right w:val="single" w:sz="4" w:space="0" w:color="auto"/>
            </w:tcBorders>
            <w:vAlign w:val="center"/>
          </w:tcPr>
          <w:p w:rsidR="00CB1034" w:rsidRPr="004D451D" w:rsidRDefault="00CB1034" w:rsidP="001C0E4B">
            <w:pPr>
              <w:widowControl/>
              <w:ind w:leftChars="100" w:left="240"/>
              <w:rPr>
                <w:rFonts w:eastAsia="標楷體"/>
                <w:kern w:val="0"/>
              </w:rPr>
            </w:pPr>
            <w:r w:rsidRPr="004D451D">
              <w:rPr>
                <w:rFonts w:eastAsia="標楷體"/>
                <w:kern w:val="0"/>
              </w:rPr>
              <w:t>內部評等法</w:t>
            </w:r>
            <w:r w:rsidRPr="004D451D">
              <w:rPr>
                <w:rFonts w:eastAsia="標楷體"/>
                <w:kern w:val="0"/>
              </w:rPr>
              <w:t>(IRB)</w:t>
            </w:r>
          </w:p>
        </w:tc>
        <w:tc>
          <w:tcPr>
            <w:tcW w:w="1793" w:type="dxa"/>
            <w:tcBorders>
              <w:top w:val="nil"/>
              <w:left w:val="nil"/>
              <w:bottom w:val="single" w:sz="4" w:space="0" w:color="auto"/>
              <w:right w:val="single" w:sz="4" w:space="0" w:color="auto"/>
            </w:tcBorders>
            <w:vAlign w:val="center"/>
          </w:tcPr>
          <w:p w:rsidR="00CB1034" w:rsidRPr="004D451D" w:rsidRDefault="00CB1034" w:rsidP="00A57CF1">
            <w:pPr>
              <w:jc w:val="right"/>
              <w:rPr>
                <w:rFonts w:ascii="Arial" w:hAnsi="Arial" w:cs="Arial"/>
              </w:rPr>
            </w:pP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CB1034" w:rsidRPr="004D451D" w:rsidRDefault="00CB1034" w:rsidP="001F240C">
            <w:pPr>
              <w:jc w:val="right"/>
              <w:rPr>
                <w:rFonts w:ascii="Arial" w:hAnsi="Arial" w:cs="Arial"/>
              </w:rPr>
            </w:pPr>
            <w:r w:rsidRPr="004D451D">
              <w:rPr>
                <w:rFonts w:ascii="Arial" w:hAnsi="Arial" w:cs="Arial"/>
              </w:rPr>
              <w:t xml:space="preserve">　</w:t>
            </w:r>
          </w:p>
        </w:tc>
        <w:tc>
          <w:tcPr>
            <w:tcW w:w="1826" w:type="dxa"/>
            <w:gridSpan w:val="2"/>
            <w:tcBorders>
              <w:top w:val="nil"/>
              <w:left w:val="nil"/>
              <w:bottom w:val="single" w:sz="4" w:space="0" w:color="auto"/>
              <w:right w:val="single" w:sz="4" w:space="0" w:color="auto"/>
            </w:tcBorders>
            <w:vAlign w:val="center"/>
          </w:tcPr>
          <w:p w:rsidR="00CB1034" w:rsidRPr="004D451D" w:rsidRDefault="00CB1034" w:rsidP="00CB1034">
            <w:pPr>
              <w:jc w:val="right"/>
              <w:rPr>
                <w:rFonts w:ascii="Arial" w:hAnsi="Arial" w:cs="Arial"/>
              </w:rPr>
            </w:pPr>
            <w:r w:rsidRPr="004D451D">
              <w:rPr>
                <w:rFonts w:ascii="Arial" w:hAnsi="Arial" w:cs="Arial"/>
              </w:rPr>
              <w:t xml:space="preserve">　</w:t>
            </w:r>
          </w:p>
        </w:tc>
      </w:tr>
      <w:tr w:rsidR="004D451D" w:rsidRPr="004D451D" w:rsidTr="00AC410E">
        <w:trPr>
          <w:trHeight w:val="381"/>
        </w:trPr>
        <w:tc>
          <w:tcPr>
            <w:tcW w:w="611" w:type="dxa"/>
            <w:tcBorders>
              <w:top w:val="nil"/>
              <w:left w:val="single" w:sz="4" w:space="0" w:color="auto"/>
              <w:bottom w:val="single" w:sz="4" w:space="0" w:color="auto"/>
              <w:right w:val="single" w:sz="4" w:space="0" w:color="auto"/>
            </w:tcBorders>
            <w:vAlign w:val="center"/>
          </w:tcPr>
          <w:p w:rsidR="00CB1034" w:rsidRPr="004D451D" w:rsidRDefault="00CB1034" w:rsidP="003B432F">
            <w:pPr>
              <w:widowControl/>
              <w:jc w:val="center"/>
              <w:rPr>
                <w:rFonts w:eastAsia="標楷體"/>
                <w:kern w:val="0"/>
              </w:rPr>
            </w:pPr>
            <w:r w:rsidRPr="004D451D">
              <w:rPr>
                <w:rFonts w:eastAsia="標楷體"/>
                <w:kern w:val="0"/>
              </w:rPr>
              <w:t>4</w:t>
            </w:r>
          </w:p>
        </w:tc>
        <w:tc>
          <w:tcPr>
            <w:tcW w:w="4759" w:type="dxa"/>
            <w:tcBorders>
              <w:top w:val="nil"/>
              <w:left w:val="nil"/>
              <w:bottom w:val="single" w:sz="4" w:space="0" w:color="auto"/>
              <w:right w:val="single" w:sz="4" w:space="0" w:color="auto"/>
            </w:tcBorders>
            <w:vAlign w:val="center"/>
          </w:tcPr>
          <w:p w:rsidR="00CB1034" w:rsidRPr="004D451D" w:rsidRDefault="00CB1034" w:rsidP="003B432F">
            <w:pPr>
              <w:widowControl/>
              <w:rPr>
                <w:rFonts w:eastAsia="標楷體"/>
                <w:kern w:val="0"/>
              </w:rPr>
            </w:pPr>
            <w:r w:rsidRPr="004D451D">
              <w:rPr>
                <w:rFonts w:eastAsia="標楷體"/>
                <w:kern w:val="0"/>
              </w:rPr>
              <w:t>交易對手信用風險</w:t>
            </w:r>
          </w:p>
        </w:tc>
        <w:tc>
          <w:tcPr>
            <w:tcW w:w="1793" w:type="dxa"/>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4,357,399</w:t>
            </w:r>
          </w:p>
        </w:tc>
        <w:tc>
          <w:tcPr>
            <w:tcW w:w="1796" w:type="dxa"/>
            <w:tcBorders>
              <w:top w:val="nil"/>
              <w:left w:val="nil"/>
              <w:bottom w:val="single" w:sz="4" w:space="0" w:color="auto"/>
              <w:right w:val="single" w:sz="4" w:space="0" w:color="auto"/>
            </w:tcBorders>
            <w:vAlign w:val="center"/>
          </w:tcPr>
          <w:p w:rsidR="00CB1034" w:rsidRPr="004D451D" w:rsidRDefault="00CB1034" w:rsidP="001F240C">
            <w:pPr>
              <w:jc w:val="right"/>
              <w:rPr>
                <w:rFonts w:ascii="Arial" w:hAnsi="Arial" w:cs="Arial"/>
              </w:rPr>
            </w:pPr>
            <w:r w:rsidRPr="004D451D">
              <w:rPr>
                <w:rFonts w:ascii="Arial" w:hAnsi="Arial" w:cs="Arial"/>
              </w:rPr>
              <w:t>4,728,307</w:t>
            </w:r>
          </w:p>
        </w:tc>
        <w:tc>
          <w:tcPr>
            <w:tcW w:w="1826" w:type="dxa"/>
            <w:gridSpan w:val="2"/>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348,592</w:t>
            </w:r>
          </w:p>
        </w:tc>
      </w:tr>
      <w:tr w:rsidR="004D451D" w:rsidRPr="004D451D" w:rsidTr="00AC410E">
        <w:trPr>
          <w:trHeight w:val="376"/>
        </w:trPr>
        <w:tc>
          <w:tcPr>
            <w:tcW w:w="611" w:type="dxa"/>
            <w:tcBorders>
              <w:top w:val="nil"/>
              <w:left w:val="single" w:sz="4" w:space="0" w:color="auto"/>
              <w:bottom w:val="single" w:sz="4" w:space="0" w:color="auto"/>
              <w:right w:val="single" w:sz="4" w:space="0" w:color="auto"/>
            </w:tcBorders>
            <w:vAlign w:val="center"/>
          </w:tcPr>
          <w:p w:rsidR="00CB1034" w:rsidRPr="004D451D" w:rsidRDefault="00CB1034" w:rsidP="003B432F">
            <w:pPr>
              <w:widowControl/>
              <w:jc w:val="center"/>
              <w:rPr>
                <w:rFonts w:eastAsia="標楷體"/>
                <w:kern w:val="0"/>
              </w:rPr>
            </w:pPr>
            <w:r w:rsidRPr="004D451D">
              <w:rPr>
                <w:rFonts w:eastAsia="標楷體"/>
                <w:kern w:val="0"/>
              </w:rPr>
              <w:t>5</w:t>
            </w:r>
          </w:p>
        </w:tc>
        <w:tc>
          <w:tcPr>
            <w:tcW w:w="4759" w:type="dxa"/>
            <w:tcBorders>
              <w:top w:val="nil"/>
              <w:left w:val="nil"/>
              <w:bottom w:val="single" w:sz="4" w:space="0" w:color="auto"/>
              <w:right w:val="single" w:sz="4" w:space="0" w:color="auto"/>
            </w:tcBorders>
            <w:vAlign w:val="center"/>
          </w:tcPr>
          <w:p w:rsidR="00CB1034" w:rsidRPr="004D451D" w:rsidRDefault="00CB1034" w:rsidP="001C0E4B">
            <w:pPr>
              <w:widowControl/>
              <w:ind w:leftChars="100" w:left="240"/>
              <w:rPr>
                <w:rFonts w:eastAsia="標楷體"/>
                <w:kern w:val="0"/>
              </w:rPr>
            </w:pPr>
            <w:r w:rsidRPr="004D451D">
              <w:rPr>
                <w:rFonts w:eastAsia="標楷體"/>
                <w:kern w:val="0"/>
              </w:rPr>
              <w:t>標準法</w:t>
            </w:r>
            <w:r w:rsidRPr="004D451D">
              <w:rPr>
                <w:rFonts w:eastAsia="標楷體"/>
                <w:kern w:val="0"/>
              </w:rPr>
              <w:t>(SA-CCR)</w:t>
            </w:r>
          </w:p>
        </w:tc>
        <w:tc>
          <w:tcPr>
            <w:tcW w:w="1793" w:type="dxa"/>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4,357,399</w:t>
            </w:r>
          </w:p>
        </w:tc>
        <w:tc>
          <w:tcPr>
            <w:tcW w:w="1796" w:type="dxa"/>
            <w:tcBorders>
              <w:top w:val="nil"/>
              <w:left w:val="nil"/>
              <w:bottom w:val="single" w:sz="4" w:space="0" w:color="auto"/>
              <w:right w:val="single" w:sz="4" w:space="0" w:color="auto"/>
            </w:tcBorders>
            <w:vAlign w:val="center"/>
          </w:tcPr>
          <w:p w:rsidR="00CB1034" w:rsidRPr="004D451D" w:rsidRDefault="00CB1034" w:rsidP="001F240C">
            <w:pPr>
              <w:jc w:val="right"/>
              <w:rPr>
                <w:rFonts w:ascii="Arial" w:hAnsi="Arial" w:cs="Arial"/>
              </w:rPr>
            </w:pPr>
            <w:r w:rsidRPr="004D451D">
              <w:rPr>
                <w:rFonts w:ascii="Arial" w:hAnsi="Arial" w:cs="Arial"/>
              </w:rPr>
              <w:t>4,728,307</w:t>
            </w:r>
          </w:p>
        </w:tc>
        <w:tc>
          <w:tcPr>
            <w:tcW w:w="1826" w:type="dxa"/>
            <w:gridSpan w:val="2"/>
            <w:tcBorders>
              <w:top w:val="nil"/>
              <w:left w:val="nil"/>
              <w:bottom w:val="single" w:sz="4" w:space="0" w:color="auto"/>
              <w:right w:val="single" w:sz="4" w:space="0" w:color="auto"/>
            </w:tcBorders>
            <w:vAlign w:val="center"/>
          </w:tcPr>
          <w:p w:rsidR="00CB1034" w:rsidRPr="004D451D" w:rsidRDefault="00CB1034">
            <w:pPr>
              <w:jc w:val="right"/>
              <w:rPr>
                <w:rFonts w:ascii="Arial" w:hAnsi="Arial" w:cs="Arial"/>
              </w:rPr>
            </w:pPr>
            <w:r w:rsidRPr="004D451D">
              <w:rPr>
                <w:rFonts w:ascii="Arial" w:hAnsi="Arial" w:cs="Arial"/>
              </w:rPr>
              <w:t>348,592</w:t>
            </w:r>
          </w:p>
        </w:tc>
      </w:tr>
      <w:tr w:rsidR="004D451D" w:rsidRPr="004D451D" w:rsidTr="00AC410E">
        <w:trPr>
          <w:trHeight w:val="392"/>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6</w:t>
            </w:r>
          </w:p>
        </w:tc>
        <w:tc>
          <w:tcPr>
            <w:tcW w:w="4759" w:type="dxa"/>
            <w:tcBorders>
              <w:top w:val="nil"/>
              <w:left w:val="nil"/>
              <w:bottom w:val="single" w:sz="4" w:space="0" w:color="auto"/>
              <w:right w:val="single" w:sz="4" w:space="0" w:color="auto"/>
            </w:tcBorders>
            <w:vAlign w:val="center"/>
          </w:tcPr>
          <w:p w:rsidR="009E4A0F" w:rsidRPr="004D451D" w:rsidRDefault="009E4A0F" w:rsidP="001C0E4B">
            <w:pPr>
              <w:widowControl/>
              <w:ind w:leftChars="100" w:left="240"/>
              <w:rPr>
                <w:rFonts w:eastAsia="標楷體"/>
                <w:kern w:val="0"/>
              </w:rPr>
            </w:pPr>
            <w:r w:rsidRPr="004D451D">
              <w:rPr>
                <w:rFonts w:eastAsia="標楷體"/>
                <w:kern w:val="0"/>
              </w:rPr>
              <w:t>內部模型</w:t>
            </w:r>
            <w:r w:rsidRPr="004D451D">
              <w:rPr>
                <w:rFonts w:eastAsia="標楷體" w:hint="eastAsia"/>
                <w:kern w:val="0"/>
              </w:rPr>
              <w:t>法</w:t>
            </w:r>
            <w:r w:rsidRPr="004D451D">
              <w:rPr>
                <w:rFonts w:eastAsia="標楷體"/>
                <w:kern w:val="0"/>
              </w:rPr>
              <w:t>(IMM)</w:t>
            </w:r>
          </w:p>
        </w:tc>
        <w:tc>
          <w:tcPr>
            <w:tcW w:w="1793"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4D451D"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378"/>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7</w:t>
            </w:r>
          </w:p>
        </w:tc>
        <w:tc>
          <w:tcPr>
            <w:tcW w:w="4759" w:type="dxa"/>
            <w:tcBorders>
              <w:top w:val="nil"/>
              <w:left w:val="nil"/>
              <w:bottom w:val="single" w:sz="4" w:space="0" w:color="auto"/>
              <w:right w:val="single" w:sz="4" w:space="0" w:color="auto"/>
            </w:tcBorders>
            <w:vAlign w:val="center"/>
          </w:tcPr>
          <w:p w:rsidR="009E4A0F" w:rsidRPr="004D451D" w:rsidRDefault="009E4A0F" w:rsidP="003B432F">
            <w:pPr>
              <w:widowControl/>
              <w:rPr>
                <w:rFonts w:eastAsia="標楷體"/>
                <w:kern w:val="0"/>
              </w:rPr>
            </w:pPr>
            <w:r w:rsidRPr="004D451D">
              <w:rPr>
                <w:rFonts w:eastAsia="標楷體"/>
                <w:kern w:val="0"/>
              </w:rPr>
              <w:t>市場基礎法下之銀行簿權益部位</w:t>
            </w:r>
          </w:p>
        </w:tc>
        <w:tc>
          <w:tcPr>
            <w:tcW w:w="1793"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4D451D"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8</w:t>
            </w:r>
          </w:p>
        </w:tc>
        <w:tc>
          <w:tcPr>
            <w:tcW w:w="4759" w:type="dxa"/>
            <w:tcBorders>
              <w:top w:val="nil"/>
              <w:left w:val="nil"/>
              <w:bottom w:val="single" w:sz="4" w:space="0" w:color="auto"/>
              <w:right w:val="single" w:sz="4" w:space="0" w:color="auto"/>
            </w:tcBorders>
            <w:vAlign w:val="center"/>
          </w:tcPr>
          <w:p w:rsidR="009E4A0F" w:rsidRPr="004D451D" w:rsidRDefault="009E4A0F" w:rsidP="00AF4BEC">
            <w:pPr>
              <w:widowControl/>
              <w:rPr>
                <w:rFonts w:eastAsia="標楷體"/>
                <w:kern w:val="0"/>
              </w:rPr>
            </w:pPr>
            <w:r w:rsidRPr="004D451D">
              <w:rPr>
                <w:rFonts w:eastAsia="標楷體"/>
                <w:kern w:val="0"/>
              </w:rPr>
              <w:t>拆解法</w:t>
            </w:r>
            <w:r w:rsidRPr="004D451D">
              <w:rPr>
                <w:rFonts w:eastAsia="標楷體"/>
                <w:kern w:val="0"/>
              </w:rPr>
              <w:t>(look-through approach)</w:t>
            </w:r>
            <w:r w:rsidRPr="004D451D">
              <w:rPr>
                <w:rFonts w:eastAsia="標楷體"/>
                <w:kern w:val="0"/>
              </w:rPr>
              <w:t>下之基金</w:t>
            </w:r>
            <w:r w:rsidRPr="004D451D">
              <w:rPr>
                <w:rFonts w:eastAsia="標楷體" w:hint="eastAsia"/>
                <w:kern w:val="0"/>
              </w:rPr>
              <w:t>股權</w:t>
            </w:r>
            <w:r w:rsidRPr="004D451D">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9</w:t>
            </w:r>
          </w:p>
        </w:tc>
        <w:tc>
          <w:tcPr>
            <w:tcW w:w="4759" w:type="dxa"/>
            <w:tcBorders>
              <w:top w:val="nil"/>
              <w:left w:val="nil"/>
              <w:bottom w:val="single" w:sz="4" w:space="0" w:color="auto"/>
              <w:right w:val="single" w:sz="4" w:space="0" w:color="auto"/>
            </w:tcBorders>
            <w:vAlign w:val="center"/>
          </w:tcPr>
          <w:p w:rsidR="009E4A0F" w:rsidRPr="004D451D" w:rsidRDefault="009E4A0F" w:rsidP="00AF4BEC">
            <w:pPr>
              <w:widowControl/>
              <w:rPr>
                <w:rFonts w:eastAsia="標楷體"/>
                <w:kern w:val="0"/>
              </w:rPr>
            </w:pPr>
            <w:r w:rsidRPr="004D451D">
              <w:rPr>
                <w:rFonts w:eastAsia="標楷體" w:hint="eastAsia"/>
                <w:kern w:val="0"/>
              </w:rPr>
              <w:t>委託基礎法</w:t>
            </w:r>
            <w:r w:rsidRPr="004D451D">
              <w:rPr>
                <w:rFonts w:eastAsia="標楷體"/>
                <w:kern w:val="0"/>
              </w:rPr>
              <w:t>(ma</w:t>
            </w:r>
            <w:r w:rsidRPr="004D451D">
              <w:rPr>
                <w:rFonts w:eastAsia="標楷體" w:hint="eastAsia"/>
                <w:kern w:val="0"/>
              </w:rPr>
              <w:t>n</w:t>
            </w:r>
            <w:r w:rsidRPr="004D451D">
              <w:rPr>
                <w:rFonts w:eastAsia="標楷體"/>
                <w:kern w:val="0"/>
              </w:rPr>
              <w:t>date-based approach)</w:t>
            </w:r>
            <w:r w:rsidRPr="004D451D">
              <w:rPr>
                <w:rFonts w:eastAsia="標楷體"/>
                <w:kern w:val="0"/>
              </w:rPr>
              <w:t>下之基金</w:t>
            </w:r>
            <w:r w:rsidRPr="004D451D">
              <w:rPr>
                <w:rFonts w:eastAsia="標楷體" w:hint="eastAsia"/>
                <w:kern w:val="0"/>
              </w:rPr>
              <w:t>股權</w:t>
            </w:r>
            <w:r w:rsidRPr="004D451D">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494"/>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10</w:t>
            </w:r>
          </w:p>
        </w:tc>
        <w:tc>
          <w:tcPr>
            <w:tcW w:w="4759" w:type="dxa"/>
            <w:tcBorders>
              <w:top w:val="nil"/>
              <w:left w:val="nil"/>
              <w:bottom w:val="single" w:sz="4" w:space="0" w:color="auto"/>
              <w:right w:val="single" w:sz="4" w:space="0" w:color="auto"/>
            </w:tcBorders>
            <w:vAlign w:val="center"/>
          </w:tcPr>
          <w:p w:rsidR="009E4A0F" w:rsidRPr="004D451D" w:rsidRDefault="009E4A0F" w:rsidP="00AF4BEC">
            <w:pPr>
              <w:widowControl/>
              <w:rPr>
                <w:rFonts w:eastAsia="標楷體"/>
                <w:kern w:val="0"/>
              </w:rPr>
            </w:pPr>
            <w:r w:rsidRPr="004D451D">
              <w:rPr>
                <w:rFonts w:eastAsia="標楷體" w:hint="eastAsia"/>
                <w:kern w:val="0"/>
              </w:rPr>
              <w:t>備用</w:t>
            </w:r>
            <w:r w:rsidRPr="004D451D">
              <w:rPr>
                <w:rFonts w:eastAsia="標楷體"/>
                <w:kern w:val="0"/>
              </w:rPr>
              <w:t>法</w:t>
            </w:r>
            <w:r w:rsidRPr="004D451D">
              <w:rPr>
                <w:rFonts w:eastAsia="標楷體"/>
                <w:kern w:val="0"/>
              </w:rPr>
              <w:t>(fall-back approach)</w:t>
            </w:r>
            <w:r w:rsidRPr="004D451D">
              <w:rPr>
                <w:rFonts w:eastAsia="標楷體"/>
                <w:kern w:val="0"/>
              </w:rPr>
              <w:t>下之基金</w:t>
            </w:r>
            <w:r w:rsidRPr="004D451D">
              <w:rPr>
                <w:rFonts w:eastAsia="標楷體" w:hint="eastAsia"/>
                <w:kern w:val="0"/>
              </w:rPr>
              <w:t>股權</w:t>
            </w:r>
            <w:r w:rsidRPr="004D451D">
              <w:rPr>
                <w:rFonts w:eastAsia="標楷體"/>
                <w:kern w:val="0"/>
              </w:rPr>
              <w:t>投資</w:t>
            </w:r>
          </w:p>
        </w:tc>
        <w:tc>
          <w:tcPr>
            <w:tcW w:w="1793" w:type="dxa"/>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widowControl/>
              <w:jc w:val="right"/>
              <w:rPr>
                <w:rFonts w:ascii="Arial" w:hAnsi="Arial" w:cs="Arial"/>
              </w:rPr>
            </w:pPr>
          </w:p>
        </w:tc>
        <w:tc>
          <w:tcPr>
            <w:tcW w:w="1826" w:type="dxa"/>
            <w:gridSpan w:val="2"/>
            <w:tcBorders>
              <w:top w:val="single" w:sz="4" w:space="0" w:color="auto"/>
              <w:left w:val="nil"/>
              <w:bottom w:val="single" w:sz="4" w:space="0" w:color="auto"/>
              <w:right w:val="single" w:sz="4" w:space="0" w:color="auto"/>
            </w:tcBorders>
            <w:shd w:val="clear" w:color="auto" w:fill="FFFFFF"/>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434"/>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11</w:t>
            </w:r>
          </w:p>
        </w:tc>
        <w:tc>
          <w:tcPr>
            <w:tcW w:w="4759" w:type="dxa"/>
            <w:tcBorders>
              <w:top w:val="nil"/>
              <w:left w:val="nil"/>
              <w:bottom w:val="single" w:sz="4" w:space="0" w:color="auto"/>
              <w:right w:val="single" w:sz="4" w:space="0" w:color="auto"/>
            </w:tcBorders>
            <w:vAlign w:val="center"/>
          </w:tcPr>
          <w:p w:rsidR="009E4A0F" w:rsidRPr="004D451D" w:rsidRDefault="009E4A0F" w:rsidP="003B432F">
            <w:pPr>
              <w:widowControl/>
              <w:rPr>
                <w:rFonts w:eastAsia="標楷體"/>
                <w:kern w:val="0"/>
              </w:rPr>
            </w:pPr>
            <w:r w:rsidRPr="004D451D">
              <w:rPr>
                <w:rFonts w:eastAsia="標楷體"/>
                <w:kern w:val="0"/>
              </w:rPr>
              <w:t>交割風險</w:t>
            </w:r>
          </w:p>
        </w:tc>
        <w:tc>
          <w:tcPr>
            <w:tcW w:w="1793"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4D451D" w:rsidRDefault="009E4A0F"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392"/>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12</w:t>
            </w:r>
          </w:p>
        </w:tc>
        <w:tc>
          <w:tcPr>
            <w:tcW w:w="4759" w:type="dxa"/>
            <w:tcBorders>
              <w:top w:val="nil"/>
              <w:left w:val="nil"/>
              <w:bottom w:val="single" w:sz="4" w:space="0" w:color="auto"/>
              <w:right w:val="single" w:sz="4" w:space="0" w:color="auto"/>
            </w:tcBorders>
            <w:vAlign w:val="center"/>
          </w:tcPr>
          <w:p w:rsidR="009E4A0F" w:rsidRPr="004D451D" w:rsidRDefault="009E4A0F" w:rsidP="003B432F">
            <w:pPr>
              <w:widowControl/>
              <w:rPr>
                <w:rFonts w:eastAsia="標楷體"/>
                <w:kern w:val="0"/>
              </w:rPr>
            </w:pPr>
            <w:r w:rsidRPr="004D451D">
              <w:rPr>
                <w:rFonts w:eastAsia="標楷體"/>
                <w:kern w:val="0"/>
              </w:rPr>
              <w:t>銀行簿之證券化暴險</w:t>
            </w:r>
          </w:p>
        </w:tc>
        <w:tc>
          <w:tcPr>
            <w:tcW w:w="1793" w:type="dxa"/>
            <w:tcBorders>
              <w:top w:val="nil"/>
              <w:left w:val="nil"/>
              <w:bottom w:val="single" w:sz="4" w:space="0" w:color="auto"/>
              <w:right w:val="single" w:sz="4" w:space="0" w:color="auto"/>
            </w:tcBorders>
            <w:vAlign w:val="center"/>
          </w:tcPr>
          <w:p w:rsidR="009E4A0F" w:rsidRPr="004D451D" w:rsidRDefault="0067440B" w:rsidP="009E4A0F">
            <w:pPr>
              <w:jc w:val="right"/>
              <w:rPr>
                <w:rFonts w:ascii="Arial" w:hAnsi="Arial" w:cs="Arial"/>
              </w:rPr>
            </w:pPr>
            <w:r w:rsidRPr="004D451D">
              <w:rPr>
                <w:rFonts w:ascii="Arial" w:hAnsi="Arial" w:cs="Arial" w:hint="eastAsia"/>
              </w:rPr>
              <w:t>0</w:t>
            </w:r>
            <w:r w:rsidR="009E4A0F"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4D451D" w:rsidRDefault="00A57CF1" w:rsidP="009E4A0F">
            <w:pPr>
              <w:jc w:val="right"/>
              <w:rPr>
                <w:rFonts w:ascii="Arial" w:hAnsi="Arial" w:cs="Arial"/>
              </w:rPr>
            </w:pPr>
            <w:r w:rsidRPr="004D451D">
              <w:rPr>
                <w:rFonts w:ascii="Arial" w:hAnsi="Arial" w:cs="Arial" w:hint="eastAsia"/>
              </w:rPr>
              <w:t>0</w:t>
            </w:r>
          </w:p>
        </w:tc>
        <w:tc>
          <w:tcPr>
            <w:tcW w:w="1826" w:type="dxa"/>
            <w:gridSpan w:val="2"/>
            <w:tcBorders>
              <w:top w:val="nil"/>
              <w:left w:val="nil"/>
              <w:bottom w:val="single" w:sz="4" w:space="0" w:color="auto"/>
              <w:right w:val="single" w:sz="4" w:space="0" w:color="auto"/>
            </w:tcBorders>
            <w:vAlign w:val="center"/>
          </w:tcPr>
          <w:p w:rsidR="009E4A0F" w:rsidRPr="004D451D" w:rsidRDefault="0067440B" w:rsidP="009E4A0F">
            <w:pPr>
              <w:jc w:val="right"/>
              <w:rPr>
                <w:rFonts w:ascii="Arial" w:hAnsi="Arial" w:cs="Arial"/>
              </w:rPr>
            </w:pPr>
            <w:r w:rsidRPr="004D451D">
              <w:rPr>
                <w:rFonts w:ascii="Arial" w:hAnsi="Arial" w:cs="Arial" w:hint="eastAsia"/>
              </w:rPr>
              <w:t>0</w:t>
            </w:r>
            <w:r w:rsidR="009E4A0F" w:rsidRPr="004D451D">
              <w:rPr>
                <w:rFonts w:ascii="Arial" w:hAnsi="Arial" w:cs="Arial"/>
              </w:rPr>
              <w:t xml:space="preserve">　</w:t>
            </w:r>
          </w:p>
        </w:tc>
      </w:tr>
      <w:tr w:rsidR="004D451D" w:rsidRPr="004D451D" w:rsidTr="00AC410E">
        <w:trPr>
          <w:trHeight w:val="378"/>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13</w:t>
            </w:r>
          </w:p>
        </w:tc>
        <w:tc>
          <w:tcPr>
            <w:tcW w:w="4759" w:type="dxa"/>
            <w:tcBorders>
              <w:top w:val="nil"/>
              <w:left w:val="nil"/>
              <w:bottom w:val="single" w:sz="4" w:space="0" w:color="auto"/>
              <w:right w:val="single" w:sz="4" w:space="0" w:color="auto"/>
            </w:tcBorders>
            <w:vAlign w:val="center"/>
          </w:tcPr>
          <w:p w:rsidR="009E4A0F" w:rsidRPr="004D451D" w:rsidRDefault="009E4A0F" w:rsidP="001C0E4B">
            <w:pPr>
              <w:widowControl/>
              <w:ind w:leftChars="100" w:left="240"/>
              <w:rPr>
                <w:rFonts w:eastAsia="標楷體"/>
                <w:kern w:val="0"/>
              </w:rPr>
            </w:pPr>
            <w:r w:rsidRPr="004D451D">
              <w:rPr>
                <w:rFonts w:eastAsia="標楷體"/>
                <w:kern w:val="0"/>
              </w:rPr>
              <w:t>內部評等法之評等基礎法</w:t>
            </w:r>
            <w:r w:rsidRPr="004D451D">
              <w:rPr>
                <w:rFonts w:eastAsia="標楷體"/>
                <w:kern w:val="0"/>
              </w:rPr>
              <w:t>(RBA)</w:t>
            </w:r>
          </w:p>
        </w:tc>
        <w:tc>
          <w:tcPr>
            <w:tcW w:w="1793"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383"/>
        </w:trPr>
        <w:tc>
          <w:tcPr>
            <w:tcW w:w="611" w:type="dxa"/>
            <w:tcBorders>
              <w:top w:val="nil"/>
              <w:left w:val="single" w:sz="4" w:space="0" w:color="auto"/>
              <w:bottom w:val="single" w:sz="4" w:space="0" w:color="auto"/>
              <w:right w:val="single" w:sz="4" w:space="0" w:color="auto"/>
            </w:tcBorders>
            <w:vAlign w:val="center"/>
          </w:tcPr>
          <w:p w:rsidR="009E4A0F" w:rsidRPr="004D451D" w:rsidRDefault="009E4A0F" w:rsidP="003B432F">
            <w:pPr>
              <w:widowControl/>
              <w:jc w:val="center"/>
              <w:rPr>
                <w:rFonts w:eastAsia="標楷體"/>
                <w:kern w:val="0"/>
              </w:rPr>
            </w:pPr>
            <w:r w:rsidRPr="004D451D">
              <w:rPr>
                <w:rFonts w:eastAsia="標楷體"/>
                <w:kern w:val="0"/>
              </w:rPr>
              <w:t>14</w:t>
            </w:r>
          </w:p>
        </w:tc>
        <w:tc>
          <w:tcPr>
            <w:tcW w:w="4759" w:type="dxa"/>
            <w:tcBorders>
              <w:top w:val="nil"/>
              <w:left w:val="nil"/>
              <w:bottom w:val="single" w:sz="4" w:space="0" w:color="auto"/>
              <w:right w:val="single" w:sz="4" w:space="0" w:color="auto"/>
            </w:tcBorders>
            <w:vAlign w:val="center"/>
          </w:tcPr>
          <w:p w:rsidR="009E4A0F" w:rsidRPr="004D451D" w:rsidRDefault="009E4A0F" w:rsidP="001C0E4B">
            <w:pPr>
              <w:widowControl/>
              <w:ind w:leftChars="100" w:left="240"/>
              <w:rPr>
                <w:rFonts w:eastAsia="標楷體"/>
                <w:kern w:val="0"/>
              </w:rPr>
            </w:pPr>
            <w:r w:rsidRPr="004D451D">
              <w:rPr>
                <w:rFonts w:eastAsia="標楷體"/>
                <w:kern w:val="0"/>
              </w:rPr>
              <w:t>內部評等法之監理公式法</w:t>
            </w:r>
            <w:r w:rsidRPr="004D451D">
              <w:rPr>
                <w:rFonts w:eastAsia="標楷體"/>
                <w:kern w:val="0"/>
              </w:rPr>
              <w:t>(SFA)</w:t>
            </w:r>
          </w:p>
        </w:tc>
        <w:tc>
          <w:tcPr>
            <w:tcW w:w="1793"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9E4A0F" w:rsidRPr="004D451D" w:rsidRDefault="009E4A0F" w:rsidP="009E4A0F">
            <w:pPr>
              <w:jc w:val="right"/>
              <w:rPr>
                <w:rFonts w:ascii="Arial" w:hAnsi="Arial" w:cs="Arial"/>
              </w:rPr>
            </w:pPr>
            <w:r w:rsidRPr="004D451D">
              <w:rPr>
                <w:rFonts w:ascii="Arial" w:hAnsi="Arial" w:cs="Arial"/>
              </w:rPr>
              <w:t xml:space="preserve">　</w:t>
            </w:r>
          </w:p>
        </w:tc>
      </w:tr>
      <w:tr w:rsidR="004D451D" w:rsidRPr="004D451D" w:rsidTr="00AC410E">
        <w:trPr>
          <w:trHeight w:val="379"/>
        </w:trPr>
        <w:tc>
          <w:tcPr>
            <w:tcW w:w="611" w:type="dxa"/>
            <w:tcBorders>
              <w:top w:val="nil"/>
              <w:left w:val="single" w:sz="4" w:space="0" w:color="auto"/>
              <w:bottom w:val="single" w:sz="4" w:space="0" w:color="auto"/>
              <w:right w:val="single" w:sz="4" w:space="0" w:color="auto"/>
            </w:tcBorders>
            <w:vAlign w:val="center"/>
          </w:tcPr>
          <w:p w:rsidR="00A57CF1" w:rsidRPr="004D451D" w:rsidRDefault="00A57CF1" w:rsidP="003B432F">
            <w:pPr>
              <w:widowControl/>
              <w:jc w:val="center"/>
              <w:rPr>
                <w:rFonts w:eastAsia="標楷體"/>
                <w:kern w:val="0"/>
              </w:rPr>
            </w:pPr>
            <w:r w:rsidRPr="004D451D">
              <w:rPr>
                <w:rFonts w:eastAsia="標楷體"/>
                <w:kern w:val="0"/>
              </w:rPr>
              <w:t>15</w:t>
            </w:r>
          </w:p>
        </w:tc>
        <w:tc>
          <w:tcPr>
            <w:tcW w:w="4759" w:type="dxa"/>
            <w:tcBorders>
              <w:top w:val="nil"/>
              <w:left w:val="nil"/>
              <w:bottom w:val="single" w:sz="4" w:space="0" w:color="auto"/>
              <w:right w:val="single" w:sz="4" w:space="0" w:color="auto"/>
            </w:tcBorders>
            <w:vAlign w:val="center"/>
          </w:tcPr>
          <w:p w:rsidR="00A57CF1" w:rsidRPr="004D451D" w:rsidRDefault="00A57CF1" w:rsidP="00D65F1C">
            <w:pPr>
              <w:widowControl/>
              <w:ind w:leftChars="100" w:left="240"/>
              <w:rPr>
                <w:rFonts w:eastAsia="標楷體"/>
                <w:kern w:val="0"/>
              </w:rPr>
            </w:pPr>
            <w:r w:rsidRPr="004D451D">
              <w:rPr>
                <w:rFonts w:eastAsia="標楷體"/>
                <w:kern w:val="0"/>
              </w:rPr>
              <w:t>標準法</w:t>
            </w:r>
          </w:p>
        </w:tc>
        <w:tc>
          <w:tcPr>
            <w:tcW w:w="1793" w:type="dxa"/>
            <w:tcBorders>
              <w:top w:val="nil"/>
              <w:left w:val="nil"/>
              <w:bottom w:val="single" w:sz="4" w:space="0" w:color="auto"/>
              <w:right w:val="single" w:sz="4" w:space="0" w:color="auto"/>
            </w:tcBorders>
            <w:vAlign w:val="center"/>
          </w:tcPr>
          <w:p w:rsidR="00A57CF1" w:rsidRPr="004D451D" w:rsidRDefault="00A57CF1" w:rsidP="009E4A0F">
            <w:pPr>
              <w:jc w:val="right"/>
              <w:rPr>
                <w:rFonts w:ascii="Arial" w:hAnsi="Arial" w:cs="Arial"/>
              </w:rPr>
            </w:pPr>
            <w:r w:rsidRPr="004D451D">
              <w:rPr>
                <w:rFonts w:ascii="Arial" w:hAnsi="Arial" w:cs="Arial" w:hint="eastAsia"/>
              </w:rPr>
              <w:t>0</w:t>
            </w:r>
            <w:r w:rsidRPr="004D451D">
              <w:rPr>
                <w:rFonts w:ascii="Arial" w:hAnsi="Arial" w:cs="Arial"/>
              </w:rPr>
              <w:t xml:space="preserve">　</w:t>
            </w:r>
          </w:p>
        </w:tc>
        <w:tc>
          <w:tcPr>
            <w:tcW w:w="1796" w:type="dxa"/>
            <w:tcBorders>
              <w:top w:val="nil"/>
              <w:left w:val="nil"/>
              <w:bottom w:val="single" w:sz="4" w:space="0" w:color="auto"/>
              <w:right w:val="single" w:sz="4" w:space="0" w:color="auto"/>
            </w:tcBorders>
            <w:vAlign w:val="center"/>
          </w:tcPr>
          <w:p w:rsidR="00A57CF1" w:rsidRPr="004D451D" w:rsidRDefault="00A57CF1" w:rsidP="001F240C">
            <w:pPr>
              <w:jc w:val="right"/>
              <w:rPr>
                <w:rFonts w:ascii="Arial" w:hAnsi="Arial" w:cs="Arial"/>
              </w:rPr>
            </w:pPr>
            <w:r w:rsidRPr="004D451D">
              <w:rPr>
                <w:rFonts w:ascii="Arial" w:hAnsi="Arial" w:cs="Arial" w:hint="eastAsia"/>
              </w:rPr>
              <w:t>0</w:t>
            </w:r>
            <w:r w:rsidRPr="004D451D">
              <w:rPr>
                <w:rFonts w:ascii="Arial" w:hAnsi="Arial" w:cs="Arial"/>
              </w:rPr>
              <w:t xml:space="preserve">　</w:t>
            </w:r>
          </w:p>
        </w:tc>
        <w:tc>
          <w:tcPr>
            <w:tcW w:w="1826" w:type="dxa"/>
            <w:gridSpan w:val="2"/>
            <w:tcBorders>
              <w:top w:val="nil"/>
              <w:left w:val="nil"/>
              <w:bottom w:val="single" w:sz="4" w:space="0" w:color="auto"/>
              <w:right w:val="single" w:sz="4" w:space="0" w:color="auto"/>
            </w:tcBorders>
            <w:vAlign w:val="center"/>
          </w:tcPr>
          <w:p w:rsidR="00A57CF1" w:rsidRPr="004D451D" w:rsidRDefault="00A57CF1" w:rsidP="009E4A0F">
            <w:pPr>
              <w:jc w:val="right"/>
              <w:rPr>
                <w:rFonts w:ascii="Arial" w:hAnsi="Arial" w:cs="Arial"/>
              </w:rPr>
            </w:pPr>
            <w:r w:rsidRPr="004D451D">
              <w:rPr>
                <w:rFonts w:ascii="Arial" w:hAnsi="Arial" w:cs="Arial" w:hint="eastAsia"/>
              </w:rPr>
              <w:t>0</w:t>
            </w:r>
            <w:r w:rsidRPr="004D451D">
              <w:rPr>
                <w:rFonts w:ascii="Arial" w:hAnsi="Arial" w:cs="Arial"/>
              </w:rPr>
              <w:t xml:space="preserve">　</w:t>
            </w:r>
          </w:p>
        </w:tc>
      </w:tr>
      <w:tr w:rsidR="00FD1AC2" w:rsidRPr="004D451D" w:rsidTr="00FD1AC2">
        <w:trPr>
          <w:trHeight w:val="385"/>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16</w:t>
            </w:r>
          </w:p>
        </w:tc>
        <w:tc>
          <w:tcPr>
            <w:tcW w:w="4759" w:type="dxa"/>
            <w:tcBorders>
              <w:top w:val="nil"/>
              <w:left w:val="nil"/>
              <w:bottom w:val="single" w:sz="4" w:space="0" w:color="auto"/>
              <w:right w:val="single" w:sz="4" w:space="0" w:color="auto"/>
            </w:tcBorders>
            <w:vAlign w:val="center"/>
          </w:tcPr>
          <w:p w:rsidR="00FD1AC2" w:rsidRPr="004D451D" w:rsidRDefault="00FD1AC2" w:rsidP="003B432F">
            <w:pPr>
              <w:widowControl/>
              <w:rPr>
                <w:rFonts w:eastAsia="標楷體"/>
                <w:kern w:val="0"/>
              </w:rPr>
            </w:pPr>
            <w:r w:rsidRPr="004D451D">
              <w:rPr>
                <w:rFonts w:eastAsia="標楷體"/>
                <w:kern w:val="0"/>
              </w:rPr>
              <w:t>市場風險</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r w:rsidRPr="00FD1AC2">
              <w:rPr>
                <w:rFonts w:ascii="Arial" w:hAnsi="Arial" w:cs="Arial"/>
              </w:rPr>
              <w:t>23,697,738</w:t>
            </w: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23,492,259</w:t>
            </w:r>
          </w:p>
        </w:tc>
        <w:tc>
          <w:tcPr>
            <w:tcW w:w="1826" w:type="dxa"/>
            <w:gridSpan w:val="2"/>
            <w:tcBorders>
              <w:top w:val="nil"/>
              <w:left w:val="nil"/>
              <w:bottom w:val="single" w:sz="4" w:space="0" w:color="auto"/>
              <w:right w:val="single" w:sz="4" w:space="0" w:color="auto"/>
            </w:tcBorders>
            <w:vAlign w:val="center"/>
          </w:tcPr>
          <w:p w:rsidR="00FD1AC2" w:rsidRPr="004D451D" w:rsidRDefault="00FD1AC2">
            <w:pPr>
              <w:jc w:val="right"/>
              <w:rPr>
                <w:rFonts w:ascii="Arial" w:hAnsi="Arial" w:cs="Arial"/>
              </w:rPr>
            </w:pPr>
            <w:r w:rsidRPr="004D451D">
              <w:rPr>
                <w:rFonts w:ascii="Arial" w:hAnsi="Arial" w:cs="Arial"/>
              </w:rPr>
              <w:t>1,895,819</w:t>
            </w:r>
          </w:p>
        </w:tc>
      </w:tr>
      <w:tr w:rsidR="00FD1AC2" w:rsidRPr="004D451D" w:rsidTr="00FD1AC2">
        <w:trPr>
          <w:trHeight w:val="381"/>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17</w:t>
            </w:r>
          </w:p>
        </w:tc>
        <w:tc>
          <w:tcPr>
            <w:tcW w:w="4759" w:type="dxa"/>
            <w:tcBorders>
              <w:top w:val="nil"/>
              <w:left w:val="nil"/>
              <w:bottom w:val="single" w:sz="4" w:space="0" w:color="auto"/>
              <w:right w:val="single" w:sz="4" w:space="0" w:color="auto"/>
            </w:tcBorders>
            <w:vAlign w:val="center"/>
          </w:tcPr>
          <w:p w:rsidR="00FD1AC2" w:rsidRPr="004D451D" w:rsidRDefault="00FD1AC2" w:rsidP="001C0E4B">
            <w:pPr>
              <w:widowControl/>
              <w:ind w:leftChars="100" w:left="240"/>
              <w:rPr>
                <w:rFonts w:eastAsia="標楷體"/>
                <w:kern w:val="0"/>
              </w:rPr>
            </w:pPr>
            <w:r w:rsidRPr="004D451D">
              <w:rPr>
                <w:rFonts w:eastAsia="標楷體"/>
                <w:kern w:val="0"/>
              </w:rPr>
              <w:t>標準法</w:t>
            </w:r>
            <w:r w:rsidRPr="004D451D">
              <w:rPr>
                <w:rFonts w:eastAsia="標楷體"/>
                <w:kern w:val="0"/>
              </w:rPr>
              <w:t>(SA)</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r w:rsidRPr="00FD1AC2">
              <w:rPr>
                <w:rFonts w:ascii="Arial" w:hAnsi="Arial" w:cs="Arial"/>
              </w:rPr>
              <w:t>23,697,738</w:t>
            </w: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23,492,259</w:t>
            </w:r>
          </w:p>
        </w:tc>
        <w:tc>
          <w:tcPr>
            <w:tcW w:w="1826" w:type="dxa"/>
            <w:gridSpan w:val="2"/>
            <w:tcBorders>
              <w:top w:val="nil"/>
              <w:left w:val="nil"/>
              <w:bottom w:val="single" w:sz="4" w:space="0" w:color="auto"/>
              <w:right w:val="single" w:sz="4" w:space="0" w:color="auto"/>
            </w:tcBorders>
            <w:vAlign w:val="center"/>
          </w:tcPr>
          <w:p w:rsidR="00FD1AC2" w:rsidRPr="004D451D" w:rsidRDefault="00FD1AC2">
            <w:pPr>
              <w:jc w:val="right"/>
              <w:rPr>
                <w:rFonts w:ascii="Arial" w:hAnsi="Arial" w:cs="Arial"/>
              </w:rPr>
            </w:pPr>
            <w:r w:rsidRPr="004D451D">
              <w:rPr>
                <w:rFonts w:ascii="Arial" w:hAnsi="Arial" w:cs="Arial"/>
              </w:rPr>
              <w:t>1,895,819</w:t>
            </w:r>
          </w:p>
        </w:tc>
      </w:tr>
      <w:tr w:rsidR="00FD1AC2" w:rsidRPr="004D451D" w:rsidTr="00FD1AC2">
        <w:trPr>
          <w:trHeight w:val="376"/>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18</w:t>
            </w:r>
          </w:p>
        </w:tc>
        <w:tc>
          <w:tcPr>
            <w:tcW w:w="4759" w:type="dxa"/>
            <w:tcBorders>
              <w:top w:val="nil"/>
              <w:left w:val="nil"/>
              <w:bottom w:val="single" w:sz="4" w:space="0" w:color="auto"/>
              <w:right w:val="single" w:sz="4" w:space="0" w:color="auto"/>
            </w:tcBorders>
            <w:vAlign w:val="center"/>
          </w:tcPr>
          <w:p w:rsidR="00FD1AC2" w:rsidRPr="004D451D" w:rsidRDefault="00FD1AC2" w:rsidP="001C0E4B">
            <w:pPr>
              <w:widowControl/>
              <w:ind w:leftChars="100" w:left="240"/>
              <w:rPr>
                <w:rFonts w:eastAsia="標楷體"/>
                <w:kern w:val="0"/>
              </w:rPr>
            </w:pPr>
            <w:r w:rsidRPr="004D451D">
              <w:rPr>
                <w:rFonts w:eastAsia="標楷體"/>
                <w:kern w:val="0"/>
              </w:rPr>
              <w:t>內部模型法</w:t>
            </w:r>
            <w:r w:rsidRPr="004D451D">
              <w:rPr>
                <w:rFonts w:eastAsia="標楷體"/>
                <w:kern w:val="0"/>
              </w:rPr>
              <w:t>(IMA)</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 xml:space="preserve">　</w:t>
            </w:r>
          </w:p>
        </w:tc>
        <w:tc>
          <w:tcPr>
            <w:tcW w:w="1826" w:type="dxa"/>
            <w:gridSpan w:val="2"/>
            <w:tcBorders>
              <w:top w:val="nil"/>
              <w:left w:val="nil"/>
              <w:bottom w:val="single" w:sz="4" w:space="0" w:color="auto"/>
              <w:right w:val="single" w:sz="4" w:space="0" w:color="auto"/>
            </w:tcBorders>
            <w:vAlign w:val="center"/>
          </w:tcPr>
          <w:p w:rsidR="00FD1AC2" w:rsidRPr="004D451D" w:rsidRDefault="00FD1AC2" w:rsidP="00CB1034">
            <w:pPr>
              <w:jc w:val="right"/>
              <w:rPr>
                <w:rFonts w:ascii="Arial" w:hAnsi="Arial" w:cs="Arial"/>
              </w:rPr>
            </w:pPr>
            <w:r w:rsidRPr="004D451D">
              <w:rPr>
                <w:rFonts w:ascii="Arial" w:hAnsi="Arial" w:cs="Arial"/>
              </w:rPr>
              <w:t xml:space="preserve">　</w:t>
            </w:r>
          </w:p>
        </w:tc>
      </w:tr>
      <w:tr w:rsidR="00FD1AC2" w:rsidRPr="004D451D" w:rsidTr="00FD1AC2">
        <w:trPr>
          <w:trHeight w:val="418"/>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19</w:t>
            </w:r>
          </w:p>
        </w:tc>
        <w:tc>
          <w:tcPr>
            <w:tcW w:w="4759" w:type="dxa"/>
            <w:tcBorders>
              <w:top w:val="nil"/>
              <w:left w:val="nil"/>
              <w:bottom w:val="single" w:sz="4" w:space="0" w:color="auto"/>
              <w:right w:val="single" w:sz="4" w:space="0" w:color="auto"/>
            </w:tcBorders>
            <w:vAlign w:val="center"/>
          </w:tcPr>
          <w:p w:rsidR="00FD1AC2" w:rsidRPr="004D451D" w:rsidRDefault="00FD1AC2" w:rsidP="003B432F">
            <w:pPr>
              <w:widowControl/>
              <w:rPr>
                <w:rFonts w:eastAsia="標楷體"/>
                <w:kern w:val="0"/>
              </w:rPr>
            </w:pPr>
            <w:r w:rsidRPr="004D451D">
              <w:rPr>
                <w:rFonts w:eastAsia="標楷體"/>
                <w:kern w:val="0"/>
              </w:rPr>
              <w:t>作業風險</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r w:rsidRPr="00FD1AC2">
              <w:rPr>
                <w:rFonts w:ascii="Arial" w:hAnsi="Arial" w:cs="Arial"/>
              </w:rPr>
              <w:t>13,437,529</w:t>
            </w: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13,437,529</w:t>
            </w:r>
          </w:p>
        </w:tc>
        <w:tc>
          <w:tcPr>
            <w:tcW w:w="1826" w:type="dxa"/>
            <w:gridSpan w:val="2"/>
            <w:tcBorders>
              <w:top w:val="nil"/>
              <w:left w:val="nil"/>
              <w:bottom w:val="single" w:sz="4" w:space="0" w:color="auto"/>
              <w:right w:val="single" w:sz="4" w:space="0" w:color="auto"/>
            </w:tcBorders>
            <w:vAlign w:val="center"/>
          </w:tcPr>
          <w:p w:rsidR="00FD1AC2" w:rsidRPr="004D451D" w:rsidRDefault="00FD1AC2">
            <w:pPr>
              <w:jc w:val="right"/>
              <w:rPr>
                <w:rFonts w:ascii="Arial" w:hAnsi="Arial" w:cs="Arial"/>
              </w:rPr>
            </w:pPr>
            <w:r w:rsidRPr="004D451D">
              <w:rPr>
                <w:rFonts w:ascii="Arial" w:hAnsi="Arial" w:cs="Arial"/>
              </w:rPr>
              <w:t>1,075,002</w:t>
            </w:r>
          </w:p>
        </w:tc>
      </w:tr>
      <w:tr w:rsidR="00FD1AC2" w:rsidRPr="004D451D" w:rsidTr="00FD1AC2">
        <w:trPr>
          <w:trHeight w:val="385"/>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20</w:t>
            </w:r>
          </w:p>
        </w:tc>
        <w:tc>
          <w:tcPr>
            <w:tcW w:w="4759" w:type="dxa"/>
            <w:tcBorders>
              <w:top w:val="nil"/>
              <w:left w:val="nil"/>
              <w:bottom w:val="single" w:sz="4" w:space="0" w:color="auto"/>
              <w:right w:val="single" w:sz="4" w:space="0" w:color="auto"/>
            </w:tcBorders>
            <w:vAlign w:val="center"/>
          </w:tcPr>
          <w:p w:rsidR="00FD1AC2" w:rsidRPr="004D451D" w:rsidRDefault="00FD1AC2" w:rsidP="001C0E4B">
            <w:pPr>
              <w:widowControl/>
              <w:ind w:leftChars="100" w:left="240"/>
              <w:rPr>
                <w:rFonts w:eastAsia="標楷體"/>
                <w:kern w:val="0"/>
              </w:rPr>
            </w:pPr>
            <w:r w:rsidRPr="004D451D">
              <w:rPr>
                <w:rFonts w:eastAsia="標楷體"/>
                <w:kern w:val="0"/>
              </w:rPr>
              <w:t>基本指標法</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r w:rsidRPr="00FD1AC2">
              <w:rPr>
                <w:rFonts w:ascii="Arial" w:hAnsi="Arial" w:cs="Arial"/>
              </w:rPr>
              <w:t>13,437,529</w:t>
            </w: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13,437,529</w:t>
            </w:r>
          </w:p>
        </w:tc>
        <w:tc>
          <w:tcPr>
            <w:tcW w:w="1826" w:type="dxa"/>
            <w:gridSpan w:val="2"/>
            <w:tcBorders>
              <w:top w:val="nil"/>
              <w:left w:val="nil"/>
              <w:bottom w:val="single" w:sz="4" w:space="0" w:color="auto"/>
              <w:right w:val="single" w:sz="4" w:space="0" w:color="auto"/>
            </w:tcBorders>
            <w:vAlign w:val="center"/>
          </w:tcPr>
          <w:p w:rsidR="00FD1AC2" w:rsidRPr="004D451D" w:rsidRDefault="00FD1AC2">
            <w:pPr>
              <w:jc w:val="right"/>
              <w:rPr>
                <w:rFonts w:ascii="Arial" w:hAnsi="Arial" w:cs="Arial"/>
              </w:rPr>
            </w:pPr>
            <w:r w:rsidRPr="004D451D">
              <w:rPr>
                <w:rFonts w:ascii="Arial" w:hAnsi="Arial" w:cs="Arial"/>
              </w:rPr>
              <w:t>1,075,002</w:t>
            </w:r>
          </w:p>
        </w:tc>
      </w:tr>
      <w:tr w:rsidR="00FD1AC2" w:rsidRPr="004D451D" w:rsidTr="00FD1AC2">
        <w:trPr>
          <w:trHeight w:val="381"/>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21</w:t>
            </w:r>
          </w:p>
        </w:tc>
        <w:tc>
          <w:tcPr>
            <w:tcW w:w="4759" w:type="dxa"/>
            <w:tcBorders>
              <w:top w:val="nil"/>
              <w:left w:val="nil"/>
              <w:bottom w:val="single" w:sz="4" w:space="0" w:color="auto"/>
              <w:right w:val="single" w:sz="4" w:space="0" w:color="auto"/>
            </w:tcBorders>
            <w:vAlign w:val="center"/>
          </w:tcPr>
          <w:p w:rsidR="00FD1AC2" w:rsidRPr="004D451D" w:rsidRDefault="00FD1AC2" w:rsidP="001C0E4B">
            <w:pPr>
              <w:widowControl/>
              <w:ind w:leftChars="100" w:left="240"/>
              <w:rPr>
                <w:rFonts w:eastAsia="標楷體"/>
                <w:kern w:val="0"/>
              </w:rPr>
            </w:pPr>
            <w:r w:rsidRPr="004D451D">
              <w:rPr>
                <w:rFonts w:eastAsia="標楷體"/>
                <w:kern w:val="0"/>
              </w:rPr>
              <w:t>標準法</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p>
        </w:tc>
        <w:tc>
          <w:tcPr>
            <w:tcW w:w="1796" w:type="dxa"/>
            <w:tcBorders>
              <w:top w:val="nil"/>
              <w:left w:val="nil"/>
              <w:bottom w:val="single" w:sz="4" w:space="0" w:color="auto"/>
              <w:right w:val="single" w:sz="4" w:space="0" w:color="auto"/>
            </w:tcBorders>
            <w:vAlign w:val="center"/>
          </w:tcPr>
          <w:p w:rsidR="00FD1AC2" w:rsidRPr="004D451D" w:rsidRDefault="00FD1AC2"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FD1AC2" w:rsidRPr="004D451D" w:rsidRDefault="00FD1AC2" w:rsidP="00CB1034">
            <w:pPr>
              <w:jc w:val="right"/>
              <w:rPr>
                <w:rFonts w:ascii="Arial" w:hAnsi="Arial" w:cs="Arial"/>
              </w:rPr>
            </w:pPr>
            <w:r w:rsidRPr="004D451D">
              <w:rPr>
                <w:rFonts w:ascii="Arial" w:hAnsi="Arial" w:cs="Arial"/>
              </w:rPr>
              <w:t xml:space="preserve">　</w:t>
            </w:r>
          </w:p>
        </w:tc>
      </w:tr>
      <w:tr w:rsidR="00FD1AC2" w:rsidRPr="004D451D" w:rsidTr="00FD1AC2">
        <w:trPr>
          <w:trHeight w:val="396"/>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22</w:t>
            </w:r>
          </w:p>
        </w:tc>
        <w:tc>
          <w:tcPr>
            <w:tcW w:w="4759" w:type="dxa"/>
            <w:tcBorders>
              <w:top w:val="nil"/>
              <w:left w:val="nil"/>
              <w:bottom w:val="single" w:sz="4" w:space="0" w:color="auto"/>
              <w:right w:val="single" w:sz="4" w:space="0" w:color="auto"/>
            </w:tcBorders>
            <w:vAlign w:val="center"/>
          </w:tcPr>
          <w:p w:rsidR="00FD1AC2" w:rsidRPr="004D451D" w:rsidRDefault="00FD1AC2" w:rsidP="001C0E4B">
            <w:pPr>
              <w:widowControl/>
              <w:ind w:leftChars="100" w:left="240"/>
              <w:rPr>
                <w:rFonts w:eastAsia="標楷體"/>
                <w:kern w:val="0"/>
              </w:rPr>
            </w:pPr>
            <w:r w:rsidRPr="004D451D">
              <w:rPr>
                <w:rFonts w:eastAsia="標楷體"/>
                <w:kern w:val="0"/>
              </w:rPr>
              <w:t>進階衡量法</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p>
        </w:tc>
        <w:tc>
          <w:tcPr>
            <w:tcW w:w="1796" w:type="dxa"/>
            <w:tcBorders>
              <w:top w:val="nil"/>
              <w:left w:val="nil"/>
              <w:bottom w:val="single" w:sz="4" w:space="0" w:color="auto"/>
              <w:right w:val="single" w:sz="4" w:space="0" w:color="auto"/>
            </w:tcBorders>
            <w:vAlign w:val="center"/>
          </w:tcPr>
          <w:p w:rsidR="00FD1AC2" w:rsidRPr="004D451D" w:rsidRDefault="00FD1AC2" w:rsidP="009E4A0F">
            <w:pPr>
              <w:widowControl/>
              <w:jc w:val="right"/>
              <w:rPr>
                <w:rFonts w:ascii="Arial" w:hAnsi="Arial" w:cs="Arial"/>
              </w:rPr>
            </w:pPr>
          </w:p>
        </w:tc>
        <w:tc>
          <w:tcPr>
            <w:tcW w:w="1826" w:type="dxa"/>
            <w:gridSpan w:val="2"/>
            <w:tcBorders>
              <w:top w:val="nil"/>
              <w:left w:val="nil"/>
              <w:bottom w:val="single" w:sz="4" w:space="0" w:color="auto"/>
              <w:right w:val="single" w:sz="4" w:space="0" w:color="auto"/>
            </w:tcBorders>
            <w:vAlign w:val="center"/>
          </w:tcPr>
          <w:p w:rsidR="00FD1AC2" w:rsidRPr="004D451D" w:rsidRDefault="00FD1AC2" w:rsidP="00CB1034">
            <w:pPr>
              <w:jc w:val="right"/>
              <w:rPr>
                <w:rFonts w:ascii="Arial" w:hAnsi="Arial" w:cs="Arial"/>
              </w:rPr>
            </w:pPr>
            <w:r w:rsidRPr="004D451D">
              <w:rPr>
                <w:rFonts w:ascii="Arial" w:hAnsi="Arial" w:cs="Arial"/>
              </w:rPr>
              <w:t xml:space="preserve">　</w:t>
            </w:r>
          </w:p>
        </w:tc>
      </w:tr>
      <w:tr w:rsidR="00FD1AC2" w:rsidRPr="004D451D" w:rsidTr="00FD1AC2">
        <w:trPr>
          <w:trHeight w:val="435"/>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23</w:t>
            </w:r>
          </w:p>
        </w:tc>
        <w:tc>
          <w:tcPr>
            <w:tcW w:w="4759" w:type="dxa"/>
            <w:tcBorders>
              <w:top w:val="nil"/>
              <w:left w:val="nil"/>
              <w:bottom w:val="single" w:sz="4" w:space="0" w:color="auto"/>
              <w:right w:val="single" w:sz="4" w:space="0" w:color="auto"/>
            </w:tcBorders>
            <w:vAlign w:val="center"/>
          </w:tcPr>
          <w:p w:rsidR="00FD1AC2" w:rsidRPr="004D451D" w:rsidRDefault="00FD1AC2" w:rsidP="00BB7ED6">
            <w:pPr>
              <w:widowControl/>
              <w:rPr>
                <w:rFonts w:eastAsia="標楷體"/>
                <w:kern w:val="0"/>
              </w:rPr>
            </w:pPr>
            <w:r w:rsidRPr="004D451D">
              <w:rPr>
                <w:rFonts w:eastAsia="標楷體"/>
                <w:kern w:val="0"/>
              </w:rPr>
              <w:t>扣除門檻內之金額</w:t>
            </w:r>
            <w:r w:rsidRPr="004D451D">
              <w:rPr>
                <w:rFonts w:eastAsia="標楷體"/>
                <w:kern w:val="0"/>
              </w:rPr>
              <w:t>(</w:t>
            </w:r>
            <w:r w:rsidRPr="004D451D">
              <w:rPr>
                <w:rFonts w:eastAsia="標楷體"/>
                <w:kern w:val="0"/>
              </w:rPr>
              <w:t>適用風險權數</w:t>
            </w:r>
            <w:r w:rsidRPr="004D451D">
              <w:rPr>
                <w:rFonts w:eastAsia="標楷體"/>
                <w:kern w:val="0"/>
              </w:rPr>
              <w:t>250%)</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r w:rsidRPr="00FD1AC2">
              <w:rPr>
                <w:rFonts w:ascii="Arial" w:hAnsi="Arial" w:cs="Arial"/>
              </w:rPr>
              <w:t>719,015</w:t>
            </w: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669,583</w:t>
            </w:r>
          </w:p>
        </w:tc>
        <w:tc>
          <w:tcPr>
            <w:tcW w:w="1826" w:type="dxa"/>
            <w:gridSpan w:val="2"/>
            <w:tcBorders>
              <w:top w:val="nil"/>
              <w:left w:val="nil"/>
              <w:bottom w:val="single" w:sz="4" w:space="0" w:color="auto"/>
              <w:right w:val="single" w:sz="4" w:space="0" w:color="auto"/>
            </w:tcBorders>
            <w:vAlign w:val="center"/>
          </w:tcPr>
          <w:p w:rsidR="00FD1AC2" w:rsidRPr="004D451D" w:rsidRDefault="00FD1AC2">
            <w:pPr>
              <w:jc w:val="right"/>
              <w:rPr>
                <w:rFonts w:ascii="Arial" w:hAnsi="Arial" w:cs="Arial"/>
              </w:rPr>
            </w:pPr>
            <w:r w:rsidRPr="004D451D">
              <w:rPr>
                <w:rFonts w:ascii="Arial" w:hAnsi="Arial" w:cs="Arial"/>
              </w:rPr>
              <w:t>57,521</w:t>
            </w:r>
          </w:p>
        </w:tc>
      </w:tr>
      <w:tr w:rsidR="00FD1AC2" w:rsidRPr="004D451D" w:rsidTr="00FD1AC2">
        <w:trPr>
          <w:trHeight w:val="435"/>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24</w:t>
            </w:r>
          </w:p>
        </w:tc>
        <w:tc>
          <w:tcPr>
            <w:tcW w:w="4759" w:type="dxa"/>
            <w:tcBorders>
              <w:top w:val="nil"/>
              <w:left w:val="nil"/>
              <w:bottom w:val="single" w:sz="4" w:space="0" w:color="auto"/>
              <w:right w:val="single" w:sz="4" w:space="0" w:color="auto"/>
            </w:tcBorders>
            <w:vAlign w:val="center"/>
          </w:tcPr>
          <w:p w:rsidR="00FD1AC2" w:rsidRPr="004D451D" w:rsidRDefault="00FD1AC2" w:rsidP="003B432F">
            <w:pPr>
              <w:widowControl/>
              <w:rPr>
                <w:rFonts w:eastAsia="標楷體"/>
                <w:kern w:val="0"/>
              </w:rPr>
            </w:pPr>
            <w:r w:rsidRPr="004D451D">
              <w:rPr>
                <w:rFonts w:eastAsia="標楷體"/>
                <w:kern w:val="0"/>
              </w:rPr>
              <w:t>下限之調整</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 xml:space="preserve">　</w:t>
            </w:r>
          </w:p>
        </w:tc>
        <w:tc>
          <w:tcPr>
            <w:tcW w:w="1826" w:type="dxa"/>
            <w:gridSpan w:val="2"/>
            <w:tcBorders>
              <w:top w:val="nil"/>
              <w:left w:val="nil"/>
              <w:bottom w:val="single" w:sz="4" w:space="0" w:color="auto"/>
              <w:right w:val="single" w:sz="4" w:space="0" w:color="auto"/>
            </w:tcBorders>
            <w:vAlign w:val="center"/>
          </w:tcPr>
          <w:p w:rsidR="00FD1AC2" w:rsidRPr="004D451D" w:rsidRDefault="00FD1AC2" w:rsidP="00CB1034">
            <w:pPr>
              <w:jc w:val="right"/>
              <w:rPr>
                <w:rFonts w:ascii="Arial" w:hAnsi="Arial" w:cs="Arial"/>
              </w:rPr>
            </w:pPr>
            <w:r w:rsidRPr="004D451D">
              <w:rPr>
                <w:rFonts w:ascii="Arial" w:hAnsi="Arial" w:cs="Arial"/>
              </w:rPr>
              <w:t xml:space="preserve">　</w:t>
            </w:r>
          </w:p>
        </w:tc>
      </w:tr>
      <w:tr w:rsidR="00FD1AC2" w:rsidRPr="004D451D" w:rsidTr="00FD1AC2">
        <w:trPr>
          <w:trHeight w:val="435"/>
        </w:trPr>
        <w:tc>
          <w:tcPr>
            <w:tcW w:w="611" w:type="dxa"/>
            <w:tcBorders>
              <w:top w:val="nil"/>
              <w:left w:val="single" w:sz="4" w:space="0" w:color="auto"/>
              <w:bottom w:val="single" w:sz="4" w:space="0" w:color="auto"/>
              <w:right w:val="single" w:sz="4" w:space="0" w:color="auto"/>
            </w:tcBorders>
            <w:vAlign w:val="center"/>
          </w:tcPr>
          <w:p w:rsidR="00FD1AC2" w:rsidRPr="004D451D" w:rsidRDefault="00FD1AC2" w:rsidP="003B432F">
            <w:pPr>
              <w:widowControl/>
              <w:jc w:val="center"/>
              <w:rPr>
                <w:rFonts w:eastAsia="標楷體"/>
                <w:kern w:val="0"/>
              </w:rPr>
            </w:pPr>
            <w:r w:rsidRPr="004D451D">
              <w:rPr>
                <w:rFonts w:eastAsia="標楷體"/>
                <w:kern w:val="0"/>
              </w:rPr>
              <w:t>25</w:t>
            </w:r>
          </w:p>
        </w:tc>
        <w:tc>
          <w:tcPr>
            <w:tcW w:w="4759" w:type="dxa"/>
            <w:tcBorders>
              <w:top w:val="nil"/>
              <w:left w:val="nil"/>
              <w:bottom w:val="single" w:sz="4" w:space="0" w:color="auto"/>
              <w:right w:val="single" w:sz="4" w:space="0" w:color="auto"/>
            </w:tcBorders>
            <w:vAlign w:val="center"/>
          </w:tcPr>
          <w:p w:rsidR="00FD1AC2" w:rsidRPr="004D451D" w:rsidRDefault="00FD1AC2" w:rsidP="00DD0E99">
            <w:pPr>
              <w:widowControl/>
              <w:rPr>
                <w:rFonts w:eastAsia="標楷體"/>
                <w:kern w:val="0"/>
              </w:rPr>
            </w:pPr>
            <w:r w:rsidRPr="004D451D">
              <w:rPr>
                <w:rFonts w:eastAsia="標楷體"/>
                <w:kern w:val="0"/>
              </w:rPr>
              <w:t>總計</w:t>
            </w:r>
          </w:p>
        </w:tc>
        <w:tc>
          <w:tcPr>
            <w:tcW w:w="1793" w:type="dxa"/>
            <w:tcBorders>
              <w:top w:val="nil"/>
              <w:left w:val="nil"/>
              <w:bottom w:val="single" w:sz="4" w:space="0" w:color="auto"/>
              <w:right w:val="single" w:sz="4" w:space="0" w:color="auto"/>
            </w:tcBorders>
            <w:vAlign w:val="center"/>
          </w:tcPr>
          <w:p w:rsidR="00FD1AC2" w:rsidRPr="00FD1AC2" w:rsidRDefault="00FD1AC2" w:rsidP="00FD1AC2">
            <w:pPr>
              <w:jc w:val="right"/>
              <w:rPr>
                <w:rFonts w:ascii="Arial" w:hAnsi="Arial" w:cs="Arial"/>
              </w:rPr>
            </w:pPr>
            <w:r w:rsidRPr="00FD1AC2">
              <w:rPr>
                <w:rFonts w:ascii="Arial" w:hAnsi="Arial" w:cs="Arial"/>
              </w:rPr>
              <w:t>231,576,282</w:t>
            </w:r>
          </w:p>
        </w:tc>
        <w:tc>
          <w:tcPr>
            <w:tcW w:w="1796" w:type="dxa"/>
            <w:tcBorders>
              <w:top w:val="nil"/>
              <w:left w:val="nil"/>
              <w:bottom w:val="single" w:sz="4" w:space="0" w:color="auto"/>
              <w:right w:val="single" w:sz="4" w:space="0" w:color="auto"/>
            </w:tcBorders>
            <w:vAlign w:val="center"/>
          </w:tcPr>
          <w:p w:rsidR="00FD1AC2" w:rsidRPr="004D451D" w:rsidRDefault="00FD1AC2" w:rsidP="001F240C">
            <w:pPr>
              <w:jc w:val="right"/>
              <w:rPr>
                <w:rFonts w:ascii="Arial" w:hAnsi="Arial" w:cs="Arial"/>
              </w:rPr>
            </w:pPr>
            <w:r w:rsidRPr="004D451D">
              <w:rPr>
                <w:rFonts w:ascii="Arial" w:hAnsi="Arial" w:cs="Arial"/>
              </w:rPr>
              <w:t>224,517,278</w:t>
            </w:r>
          </w:p>
        </w:tc>
        <w:tc>
          <w:tcPr>
            <w:tcW w:w="1826" w:type="dxa"/>
            <w:gridSpan w:val="2"/>
            <w:tcBorders>
              <w:top w:val="nil"/>
              <w:left w:val="nil"/>
              <w:bottom w:val="single" w:sz="4" w:space="0" w:color="auto"/>
              <w:right w:val="single" w:sz="4" w:space="0" w:color="auto"/>
            </w:tcBorders>
            <w:vAlign w:val="center"/>
          </w:tcPr>
          <w:p w:rsidR="00FD1AC2" w:rsidRPr="004D451D" w:rsidRDefault="00FD1AC2">
            <w:pPr>
              <w:jc w:val="right"/>
              <w:rPr>
                <w:rFonts w:ascii="Arial" w:hAnsi="Arial" w:cs="Arial"/>
              </w:rPr>
            </w:pPr>
            <w:r w:rsidRPr="004D451D">
              <w:rPr>
                <w:rFonts w:ascii="Arial" w:hAnsi="Arial" w:cs="Arial"/>
              </w:rPr>
              <w:t>18,526,103</w:t>
            </w:r>
          </w:p>
        </w:tc>
      </w:tr>
      <w:tr w:rsidR="004D451D" w:rsidRPr="004D451D" w:rsidTr="00AC410E">
        <w:trPr>
          <w:gridAfter w:val="1"/>
          <w:wAfter w:w="29" w:type="dxa"/>
          <w:trHeight w:val="360"/>
        </w:trPr>
        <w:tc>
          <w:tcPr>
            <w:tcW w:w="10756" w:type="dxa"/>
            <w:gridSpan w:val="5"/>
            <w:vMerge w:val="restart"/>
            <w:tcBorders>
              <w:top w:val="single" w:sz="8" w:space="0" w:color="auto"/>
              <w:left w:val="single" w:sz="4" w:space="0" w:color="auto"/>
              <w:bottom w:val="single" w:sz="4" w:space="0" w:color="auto"/>
              <w:right w:val="single" w:sz="4" w:space="0" w:color="auto"/>
            </w:tcBorders>
            <w:vAlign w:val="center"/>
          </w:tcPr>
          <w:p w:rsidR="00337D83" w:rsidRPr="004D451D" w:rsidRDefault="00337D83" w:rsidP="00D156B5">
            <w:pPr>
              <w:widowControl/>
              <w:rPr>
                <w:rFonts w:eastAsia="標楷體"/>
                <w:kern w:val="0"/>
              </w:rPr>
            </w:pPr>
            <w:r w:rsidRPr="004D451D">
              <w:rPr>
                <w:rFonts w:eastAsia="標楷體"/>
                <w:kern w:val="0"/>
              </w:rPr>
              <w:t>附註說明：</w:t>
            </w:r>
          </w:p>
        </w:tc>
      </w:tr>
      <w:tr w:rsidR="004D451D" w:rsidRPr="004D451D" w:rsidTr="00AC410E">
        <w:trPr>
          <w:gridAfter w:val="1"/>
          <w:wAfter w:w="29" w:type="dxa"/>
          <w:trHeight w:val="360"/>
        </w:trPr>
        <w:tc>
          <w:tcPr>
            <w:tcW w:w="10756" w:type="dxa"/>
            <w:gridSpan w:val="5"/>
            <w:vMerge/>
            <w:tcBorders>
              <w:top w:val="single" w:sz="8" w:space="0" w:color="auto"/>
              <w:left w:val="single" w:sz="4" w:space="0" w:color="auto"/>
              <w:bottom w:val="single" w:sz="4" w:space="0" w:color="auto"/>
              <w:right w:val="single" w:sz="4" w:space="0" w:color="auto"/>
            </w:tcBorders>
            <w:vAlign w:val="center"/>
          </w:tcPr>
          <w:p w:rsidR="00337D83" w:rsidRPr="004D451D" w:rsidRDefault="00337D83" w:rsidP="00D156B5">
            <w:pPr>
              <w:widowControl/>
              <w:rPr>
                <w:rFonts w:eastAsia="標楷體"/>
                <w:kern w:val="0"/>
              </w:rPr>
            </w:pPr>
          </w:p>
        </w:tc>
      </w:tr>
      <w:tr w:rsidR="004D451D" w:rsidRPr="004D451D" w:rsidTr="00AC410E">
        <w:trPr>
          <w:gridAfter w:val="1"/>
          <w:wAfter w:w="29" w:type="dxa"/>
          <w:trHeight w:val="360"/>
        </w:trPr>
        <w:tc>
          <w:tcPr>
            <w:tcW w:w="10756" w:type="dxa"/>
            <w:gridSpan w:val="5"/>
            <w:vMerge/>
            <w:tcBorders>
              <w:top w:val="single" w:sz="8" w:space="0" w:color="auto"/>
              <w:left w:val="single" w:sz="4" w:space="0" w:color="auto"/>
              <w:bottom w:val="single" w:sz="4" w:space="0" w:color="auto"/>
              <w:right w:val="single" w:sz="4" w:space="0" w:color="auto"/>
            </w:tcBorders>
            <w:vAlign w:val="center"/>
          </w:tcPr>
          <w:p w:rsidR="00337D83" w:rsidRPr="004D451D" w:rsidRDefault="00337D83" w:rsidP="00D156B5">
            <w:pPr>
              <w:widowControl/>
              <w:rPr>
                <w:rFonts w:eastAsia="標楷體"/>
                <w:kern w:val="0"/>
              </w:rPr>
            </w:pPr>
          </w:p>
        </w:tc>
      </w:tr>
    </w:tbl>
    <w:p w:rsidR="00E03BBD" w:rsidRPr="004D451D" w:rsidRDefault="00E03BBD" w:rsidP="004F6663">
      <w:pPr>
        <w:pStyle w:val="ad"/>
        <w:spacing w:line="360" w:lineRule="auto"/>
        <w:ind w:leftChars="23" w:left="1013" w:right="555"/>
        <w:rPr>
          <w:rFonts w:ascii="Times New Roman" w:hAnsi="Times New Roman"/>
          <w:b/>
          <w:sz w:val="24"/>
        </w:rPr>
      </w:pPr>
    </w:p>
    <w:p w:rsidR="00E03BBD" w:rsidRPr="004D451D" w:rsidRDefault="00E03BBD" w:rsidP="001934E3">
      <w:pPr>
        <w:pStyle w:val="ad"/>
        <w:spacing w:line="240" w:lineRule="atLeast"/>
        <w:ind w:leftChars="23" w:left="1013" w:right="556"/>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E03BBD" w:rsidRPr="004D451D" w:rsidRDefault="00E03BBD" w:rsidP="00EF4134">
      <w:pPr>
        <w:numPr>
          <w:ilvl w:val="0"/>
          <w:numId w:val="15"/>
        </w:numPr>
        <w:spacing w:line="240" w:lineRule="atLeast"/>
        <w:ind w:leftChars="150" w:left="720" w:hangingChars="150"/>
        <w:rPr>
          <w:rFonts w:eastAsia="標楷體"/>
        </w:rPr>
      </w:pPr>
      <w:r w:rsidRPr="004D451D">
        <w:rPr>
          <w:rFonts w:eastAsia="標楷體"/>
        </w:rPr>
        <w:t>本表更新頻率：</w:t>
      </w:r>
      <w:r w:rsidR="00213083" w:rsidRPr="004D451D">
        <w:rPr>
          <w:rFonts w:eastAsia="標楷體"/>
        </w:rPr>
        <w:t>半年</w:t>
      </w:r>
      <w:r w:rsidRPr="004D451D">
        <w:rPr>
          <w:rFonts w:eastAsia="標楷體"/>
        </w:rPr>
        <w:t>。</w:t>
      </w:r>
    </w:p>
    <w:p w:rsidR="001C0E4B" w:rsidRPr="004D451D" w:rsidRDefault="001C0E4B" w:rsidP="00EF4134">
      <w:pPr>
        <w:numPr>
          <w:ilvl w:val="0"/>
          <w:numId w:val="15"/>
        </w:numPr>
        <w:spacing w:line="240" w:lineRule="atLeast"/>
        <w:ind w:leftChars="150" w:left="720" w:hangingChars="150"/>
        <w:rPr>
          <w:rFonts w:eastAsia="標楷體"/>
        </w:rPr>
      </w:pPr>
      <w:r w:rsidRPr="004D451D">
        <w:rPr>
          <w:rFonts w:eastAsia="標楷體"/>
        </w:rPr>
        <w:t>本表採個體基礎填報。</w:t>
      </w:r>
    </w:p>
    <w:p w:rsidR="001C0E4B" w:rsidRPr="004D451D" w:rsidRDefault="001C0E4B" w:rsidP="00EF4134">
      <w:pPr>
        <w:numPr>
          <w:ilvl w:val="0"/>
          <w:numId w:val="15"/>
        </w:numPr>
        <w:spacing w:line="240" w:lineRule="atLeast"/>
        <w:ind w:leftChars="150" w:left="720" w:hangingChars="150"/>
        <w:rPr>
          <w:rFonts w:eastAsia="標楷體"/>
        </w:rPr>
      </w:pPr>
      <w:r w:rsidRPr="004D451D">
        <w:rPr>
          <w:rFonts w:eastAsia="標楷體"/>
        </w:rPr>
        <w:t>若銀行使用內部模型法</w:t>
      </w:r>
      <w:r w:rsidRPr="004D451D">
        <w:rPr>
          <w:rFonts w:eastAsia="標楷體"/>
        </w:rPr>
        <w:t>(IMA)</w:t>
      </w:r>
      <w:r w:rsidRPr="004D451D">
        <w:rPr>
          <w:rFonts w:eastAsia="標楷體"/>
        </w:rPr>
        <w:t>來計提市場風險評價之權益投資暴險，則必須每年於附註說明中提供其內部模型特性之描述。</w:t>
      </w:r>
    </w:p>
    <w:p w:rsidR="001C0E4B" w:rsidRPr="004D451D" w:rsidRDefault="001C0E4B" w:rsidP="00EF4134">
      <w:pPr>
        <w:numPr>
          <w:ilvl w:val="0"/>
          <w:numId w:val="15"/>
        </w:numPr>
        <w:spacing w:line="240" w:lineRule="atLeast"/>
        <w:ind w:leftChars="150" w:left="720" w:hangingChars="150"/>
        <w:rPr>
          <w:rFonts w:eastAsia="標楷體"/>
        </w:rPr>
      </w:pPr>
      <w:r w:rsidRPr="004D451D">
        <w:rPr>
          <w:rFonts w:eastAsia="標楷體"/>
        </w:rPr>
        <w:t>本表之行與列各項目填寫定義如下：</w:t>
      </w:r>
    </w:p>
    <w:p w:rsidR="00E03BBD" w:rsidRPr="004D451D" w:rsidRDefault="00E03BBD" w:rsidP="00430298">
      <w:pPr>
        <w:pStyle w:val="ad"/>
        <w:spacing w:line="240" w:lineRule="atLeast"/>
        <w:ind w:leftChars="250" w:left="1080" w:rightChars="231" w:right="554" w:hangingChars="200" w:hanging="480"/>
        <w:rPr>
          <w:rFonts w:ascii="Times New Roman" w:hAnsi="Times New Roman"/>
          <w:sz w:val="24"/>
        </w:rPr>
      </w:pPr>
      <w:r w:rsidRPr="004D451D">
        <w:rPr>
          <w:rFonts w:ascii="Times New Roman" w:hAnsi="Times New Roman"/>
          <w:b/>
          <w:sz w:val="24"/>
        </w:rPr>
        <w:t>行</w:t>
      </w:r>
      <w:r w:rsidR="001C0E4B" w:rsidRPr="004D451D">
        <w:rPr>
          <w:rFonts w:ascii="Times New Roman" w:hAnsi="Times New Roman" w:hint="eastAsia"/>
          <w:b/>
          <w:sz w:val="24"/>
        </w:rPr>
        <w:t>：</w:t>
      </w:r>
    </w:p>
    <w:p w:rsidR="00E03BBD" w:rsidRPr="004D451D" w:rsidRDefault="00E03BBD"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風險性資產：市場風險與作業風險</w:t>
      </w:r>
      <w:r w:rsidR="00AF60E0" w:rsidRPr="004D451D">
        <w:rPr>
          <w:rFonts w:ascii="Times New Roman" w:hAnsi="Times New Roman"/>
          <w:sz w:val="24"/>
        </w:rPr>
        <w:t>應計提資本需轉換為風險性資產</w:t>
      </w:r>
      <w:r w:rsidRPr="004D451D">
        <w:rPr>
          <w:rFonts w:ascii="Times New Roman" w:hAnsi="Times New Roman"/>
          <w:sz w:val="24"/>
        </w:rPr>
        <w:t>，</w:t>
      </w:r>
      <w:r w:rsidR="00AF60E0" w:rsidRPr="004D451D">
        <w:rPr>
          <w:rFonts w:ascii="Times New Roman" w:hAnsi="Times New Roman"/>
          <w:sz w:val="24"/>
        </w:rPr>
        <w:t>即</w:t>
      </w:r>
      <w:r w:rsidRPr="004D451D">
        <w:rPr>
          <w:rFonts w:ascii="Times New Roman" w:hAnsi="Times New Roman"/>
          <w:sz w:val="24"/>
        </w:rPr>
        <w:t>應計提資本乘以</w:t>
      </w:r>
      <w:r w:rsidRPr="004D451D">
        <w:rPr>
          <w:rFonts w:ascii="Times New Roman" w:hAnsi="Times New Roman"/>
          <w:sz w:val="24"/>
        </w:rPr>
        <w:t>12.5</w:t>
      </w:r>
      <w:r w:rsidRPr="004D451D">
        <w:rPr>
          <w:rFonts w:ascii="Times New Roman" w:hAnsi="Times New Roman"/>
          <w:sz w:val="24"/>
        </w:rPr>
        <w:t>。</w:t>
      </w:r>
    </w:p>
    <w:p w:rsidR="001C0E4B" w:rsidRPr="004D451D" w:rsidRDefault="001C0E4B"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風險性資產</w:t>
      </w:r>
      <w:r w:rsidRPr="004D451D">
        <w:rPr>
          <w:rFonts w:ascii="Times New Roman" w:hAnsi="Times New Roman"/>
          <w:sz w:val="24"/>
        </w:rPr>
        <w:t>(</w:t>
      </w:r>
      <w:r w:rsidRPr="004D451D">
        <w:rPr>
          <w:rFonts w:ascii="Times New Roman" w:hAnsi="Times New Roman"/>
          <w:sz w:val="24"/>
        </w:rPr>
        <w:t>前期</w:t>
      </w:r>
      <w:r w:rsidR="00BF18BF" w:rsidRPr="004D451D">
        <w:rPr>
          <w:rFonts w:ascii="Times New Roman" w:hAnsi="Times New Roman"/>
          <w:sz w:val="24"/>
        </w:rPr>
        <w:t>)</w:t>
      </w:r>
      <w:r w:rsidR="00BF18BF" w:rsidRPr="004D451D">
        <w:rPr>
          <w:rFonts w:ascii="Times New Roman" w:hAnsi="Times New Roman" w:hint="eastAsia"/>
          <w:sz w:val="24"/>
        </w:rPr>
        <w:t>：</w:t>
      </w:r>
      <w:r w:rsidRPr="004D451D">
        <w:rPr>
          <w:rFonts w:ascii="Times New Roman" w:hAnsi="Times New Roman"/>
          <w:sz w:val="24"/>
        </w:rPr>
        <w:t>採基本指標法或標準法之銀行，「前期」係指前半年度資料；採內部評等法或內部模型法之銀行，「前期」需同時列示前一季與前半年度資料。第一季與第三季資料得免經會計師複核。</w:t>
      </w:r>
    </w:p>
    <w:p w:rsidR="00BF18BF" w:rsidRPr="004D451D" w:rsidRDefault="00BF18BF" w:rsidP="00482E54">
      <w:pPr>
        <w:pStyle w:val="ad"/>
        <w:numPr>
          <w:ilvl w:val="0"/>
          <w:numId w:val="16"/>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最低資本要求：係報表日時，主管機關對於第一支柱之最低資本要求，其總計需與第一支柱申報報表【表</w:t>
      </w:r>
      <w:r w:rsidRPr="004D451D">
        <w:rPr>
          <w:rFonts w:ascii="Times New Roman" w:hAnsi="Times New Roman"/>
          <w:sz w:val="24"/>
        </w:rPr>
        <w:t>1-A1</w:t>
      </w:r>
      <w:r w:rsidRPr="004D451D">
        <w:rPr>
          <w:rFonts w:ascii="Times New Roman" w:hAnsi="Times New Roman"/>
          <w:sz w:val="24"/>
        </w:rPr>
        <w:t>】自有資本與風險性資產比率及槓桿比率計算表中第</w:t>
      </w:r>
      <w:r w:rsidRPr="004D451D">
        <w:rPr>
          <w:rFonts w:ascii="Times New Roman" w:hAnsi="Times New Roman"/>
          <w:sz w:val="24"/>
        </w:rPr>
        <w:t>(5)</w:t>
      </w:r>
      <w:r w:rsidRPr="004D451D">
        <w:rPr>
          <w:rFonts w:ascii="Times New Roman" w:hAnsi="Times New Roman"/>
          <w:sz w:val="24"/>
        </w:rPr>
        <w:t>、</w:t>
      </w:r>
      <w:r w:rsidRPr="004D451D">
        <w:rPr>
          <w:rFonts w:ascii="Times New Roman" w:hAnsi="Times New Roman"/>
          <w:sz w:val="24"/>
        </w:rPr>
        <w:t>(6)</w:t>
      </w:r>
      <w:r w:rsidRPr="004D451D">
        <w:rPr>
          <w:rFonts w:ascii="Times New Roman" w:hAnsi="Times New Roman"/>
          <w:sz w:val="24"/>
        </w:rPr>
        <w:t>、</w:t>
      </w:r>
      <w:r w:rsidRPr="004D451D">
        <w:rPr>
          <w:rFonts w:ascii="Times New Roman" w:hAnsi="Times New Roman"/>
          <w:sz w:val="24"/>
        </w:rPr>
        <w:t>(7)</w:t>
      </w:r>
      <w:r w:rsidRPr="004D451D">
        <w:rPr>
          <w:rFonts w:ascii="Times New Roman" w:hAnsi="Times New Roman"/>
          <w:sz w:val="24"/>
        </w:rPr>
        <w:t>項「最低資本計提」之加總一致。</w:t>
      </w:r>
    </w:p>
    <w:p w:rsidR="00E03BBD" w:rsidRPr="004D451D" w:rsidRDefault="00E03BBD" w:rsidP="00430298">
      <w:pPr>
        <w:pStyle w:val="ad"/>
        <w:spacing w:line="240" w:lineRule="atLeast"/>
        <w:ind w:leftChars="250" w:left="1080" w:rightChars="231" w:right="554" w:hangingChars="200" w:hanging="480"/>
        <w:rPr>
          <w:rFonts w:ascii="Times New Roman" w:hAnsi="Times New Roman"/>
          <w:sz w:val="24"/>
        </w:rPr>
      </w:pPr>
      <w:r w:rsidRPr="004D451D">
        <w:rPr>
          <w:rFonts w:ascii="Times New Roman" w:hAnsi="Times New Roman"/>
          <w:b/>
          <w:sz w:val="24"/>
        </w:rPr>
        <w:t>列</w:t>
      </w:r>
      <w:r w:rsidR="00BF18BF" w:rsidRPr="004D451D">
        <w:rPr>
          <w:rFonts w:ascii="Times New Roman" w:hAnsi="Times New Roman" w:hint="eastAsia"/>
          <w:sz w:val="24"/>
        </w:rPr>
        <w:t>：</w:t>
      </w:r>
    </w:p>
    <w:p w:rsidR="00C733C5" w:rsidRPr="004D451D" w:rsidRDefault="008B1F57"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hint="eastAsia"/>
          <w:sz w:val="24"/>
        </w:rPr>
        <w:t>本表第一列所指之信用風險應填載範圍，需排除交易對手信用風險、基金股權投資資本計提部位、證券化監理架構下之資本計提部位、扣除門檻內之金額及下限之調整。</w:t>
      </w:r>
    </w:p>
    <w:p w:rsidR="00E03BBD" w:rsidRPr="004D451D" w:rsidRDefault="00C733C5"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「交易對手信用風險」填報數字應包含</w:t>
      </w:r>
      <w:r w:rsidR="00BF18BF" w:rsidRPr="004D451D">
        <w:rPr>
          <w:rFonts w:ascii="Times New Roman" w:hAnsi="Times New Roman" w:hint="eastAsia"/>
          <w:sz w:val="24"/>
        </w:rPr>
        <w:t>【</w:t>
      </w:r>
      <w:r w:rsidRPr="004D451D">
        <w:rPr>
          <w:rFonts w:ascii="Times New Roman" w:hAnsi="Times New Roman"/>
          <w:sz w:val="24"/>
        </w:rPr>
        <w:t>附表二十</w:t>
      </w:r>
      <w:r w:rsidR="00207117" w:rsidRPr="004D451D">
        <w:rPr>
          <w:rFonts w:ascii="Times New Roman" w:hAnsi="Times New Roman" w:hint="eastAsia"/>
          <w:sz w:val="24"/>
        </w:rPr>
        <w:t>九</w:t>
      </w:r>
      <w:r w:rsidR="00BF18BF" w:rsidRPr="004D451D">
        <w:rPr>
          <w:rFonts w:ascii="Times New Roman" w:hAnsi="Times New Roman" w:hint="eastAsia"/>
          <w:sz w:val="24"/>
        </w:rPr>
        <w:t>】</w:t>
      </w:r>
      <w:r w:rsidRPr="004D451D">
        <w:rPr>
          <w:rFonts w:ascii="Times New Roman" w:hAnsi="Times New Roman"/>
          <w:sz w:val="24"/>
        </w:rPr>
        <w:t>之信用風險評價調整</w:t>
      </w:r>
      <w:r w:rsidRPr="004D451D">
        <w:rPr>
          <w:rFonts w:ascii="Times New Roman" w:hAnsi="Times New Roman"/>
          <w:sz w:val="24"/>
        </w:rPr>
        <w:t>(CVA)</w:t>
      </w:r>
      <w:r w:rsidRPr="004D451D">
        <w:rPr>
          <w:rFonts w:ascii="Times New Roman" w:hAnsi="Times New Roman"/>
          <w:sz w:val="24"/>
        </w:rPr>
        <w:t>與</w:t>
      </w:r>
      <w:r w:rsidR="00BF18BF" w:rsidRPr="004D451D">
        <w:rPr>
          <w:rFonts w:ascii="Times New Roman" w:hAnsi="Times New Roman" w:hint="eastAsia"/>
          <w:sz w:val="24"/>
        </w:rPr>
        <w:t>【</w:t>
      </w:r>
      <w:r w:rsidRPr="004D451D">
        <w:rPr>
          <w:rFonts w:ascii="Times New Roman" w:hAnsi="Times New Roman"/>
          <w:sz w:val="24"/>
        </w:rPr>
        <w:t>附表三十</w:t>
      </w:r>
      <w:r w:rsidR="00207117" w:rsidRPr="004D451D">
        <w:rPr>
          <w:rFonts w:ascii="Times New Roman" w:hAnsi="Times New Roman" w:hint="eastAsia"/>
          <w:sz w:val="24"/>
        </w:rPr>
        <w:t>五</w:t>
      </w:r>
      <w:r w:rsidR="00BF18BF" w:rsidRPr="004D451D">
        <w:rPr>
          <w:rFonts w:ascii="Times New Roman" w:hAnsi="Times New Roman" w:hint="eastAsia"/>
          <w:sz w:val="24"/>
        </w:rPr>
        <w:t>】</w:t>
      </w:r>
      <w:r w:rsidRPr="004D451D">
        <w:rPr>
          <w:rFonts w:ascii="Times New Roman" w:hAnsi="Times New Roman"/>
          <w:sz w:val="24"/>
        </w:rPr>
        <w:t>集中結算交易對手</w:t>
      </w:r>
      <w:r w:rsidRPr="004D451D">
        <w:rPr>
          <w:rFonts w:ascii="Times New Roman" w:hAnsi="Times New Roman"/>
          <w:sz w:val="24"/>
        </w:rPr>
        <w:t>(CCP)</w:t>
      </w:r>
      <w:r w:rsidRPr="004D451D">
        <w:rPr>
          <w:rFonts w:ascii="Times New Roman" w:hAnsi="Times New Roman"/>
          <w:sz w:val="24"/>
        </w:rPr>
        <w:t>暴險，故「交易對手信用風險」之風險性資產與最低資本要求金額不等於「標準法</w:t>
      </w:r>
      <w:r w:rsidRPr="004D451D">
        <w:rPr>
          <w:rFonts w:ascii="Times New Roman" w:hAnsi="Times New Roman"/>
          <w:sz w:val="24"/>
        </w:rPr>
        <w:t>(SA-CCR)</w:t>
      </w:r>
      <w:r w:rsidRPr="004D451D">
        <w:rPr>
          <w:rFonts w:ascii="Times New Roman" w:hAnsi="Times New Roman"/>
          <w:sz w:val="24"/>
        </w:rPr>
        <w:t>」與「內部模型法</w:t>
      </w:r>
      <w:r w:rsidRPr="004D451D">
        <w:rPr>
          <w:rFonts w:ascii="Times New Roman" w:hAnsi="Times New Roman"/>
          <w:sz w:val="24"/>
        </w:rPr>
        <w:t>(IMM)</w:t>
      </w:r>
      <w:r w:rsidRPr="004D451D">
        <w:rPr>
          <w:rFonts w:ascii="Times New Roman" w:hAnsi="Times New Roman"/>
          <w:sz w:val="24"/>
        </w:rPr>
        <w:t>」之加總。</w:t>
      </w:r>
    </w:p>
    <w:p w:rsidR="0092218F" w:rsidRPr="004D451D" w:rsidRDefault="00D96F8A"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本表第五列之填報內容，於標準法</w:t>
      </w:r>
      <w:r w:rsidRPr="004D451D">
        <w:rPr>
          <w:rFonts w:ascii="Times New Roman" w:hAnsi="Times New Roman"/>
          <w:sz w:val="24"/>
        </w:rPr>
        <w:t>(SA-CCR)</w:t>
      </w:r>
      <w:r w:rsidRPr="004D451D">
        <w:rPr>
          <w:rFonts w:ascii="Times New Roman" w:hAnsi="Times New Roman"/>
          <w:sz w:val="24"/>
        </w:rPr>
        <w:t>實施前，請依當期暴險額法</w:t>
      </w:r>
      <w:r w:rsidRPr="004D451D">
        <w:rPr>
          <w:rFonts w:ascii="Times New Roman" w:hAnsi="Times New Roman"/>
          <w:sz w:val="24"/>
        </w:rPr>
        <w:t>(CEM)</w:t>
      </w:r>
      <w:r w:rsidRPr="004D451D">
        <w:rPr>
          <w:rFonts w:ascii="Times New Roman" w:hAnsi="Times New Roman"/>
          <w:sz w:val="24"/>
        </w:rPr>
        <w:t>或標準法</w:t>
      </w:r>
      <w:r w:rsidRPr="004D451D">
        <w:rPr>
          <w:rFonts w:ascii="Times New Roman" w:hAnsi="Times New Roman"/>
          <w:sz w:val="24"/>
        </w:rPr>
        <w:t>(SM)</w:t>
      </w:r>
      <w:r w:rsidR="0092218F" w:rsidRPr="004D451D">
        <w:rPr>
          <w:rFonts w:ascii="Times New Roman" w:hAnsi="Times New Roman"/>
          <w:sz w:val="24"/>
        </w:rPr>
        <w:t>之規定填報。</w:t>
      </w:r>
    </w:p>
    <w:p w:rsidR="00AF60E0" w:rsidRPr="004D451D" w:rsidRDefault="00FC2E82"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hint="eastAsia"/>
          <w:sz w:val="24"/>
        </w:rPr>
        <w:t>基金股權投資資本計提相關規定實施前，本表第八至十列不適用，不需填列。</w:t>
      </w:r>
    </w:p>
    <w:p w:rsidR="00826ABA" w:rsidRPr="004D451D" w:rsidRDefault="00826ABA" w:rsidP="00482E54">
      <w:pPr>
        <w:numPr>
          <w:ilvl w:val="0"/>
          <w:numId w:val="17"/>
        </w:numPr>
        <w:ind w:leftChars="250" w:left="1080" w:hangingChars="200" w:hanging="480"/>
        <w:rPr>
          <w:rFonts w:eastAsia="標楷體"/>
        </w:rPr>
      </w:pPr>
      <w:r w:rsidRPr="004D451D">
        <w:rPr>
          <w:rFonts w:eastAsia="標楷體" w:hint="eastAsia"/>
        </w:rPr>
        <w:t>本表第十三列所指之內部評等法之評等基礎法</w:t>
      </w:r>
      <w:r w:rsidRPr="004D451D">
        <w:rPr>
          <w:rFonts w:eastAsia="標楷體" w:hint="eastAsia"/>
        </w:rPr>
        <w:t>(RBA)</w:t>
      </w:r>
      <w:r w:rsidRPr="004D451D">
        <w:rPr>
          <w:rFonts w:eastAsia="標楷體" w:hint="eastAsia"/>
        </w:rPr>
        <w:t>包含內部評等法之內部評估法</w:t>
      </w:r>
      <w:r w:rsidRPr="004D451D">
        <w:rPr>
          <w:rFonts w:eastAsia="標楷體" w:hint="eastAsia"/>
        </w:rPr>
        <w:t>(IAA)</w:t>
      </w:r>
      <w:r w:rsidRPr="004D451D">
        <w:rPr>
          <w:rFonts w:eastAsia="標楷體" w:hint="eastAsia"/>
        </w:rPr>
        <w:t>。</w:t>
      </w:r>
    </w:p>
    <w:p w:rsidR="00E03BBD" w:rsidRPr="004D451D"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本表第十六列所指之市場風險應填載範圍，包含交易簿之證券化但排除交易對手信用風險之資本計提部位。</w:t>
      </w:r>
    </w:p>
    <w:p w:rsidR="00E03BBD" w:rsidRPr="004D451D"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本表第二十三列所指</w:t>
      </w:r>
      <w:r w:rsidR="00F94960" w:rsidRPr="004D451D">
        <w:rPr>
          <w:rFonts w:ascii="Times New Roman" w:hAnsi="Times New Roman"/>
          <w:sz w:val="24"/>
        </w:rPr>
        <w:t>之扣除門檻內</w:t>
      </w:r>
      <w:r w:rsidR="006F0199" w:rsidRPr="004D451D">
        <w:rPr>
          <w:rFonts w:ascii="Times New Roman" w:hAnsi="Times New Roman"/>
          <w:sz w:val="24"/>
        </w:rPr>
        <w:t>之</w:t>
      </w:r>
      <w:r w:rsidR="00F94960" w:rsidRPr="004D451D">
        <w:rPr>
          <w:rFonts w:ascii="Times New Roman" w:hAnsi="Times New Roman"/>
          <w:sz w:val="24"/>
        </w:rPr>
        <w:t>金額</w:t>
      </w:r>
      <w:r w:rsidRPr="004D451D">
        <w:rPr>
          <w:rFonts w:ascii="Times New Roman" w:hAnsi="Times New Roman"/>
          <w:sz w:val="24"/>
        </w:rPr>
        <w:t>(</w:t>
      </w:r>
      <w:r w:rsidRPr="004D451D">
        <w:rPr>
          <w:rFonts w:ascii="Times New Roman" w:hAnsi="Times New Roman"/>
          <w:sz w:val="24"/>
        </w:rPr>
        <w:t>適用風險權數</w:t>
      </w:r>
      <w:r w:rsidR="00BF18BF" w:rsidRPr="004D451D">
        <w:rPr>
          <w:rFonts w:ascii="Times New Roman" w:hAnsi="Times New Roman"/>
          <w:sz w:val="24"/>
        </w:rPr>
        <w:t>250%</w:t>
      </w:r>
      <w:r w:rsidRPr="004D451D">
        <w:rPr>
          <w:rFonts w:ascii="Times New Roman" w:hAnsi="Times New Roman"/>
          <w:sz w:val="24"/>
        </w:rPr>
        <w:t>)</w:t>
      </w:r>
      <w:r w:rsidRPr="004D451D">
        <w:rPr>
          <w:rFonts w:ascii="Times New Roman" w:hAnsi="Times New Roman"/>
          <w:sz w:val="24"/>
        </w:rPr>
        <w:t>，其金額之計算包含暫時性差異產生之遞延所得稅資產未超限數，於門檻下適用風險權數</w:t>
      </w:r>
      <w:r w:rsidRPr="004D451D">
        <w:rPr>
          <w:rFonts w:ascii="Times New Roman" w:hAnsi="Times New Roman"/>
          <w:sz w:val="24"/>
        </w:rPr>
        <w:t>250%</w:t>
      </w:r>
      <w:r w:rsidRPr="004D451D">
        <w:rPr>
          <w:rFonts w:ascii="Times New Roman" w:hAnsi="Times New Roman"/>
          <w:sz w:val="24"/>
        </w:rPr>
        <w:t>之金額。</w:t>
      </w:r>
    </w:p>
    <w:p w:rsidR="00E03BBD" w:rsidRPr="004D451D" w:rsidRDefault="00E03BBD" w:rsidP="00482E54">
      <w:pPr>
        <w:pStyle w:val="ad"/>
        <w:numPr>
          <w:ilvl w:val="0"/>
          <w:numId w:val="17"/>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本表第二十四列所指之下限之調整，係揭露風險性資產總額因第一支柱下限所做之調整</w:t>
      </w:r>
      <w:r w:rsidRPr="004D451D">
        <w:rPr>
          <w:rFonts w:ascii="Times New Roman" w:hAnsi="Times New Roman"/>
          <w:sz w:val="24"/>
        </w:rPr>
        <w:t>(</w:t>
      </w:r>
      <w:r w:rsidRPr="004D451D">
        <w:rPr>
          <w:rFonts w:ascii="Times New Roman" w:hAnsi="Times New Roman"/>
          <w:sz w:val="24"/>
        </w:rPr>
        <w:t>如</w:t>
      </w:r>
      <w:r w:rsidR="009D3066" w:rsidRPr="004D451D">
        <w:rPr>
          <w:rFonts w:ascii="Times New Roman" w:hAnsi="Times New Roman" w:hint="eastAsia"/>
          <w:sz w:val="24"/>
        </w:rPr>
        <w:t>：</w:t>
      </w:r>
      <w:r w:rsidRPr="004D451D">
        <w:rPr>
          <w:rFonts w:ascii="Times New Roman" w:hAnsi="Times New Roman"/>
          <w:sz w:val="24"/>
        </w:rPr>
        <w:t>銀行採用內部評等法</w:t>
      </w:r>
      <w:r w:rsidRPr="004D451D">
        <w:rPr>
          <w:rFonts w:ascii="Times New Roman" w:hAnsi="Times New Roman"/>
          <w:sz w:val="24"/>
        </w:rPr>
        <w:t>(IRB)</w:t>
      </w:r>
      <w:r w:rsidRPr="004D451D">
        <w:rPr>
          <w:rFonts w:ascii="Times New Roman" w:hAnsi="Times New Roman"/>
          <w:sz w:val="24"/>
        </w:rPr>
        <w:t>初期，須依資本底限與調整因子計算者</w:t>
      </w:r>
      <w:r w:rsidR="00486E51" w:rsidRPr="004D451D">
        <w:rPr>
          <w:rFonts w:ascii="Times New Roman" w:hAnsi="Times New Roman"/>
          <w:sz w:val="24"/>
        </w:rPr>
        <w:t>)</w:t>
      </w:r>
      <w:r w:rsidRPr="004D451D">
        <w:rPr>
          <w:rFonts w:ascii="Times New Roman" w:hAnsi="Times New Roman"/>
          <w:sz w:val="24"/>
        </w:rPr>
        <w:t>。</w:t>
      </w:r>
    </w:p>
    <w:p w:rsidR="00DB77B1" w:rsidRPr="004D451D" w:rsidRDefault="00DB77B1" w:rsidP="00134ACB">
      <w:pPr>
        <w:rPr>
          <w:rFonts w:eastAsia="標楷體"/>
        </w:rPr>
      </w:pPr>
    </w:p>
    <w:p w:rsidR="00DB77B1" w:rsidRPr="004D451D" w:rsidRDefault="00D04F75" w:rsidP="001D2076">
      <w:pPr>
        <w:spacing w:line="360" w:lineRule="auto"/>
        <w:ind w:left="180" w:hangingChars="75" w:hanging="180"/>
        <w:rPr>
          <w:rFonts w:eastAsia="標楷體"/>
          <w:b/>
        </w:rPr>
      </w:pPr>
      <w:r w:rsidRPr="004D451D">
        <w:rPr>
          <w:rFonts w:eastAsia="標楷體"/>
          <w:b/>
        </w:rPr>
        <w:t>本表</w:t>
      </w:r>
      <w:r w:rsidR="001D2076" w:rsidRPr="004D451D">
        <w:rPr>
          <w:rFonts w:eastAsia="標楷體"/>
          <w:b/>
        </w:rPr>
        <w:t>檢核條件</w:t>
      </w:r>
      <w:r w:rsidRPr="004D451D">
        <w:rPr>
          <w:rFonts w:eastAsia="標楷體"/>
          <w:b/>
        </w:rPr>
        <w:t>：</w:t>
      </w:r>
    </w:p>
    <w:p w:rsidR="00BB7ED6" w:rsidRPr="004D451D" w:rsidRDefault="00BB7ED6" w:rsidP="00EF4134">
      <w:pPr>
        <w:numPr>
          <w:ilvl w:val="0"/>
          <w:numId w:val="29"/>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25</w:t>
      </w:r>
      <w:r w:rsidR="00BF18BF" w:rsidRPr="004D451D">
        <w:rPr>
          <w:rFonts w:eastAsia="標楷體" w:hint="eastAsia"/>
        </w:rPr>
        <w:t>A</w:t>
      </w:r>
      <w:r w:rsidRPr="004D451D">
        <w:rPr>
          <w:rFonts w:eastAsia="標楷體"/>
        </w:rPr>
        <w:t>=</w:t>
      </w: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(1+4+7+8+9+10+11+12+16+19+23+24)</w:t>
      </w:r>
      <w:r w:rsidR="00BF18BF" w:rsidRPr="004D451D">
        <w:rPr>
          <w:rFonts w:eastAsia="標楷體" w:hint="eastAsia"/>
        </w:rPr>
        <w:t>A</w:t>
      </w:r>
    </w:p>
    <w:p w:rsidR="00951B2A" w:rsidRPr="004D451D" w:rsidRDefault="00951B2A" w:rsidP="00EF4134">
      <w:pPr>
        <w:numPr>
          <w:ilvl w:val="0"/>
          <w:numId w:val="29"/>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25</w:t>
      </w:r>
      <w:r w:rsidRPr="004D451D">
        <w:rPr>
          <w:rFonts w:eastAsia="標楷體" w:hint="eastAsia"/>
        </w:rPr>
        <w:t>B</w:t>
      </w:r>
      <w:r w:rsidRPr="004D451D">
        <w:rPr>
          <w:rFonts w:eastAsia="標楷體"/>
        </w:rPr>
        <w:t>=</w:t>
      </w: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(1+4+7+8+9+10+11+12+16+19+23+24)</w:t>
      </w:r>
      <w:r w:rsidRPr="004D451D">
        <w:rPr>
          <w:rFonts w:eastAsia="標楷體" w:hint="eastAsia"/>
        </w:rPr>
        <w:t>B</w:t>
      </w:r>
    </w:p>
    <w:p w:rsidR="00951B2A" w:rsidRPr="004D451D" w:rsidRDefault="00951B2A" w:rsidP="00EF4134">
      <w:pPr>
        <w:numPr>
          <w:ilvl w:val="0"/>
          <w:numId w:val="29"/>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25</w:t>
      </w:r>
      <w:r w:rsidRPr="004D451D">
        <w:rPr>
          <w:rFonts w:eastAsia="標楷體" w:hint="eastAsia"/>
        </w:rPr>
        <w:t>C</w:t>
      </w:r>
      <w:r w:rsidRPr="004D451D">
        <w:rPr>
          <w:rFonts w:eastAsia="標楷體"/>
        </w:rPr>
        <w:t>=</w:t>
      </w: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(1+4+7+8+9+10+11+12+16+19+23+24)</w:t>
      </w:r>
      <w:r w:rsidRPr="004D451D">
        <w:rPr>
          <w:rFonts w:eastAsia="標楷體" w:hint="eastAsia"/>
        </w:rPr>
        <w:t>C</w:t>
      </w:r>
    </w:p>
    <w:p w:rsidR="00430298" w:rsidRPr="004D451D" w:rsidRDefault="00430298" w:rsidP="00DB77B1">
      <w:pPr>
        <w:spacing w:line="360" w:lineRule="auto"/>
        <w:ind w:left="180" w:hangingChars="75" w:hanging="180"/>
        <w:rPr>
          <w:rFonts w:eastAsia="標楷體"/>
          <w:b/>
        </w:rPr>
      </w:pPr>
    </w:p>
    <w:p w:rsidR="00DB77B1" w:rsidRPr="004D451D" w:rsidRDefault="00DB77B1" w:rsidP="00DB77B1">
      <w:pPr>
        <w:spacing w:line="360" w:lineRule="auto"/>
        <w:ind w:left="180" w:hangingChars="75" w:hanging="180"/>
        <w:rPr>
          <w:rFonts w:eastAsia="標楷體"/>
          <w:b/>
        </w:rPr>
      </w:pPr>
      <w:r w:rsidRPr="004D451D">
        <w:rPr>
          <w:rFonts w:eastAsia="標楷體"/>
          <w:b/>
        </w:rPr>
        <w:t>跨表檢核</w:t>
      </w:r>
      <w:r w:rsidR="00D04F75" w:rsidRPr="004D451D">
        <w:rPr>
          <w:rFonts w:eastAsia="標楷體"/>
          <w:b/>
        </w:rPr>
        <w:t>：</w:t>
      </w:r>
    </w:p>
    <w:p w:rsidR="0002241B" w:rsidRPr="004D451D" w:rsidRDefault="0002241B" w:rsidP="00EF4134">
      <w:pPr>
        <w:numPr>
          <w:ilvl w:val="0"/>
          <w:numId w:val="82"/>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009173D5" w:rsidRPr="004D451D">
        <w:rPr>
          <w:rFonts w:eastAsia="標楷體" w:hint="eastAsia"/>
        </w:rPr>
        <w:t>(</w:t>
      </w:r>
      <w:r w:rsidRPr="004D451D">
        <w:rPr>
          <w:rFonts w:eastAsia="標楷體"/>
        </w:rPr>
        <w:t>2</w:t>
      </w:r>
      <w:r w:rsidR="00BF18BF" w:rsidRPr="004D451D">
        <w:rPr>
          <w:rFonts w:eastAsia="標楷體" w:hint="eastAsia"/>
        </w:rPr>
        <w:t>A</w:t>
      </w:r>
      <w:r w:rsidR="009173D5" w:rsidRPr="004D451D">
        <w:rPr>
          <w:rFonts w:eastAsia="標楷體" w:hint="eastAsia"/>
        </w:rPr>
        <w:t>+23A)</w:t>
      </w:r>
      <w:r w:rsidRPr="004D451D">
        <w:rPr>
          <w:rFonts w:eastAsia="標楷體"/>
        </w:rPr>
        <w:t>=</w:t>
      </w:r>
      <w:r w:rsidRPr="004D451D">
        <w:rPr>
          <w:rFonts w:eastAsia="標楷體"/>
        </w:rPr>
        <w:t>【附表</w:t>
      </w:r>
      <w:r w:rsidR="001C1EE0" w:rsidRPr="004D451D">
        <w:rPr>
          <w:rFonts w:eastAsia="標楷體"/>
        </w:rPr>
        <w:t>十</w:t>
      </w:r>
      <w:r w:rsidR="00207117" w:rsidRPr="004D451D">
        <w:rPr>
          <w:rFonts w:eastAsia="標楷體" w:hint="eastAsia"/>
        </w:rPr>
        <w:t>九</w:t>
      </w:r>
      <w:r w:rsidRPr="004D451D">
        <w:rPr>
          <w:rFonts w:eastAsia="標楷體"/>
        </w:rPr>
        <w:t>】</w:t>
      </w:r>
      <w:r w:rsidR="001C1EE0" w:rsidRPr="004D451D">
        <w:rPr>
          <w:rFonts w:eastAsia="標楷體"/>
        </w:rPr>
        <w:t>9</w:t>
      </w:r>
      <w:r w:rsidR="00EB11E8" w:rsidRPr="004D451D">
        <w:rPr>
          <w:rFonts w:eastAsia="標楷體" w:hint="eastAsia"/>
        </w:rPr>
        <w:t>E</w:t>
      </w:r>
    </w:p>
    <w:p w:rsidR="00EB11E8" w:rsidRPr="004D451D" w:rsidRDefault="00EB11E8" w:rsidP="00EF4134">
      <w:pPr>
        <w:numPr>
          <w:ilvl w:val="0"/>
          <w:numId w:val="82"/>
        </w:numPr>
        <w:ind w:leftChars="150" w:left="720" w:hangingChars="150"/>
        <w:rPr>
          <w:rFonts w:eastAsia="標楷體"/>
        </w:rPr>
      </w:pPr>
      <w:r w:rsidRPr="004D451D">
        <w:rPr>
          <w:rFonts w:eastAsia="標楷體"/>
        </w:rPr>
        <w:lastRenderedPageBreak/>
        <w:t>【附表</w:t>
      </w:r>
      <w:r w:rsidR="00207117" w:rsidRPr="004D451D">
        <w:rPr>
          <w:rFonts w:eastAsia="標楷體" w:hint="eastAsia"/>
        </w:rPr>
        <w:t>九</w:t>
      </w:r>
      <w:r w:rsidRPr="004D451D">
        <w:rPr>
          <w:rFonts w:eastAsia="標楷體"/>
        </w:rPr>
        <w:t>】</w:t>
      </w:r>
      <w:r w:rsidRPr="004D451D">
        <w:rPr>
          <w:rFonts w:eastAsia="標楷體"/>
        </w:rPr>
        <w:t>3</w:t>
      </w:r>
      <w:r w:rsidRPr="004D451D">
        <w:rPr>
          <w:rFonts w:eastAsia="標楷體" w:hint="eastAsia"/>
        </w:rPr>
        <w:t>A</w:t>
      </w:r>
      <w:r w:rsidRPr="004D451D">
        <w:rPr>
          <w:rFonts w:eastAsia="標楷體"/>
        </w:rPr>
        <w:t>=</w:t>
      </w:r>
      <w:r w:rsidRPr="004D451D">
        <w:rPr>
          <w:rFonts w:eastAsia="標楷體"/>
        </w:rPr>
        <w:t>【附表二十</w:t>
      </w:r>
      <w:r w:rsidR="00207117" w:rsidRPr="004D451D">
        <w:rPr>
          <w:rFonts w:eastAsia="標楷體" w:hint="eastAsia"/>
        </w:rPr>
        <w:t>二</w:t>
      </w:r>
      <w:r w:rsidRPr="004D451D">
        <w:rPr>
          <w:rFonts w:eastAsia="標楷體"/>
        </w:rPr>
        <w:t>】</w:t>
      </w:r>
      <w:r w:rsidR="00982F73" w:rsidRPr="004D451D">
        <w:rPr>
          <w:rFonts w:eastAsia="標楷體" w:hint="eastAsia"/>
        </w:rPr>
        <w:t>2</w:t>
      </w:r>
      <w:r w:rsidRPr="004D451D">
        <w:rPr>
          <w:rFonts w:eastAsia="標楷體" w:hint="eastAsia"/>
        </w:rPr>
        <w:t>I</w:t>
      </w:r>
      <w:r w:rsidRPr="004D451D">
        <w:rPr>
          <w:rFonts w:eastAsia="標楷體"/>
        </w:rPr>
        <w:t>+</w:t>
      </w:r>
      <w:r w:rsidRPr="004D451D">
        <w:rPr>
          <w:rFonts w:eastAsia="標楷體"/>
        </w:rPr>
        <w:t>【附表二十</w:t>
      </w:r>
      <w:r w:rsidR="00207117" w:rsidRPr="004D451D">
        <w:rPr>
          <w:rFonts w:eastAsia="標楷體" w:hint="eastAsia"/>
        </w:rPr>
        <w:t>六</w:t>
      </w:r>
      <w:r w:rsidRPr="004D451D">
        <w:rPr>
          <w:rFonts w:eastAsia="標楷體"/>
        </w:rPr>
        <w:t>】</w:t>
      </w:r>
      <w:r w:rsidR="00C44C1C" w:rsidRPr="004D451D">
        <w:rPr>
          <w:rFonts w:eastAsia="標楷體" w:hint="eastAsia"/>
        </w:rPr>
        <w:t>(6E+12E)</w:t>
      </w:r>
    </w:p>
    <w:p w:rsidR="00EB11E8" w:rsidRPr="004D451D" w:rsidRDefault="00EB11E8" w:rsidP="00EF4134">
      <w:pPr>
        <w:numPr>
          <w:ilvl w:val="0"/>
          <w:numId w:val="82"/>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4</w:t>
      </w:r>
      <w:r w:rsidRPr="004D451D">
        <w:rPr>
          <w:rFonts w:eastAsia="標楷體" w:hint="eastAsia"/>
        </w:rPr>
        <w:t>A</w:t>
      </w:r>
      <w:r w:rsidRPr="004D451D">
        <w:rPr>
          <w:rFonts w:eastAsia="標楷體"/>
        </w:rPr>
        <w:t>=</w:t>
      </w:r>
      <w:r w:rsidRPr="004D451D">
        <w:rPr>
          <w:rFonts w:eastAsia="標楷體"/>
        </w:rPr>
        <w:t>【附表二十</w:t>
      </w:r>
      <w:r w:rsidR="00207117" w:rsidRPr="004D451D">
        <w:rPr>
          <w:rFonts w:eastAsia="標楷體" w:hint="eastAsia"/>
        </w:rPr>
        <w:t>八</w:t>
      </w:r>
      <w:r w:rsidRPr="004D451D">
        <w:rPr>
          <w:rFonts w:eastAsia="標楷體"/>
        </w:rPr>
        <w:t>】</w:t>
      </w:r>
      <w:r w:rsidRPr="004D451D">
        <w:rPr>
          <w:rFonts w:eastAsia="標楷體"/>
        </w:rPr>
        <w:t>6</w:t>
      </w:r>
      <w:r w:rsidRPr="004D451D">
        <w:rPr>
          <w:rFonts w:eastAsia="標楷體" w:hint="eastAsia"/>
        </w:rPr>
        <w:t>F</w:t>
      </w:r>
      <w:r w:rsidRPr="004D451D">
        <w:rPr>
          <w:rFonts w:eastAsia="標楷體"/>
        </w:rPr>
        <w:t>+</w:t>
      </w:r>
      <w:r w:rsidRPr="004D451D">
        <w:rPr>
          <w:rFonts w:eastAsia="標楷體"/>
        </w:rPr>
        <w:t>【附表二十</w:t>
      </w:r>
      <w:r w:rsidR="00207117" w:rsidRPr="004D451D">
        <w:rPr>
          <w:rFonts w:eastAsia="標楷體" w:hint="eastAsia"/>
        </w:rPr>
        <w:t>九</w:t>
      </w:r>
      <w:r w:rsidRPr="004D451D">
        <w:rPr>
          <w:rFonts w:eastAsia="標楷體"/>
        </w:rPr>
        <w:t>】</w:t>
      </w:r>
      <w:r w:rsidR="00207117" w:rsidRPr="004D451D">
        <w:rPr>
          <w:rFonts w:eastAsia="標楷體" w:hint="eastAsia"/>
        </w:rPr>
        <w:t>2</w:t>
      </w:r>
      <w:r w:rsidRPr="004D451D">
        <w:rPr>
          <w:rFonts w:eastAsia="標楷體" w:hint="eastAsia"/>
        </w:rPr>
        <w:t>B</w:t>
      </w:r>
      <w:r w:rsidRPr="004D451D">
        <w:rPr>
          <w:rFonts w:eastAsia="標楷體"/>
        </w:rPr>
        <w:t>+</w:t>
      </w:r>
      <w:r w:rsidRPr="004D451D">
        <w:rPr>
          <w:rFonts w:eastAsia="標楷體"/>
        </w:rPr>
        <w:t>【附表三十</w:t>
      </w:r>
      <w:r w:rsidR="00207117" w:rsidRPr="004D451D">
        <w:rPr>
          <w:rFonts w:eastAsia="標楷體" w:hint="eastAsia"/>
        </w:rPr>
        <w:t>五</w:t>
      </w:r>
      <w:r w:rsidRPr="004D451D">
        <w:rPr>
          <w:rFonts w:eastAsia="標楷體"/>
        </w:rPr>
        <w:t>】</w:t>
      </w:r>
      <w:r w:rsidR="00207117" w:rsidRPr="004D451D">
        <w:rPr>
          <w:rFonts w:eastAsia="標楷體" w:hint="eastAsia"/>
        </w:rPr>
        <w:t>(</w:t>
      </w:r>
      <w:r w:rsidRPr="004D451D">
        <w:rPr>
          <w:rFonts w:eastAsia="標楷體"/>
        </w:rPr>
        <w:t>1</w:t>
      </w:r>
      <w:r w:rsidRPr="004D451D">
        <w:rPr>
          <w:rFonts w:eastAsia="標楷體" w:hint="eastAsia"/>
        </w:rPr>
        <w:t>B</w:t>
      </w:r>
      <w:r w:rsidRPr="004D451D">
        <w:rPr>
          <w:rFonts w:eastAsia="標楷體"/>
        </w:rPr>
        <w:t>+7</w:t>
      </w:r>
      <w:r w:rsidRPr="004D451D">
        <w:rPr>
          <w:rFonts w:eastAsia="標楷體" w:hint="eastAsia"/>
        </w:rPr>
        <w:t>B</w:t>
      </w:r>
      <w:r w:rsidR="00207117" w:rsidRPr="004D451D">
        <w:rPr>
          <w:rFonts w:eastAsia="標楷體" w:hint="eastAsia"/>
        </w:rPr>
        <w:t>)</w:t>
      </w:r>
    </w:p>
    <w:p w:rsidR="00EB11E8" w:rsidRPr="004D451D" w:rsidRDefault="00EB11E8" w:rsidP="00EF4134">
      <w:pPr>
        <w:numPr>
          <w:ilvl w:val="0"/>
          <w:numId w:val="82"/>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7</w:t>
      </w:r>
      <w:r w:rsidRPr="004D451D">
        <w:rPr>
          <w:rFonts w:eastAsia="標楷體" w:hint="eastAsia"/>
        </w:rPr>
        <w:t>A</w:t>
      </w:r>
      <w:r w:rsidRPr="004D451D">
        <w:rPr>
          <w:rFonts w:eastAsia="標楷體"/>
        </w:rPr>
        <w:t>=</w:t>
      </w:r>
      <w:r w:rsidRPr="004D451D">
        <w:rPr>
          <w:rFonts w:eastAsia="標楷體"/>
        </w:rPr>
        <w:t>【附表二十</w:t>
      </w:r>
      <w:r w:rsidR="00207117" w:rsidRPr="004D451D">
        <w:rPr>
          <w:rFonts w:eastAsia="標楷體" w:hint="eastAsia"/>
        </w:rPr>
        <w:t>六</w:t>
      </w:r>
      <w:r w:rsidRPr="004D451D">
        <w:rPr>
          <w:rFonts w:eastAsia="標楷體"/>
        </w:rPr>
        <w:t>】</w:t>
      </w:r>
      <w:r w:rsidR="00C44C1C" w:rsidRPr="004D451D">
        <w:rPr>
          <w:rFonts w:eastAsia="標楷體" w:hint="eastAsia"/>
        </w:rPr>
        <w:t>15E</w:t>
      </w:r>
      <w:r w:rsidRPr="004D451D">
        <w:rPr>
          <w:rFonts w:eastAsia="標楷體"/>
        </w:rPr>
        <w:t>+</w:t>
      </w:r>
      <w:r w:rsidR="00C44C1C" w:rsidRPr="004D451D">
        <w:rPr>
          <w:rFonts w:eastAsia="標楷體" w:hint="eastAsia"/>
        </w:rPr>
        <w:t>【</w:t>
      </w:r>
      <w:r w:rsidRPr="004D451D">
        <w:rPr>
          <w:rFonts w:eastAsia="標楷體"/>
        </w:rPr>
        <w:t>內部模型法</w:t>
      </w:r>
      <w:r w:rsidRPr="004D451D">
        <w:rPr>
          <w:rFonts w:eastAsia="標楷體"/>
        </w:rPr>
        <w:t>(IMM)</w:t>
      </w:r>
      <w:r w:rsidRPr="004D451D">
        <w:rPr>
          <w:rFonts w:eastAsia="標楷體"/>
        </w:rPr>
        <w:t>下銀行簿權益證券部位之風險性資產</w:t>
      </w:r>
      <w:r w:rsidR="00C44C1C" w:rsidRPr="004D451D">
        <w:rPr>
          <w:rFonts w:eastAsia="標楷體" w:hint="eastAsia"/>
        </w:rPr>
        <w:t>】</w:t>
      </w:r>
    </w:p>
    <w:p w:rsidR="00EB11E8" w:rsidRPr="004D451D" w:rsidRDefault="00EB11E8" w:rsidP="00EF4134">
      <w:pPr>
        <w:numPr>
          <w:ilvl w:val="0"/>
          <w:numId w:val="82"/>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12</w:t>
      </w:r>
      <w:r w:rsidRPr="004D451D">
        <w:rPr>
          <w:rFonts w:eastAsia="標楷體" w:hint="eastAsia"/>
        </w:rPr>
        <w:t>C</w:t>
      </w:r>
      <w:r w:rsidRPr="004D451D">
        <w:rPr>
          <w:rFonts w:eastAsia="標楷體"/>
        </w:rPr>
        <w:t>=</w:t>
      </w:r>
      <w:r w:rsidRPr="004D451D">
        <w:rPr>
          <w:rFonts w:eastAsia="標楷體"/>
        </w:rPr>
        <w:t>【附表四十</w:t>
      </w:r>
      <w:r w:rsidR="00207117" w:rsidRPr="004D451D">
        <w:rPr>
          <w:rFonts w:eastAsia="標楷體" w:hint="eastAsia"/>
        </w:rPr>
        <w:t>七</w:t>
      </w:r>
      <w:r w:rsidRPr="004D451D">
        <w:rPr>
          <w:rFonts w:eastAsia="標楷體"/>
        </w:rPr>
        <w:t>】</w:t>
      </w:r>
      <w:r w:rsidR="00D6599D" w:rsidRPr="004D451D">
        <w:rPr>
          <w:rFonts w:eastAsia="標楷體" w:hint="eastAsia"/>
        </w:rPr>
        <w:t>(3</w:t>
      </w:r>
      <w:r w:rsidRPr="004D451D">
        <w:rPr>
          <w:rFonts w:eastAsia="標楷體" w:hint="eastAsia"/>
        </w:rPr>
        <w:t>N</w:t>
      </w:r>
      <w:r w:rsidRPr="004D451D">
        <w:rPr>
          <w:rFonts w:eastAsia="標楷體"/>
        </w:rPr>
        <w:t>+</w:t>
      </w:r>
      <w:r w:rsidR="00D6599D" w:rsidRPr="004D451D">
        <w:rPr>
          <w:rFonts w:eastAsia="標楷體" w:hint="eastAsia"/>
        </w:rPr>
        <w:t>3</w:t>
      </w:r>
      <w:r w:rsidRPr="004D451D">
        <w:rPr>
          <w:rFonts w:eastAsia="標楷體" w:hint="eastAsia"/>
        </w:rPr>
        <w:t>O</w:t>
      </w:r>
      <w:r w:rsidRPr="004D451D">
        <w:rPr>
          <w:rFonts w:eastAsia="標楷體"/>
        </w:rPr>
        <w:t>+</w:t>
      </w:r>
      <w:r w:rsidR="00D6599D" w:rsidRPr="004D451D">
        <w:rPr>
          <w:rFonts w:eastAsia="標楷體" w:hint="eastAsia"/>
        </w:rPr>
        <w:t>3</w:t>
      </w:r>
      <w:r w:rsidRPr="004D451D">
        <w:rPr>
          <w:rFonts w:eastAsia="標楷體" w:hint="eastAsia"/>
        </w:rPr>
        <w:t>P</w:t>
      </w:r>
      <w:r w:rsidRPr="004D451D">
        <w:rPr>
          <w:rFonts w:eastAsia="標楷體"/>
        </w:rPr>
        <w:t>+</w:t>
      </w:r>
      <w:r w:rsidR="00D6599D" w:rsidRPr="004D451D">
        <w:rPr>
          <w:rFonts w:eastAsia="標楷體" w:hint="eastAsia"/>
        </w:rPr>
        <w:t>3</w:t>
      </w:r>
      <w:r w:rsidRPr="004D451D">
        <w:rPr>
          <w:rFonts w:eastAsia="標楷體" w:hint="eastAsia"/>
        </w:rPr>
        <w:t>Q</w:t>
      </w:r>
      <w:r w:rsidRPr="004D451D">
        <w:rPr>
          <w:rFonts w:eastAsia="標楷體"/>
        </w:rPr>
        <w:t>)+</w:t>
      </w:r>
      <w:r w:rsidRPr="004D451D">
        <w:rPr>
          <w:rFonts w:eastAsia="標楷體"/>
        </w:rPr>
        <w:t>【附表四十</w:t>
      </w:r>
      <w:r w:rsidR="00207117" w:rsidRPr="004D451D">
        <w:rPr>
          <w:rFonts w:eastAsia="標楷體" w:hint="eastAsia"/>
        </w:rPr>
        <w:t>八</w:t>
      </w:r>
      <w:r w:rsidRPr="004D451D">
        <w:rPr>
          <w:rFonts w:eastAsia="標楷體"/>
        </w:rPr>
        <w:t>】</w:t>
      </w:r>
      <w:r w:rsidRPr="004D451D">
        <w:rPr>
          <w:rFonts w:eastAsia="標楷體"/>
        </w:rPr>
        <w:t>(</w:t>
      </w:r>
      <w:r w:rsidR="00D6599D" w:rsidRPr="004D451D">
        <w:rPr>
          <w:rFonts w:eastAsia="標楷體" w:hint="eastAsia"/>
        </w:rPr>
        <w:t>3</w:t>
      </w:r>
      <w:r w:rsidRPr="004D451D">
        <w:rPr>
          <w:rFonts w:eastAsia="標楷體" w:hint="eastAsia"/>
        </w:rPr>
        <w:t>N</w:t>
      </w:r>
      <w:r w:rsidRPr="004D451D">
        <w:rPr>
          <w:rFonts w:eastAsia="標楷體"/>
        </w:rPr>
        <w:t>+</w:t>
      </w:r>
      <w:r w:rsidR="00D6599D" w:rsidRPr="004D451D">
        <w:rPr>
          <w:rFonts w:eastAsia="標楷體" w:hint="eastAsia"/>
        </w:rPr>
        <w:t>3</w:t>
      </w:r>
      <w:r w:rsidRPr="004D451D">
        <w:rPr>
          <w:rFonts w:eastAsia="標楷體" w:hint="eastAsia"/>
        </w:rPr>
        <w:t>O</w:t>
      </w:r>
      <w:r w:rsidRPr="004D451D">
        <w:rPr>
          <w:rFonts w:eastAsia="標楷體"/>
        </w:rPr>
        <w:t>+</w:t>
      </w:r>
      <w:r w:rsidR="00D6599D" w:rsidRPr="004D451D">
        <w:rPr>
          <w:rFonts w:eastAsia="標楷體" w:hint="eastAsia"/>
        </w:rPr>
        <w:t>3</w:t>
      </w:r>
      <w:r w:rsidRPr="004D451D">
        <w:rPr>
          <w:rFonts w:eastAsia="標楷體" w:hint="eastAsia"/>
        </w:rPr>
        <w:t>P</w:t>
      </w:r>
      <w:r w:rsidRPr="004D451D">
        <w:rPr>
          <w:rFonts w:eastAsia="標楷體"/>
        </w:rPr>
        <w:t>+</w:t>
      </w:r>
      <w:r w:rsidR="00D6599D" w:rsidRPr="004D451D">
        <w:rPr>
          <w:rFonts w:eastAsia="標楷體" w:hint="eastAsia"/>
        </w:rPr>
        <w:t>3</w:t>
      </w:r>
      <w:r w:rsidRPr="004D451D">
        <w:rPr>
          <w:rFonts w:eastAsia="標楷體" w:hint="eastAsia"/>
        </w:rPr>
        <w:t>Q</w:t>
      </w:r>
      <w:r w:rsidRPr="004D451D">
        <w:rPr>
          <w:rFonts w:eastAsia="標楷體"/>
        </w:rPr>
        <w:t>)</w:t>
      </w:r>
    </w:p>
    <w:p w:rsidR="00EB11E8" w:rsidRPr="004D451D" w:rsidRDefault="00EB11E8" w:rsidP="00EF4134">
      <w:pPr>
        <w:numPr>
          <w:ilvl w:val="0"/>
          <w:numId w:val="82"/>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17</w:t>
      </w:r>
      <w:r w:rsidRPr="004D451D">
        <w:rPr>
          <w:rFonts w:eastAsia="標楷體" w:hint="eastAsia"/>
        </w:rPr>
        <w:t>A</w:t>
      </w:r>
      <w:r w:rsidRPr="004D451D">
        <w:rPr>
          <w:rFonts w:eastAsia="標楷體"/>
        </w:rPr>
        <w:t>=</w:t>
      </w:r>
      <w:r w:rsidRPr="004D451D">
        <w:rPr>
          <w:rFonts w:eastAsia="標楷體"/>
        </w:rPr>
        <w:t>【附表</w:t>
      </w:r>
      <w:r w:rsidR="00207117" w:rsidRPr="004D451D">
        <w:rPr>
          <w:rFonts w:eastAsia="標楷體" w:hint="eastAsia"/>
        </w:rPr>
        <w:t>四十</w:t>
      </w:r>
      <w:r w:rsidRPr="004D451D">
        <w:rPr>
          <w:rFonts w:eastAsia="標楷體"/>
        </w:rPr>
        <w:t>】</w:t>
      </w:r>
      <w:r w:rsidRPr="004D451D">
        <w:rPr>
          <w:rFonts w:eastAsia="標楷體"/>
        </w:rPr>
        <w:t>9</w:t>
      </w:r>
      <w:r w:rsidRPr="004D451D">
        <w:rPr>
          <w:rFonts w:eastAsia="標楷體" w:hint="eastAsia"/>
        </w:rPr>
        <w:t>A</w:t>
      </w:r>
    </w:p>
    <w:p w:rsidR="00EB11E8" w:rsidRPr="004D451D" w:rsidRDefault="00EB11E8" w:rsidP="00EF4134">
      <w:pPr>
        <w:numPr>
          <w:ilvl w:val="0"/>
          <w:numId w:val="82"/>
        </w:numPr>
        <w:ind w:leftChars="150" w:left="720" w:hangingChars="150"/>
        <w:rPr>
          <w:rFonts w:eastAsia="標楷體"/>
        </w:rPr>
      </w:pPr>
      <w:r w:rsidRPr="004D451D">
        <w:rPr>
          <w:rFonts w:eastAsia="標楷體"/>
        </w:rPr>
        <w:t>【附表</w:t>
      </w:r>
      <w:r w:rsidR="00207117" w:rsidRPr="004D451D">
        <w:rPr>
          <w:rFonts w:eastAsia="標楷體" w:hint="eastAsia"/>
        </w:rPr>
        <w:t>九</w:t>
      </w:r>
      <w:r w:rsidRPr="004D451D">
        <w:rPr>
          <w:rFonts w:eastAsia="標楷體"/>
        </w:rPr>
        <w:t>】</w:t>
      </w:r>
      <w:r w:rsidRPr="004D451D">
        <w:rPr>
          <w:rFonts w:eastAsia="標楷體"/>
        </w:rPr>
        <w:t>18</w:t>
      </w:r>
      <w:r w:rsidRPr="004D451D">
        <w:rPr>
          <w:rFonts w:eastAsia="標楷體" w:hint="eastAsia"/>
        </w:rPr>
        <w:t>A</w:t>
      </w:r>
      <w:r w:rsidRPr="004D451D">
        <w:rPr>
          <w:rFonts w:eastAsia="標楷體"/>
        </w:rPr>
        <w:t>=</w:t>
      </w:r>
      <w:r w:rsidRPr="004D451D">
        <w:rPr>
          <w:rFonts w:eastAsia="標楷體"/>
        </w:rPr>
        <w:t>【附表四十</w:t>
      </w:r>
      <w:r w:rsidR="00207117" w:rsidRPr="004D451D">
        <w:rPr>
          <w:rFonts w:eastAsia="標楷體" w:hint="eastAsia"/>
        </w:rPr>
        <w:t>一</w:t>
      </w:r>
      <w:r w:rsidRPr="004D451D">
        <w:rPr>
          <w:rFonts w:eastAsia="標楷體"/>
        </w:rPr>
        <w:t>】</w:t>
      </w:r>
      <w:r w:rsidRPr="004D451D">
        <w:rPr>
          <w:rFonts w:eastAsia="標楷體"/>
        </w:rPr>
        <w:t>8</w:t>
      </w:r>
      <w:r w:rsidRPr="004D451D">
        <w:rPr>
          <w:rFonts w:eastAsia="標楷體" w:hint="eastAsia"/>
        </w:rPr>
        <w:t>F</w:t>
      </w:r>
    </w:p>
    <w:p w:rsidR="00EB11E8" w:rsidRPr="004D451D" w:rsidRDefault="00EB11E8" w:rsidP="00EB11E8">
      <w:pPr>
        <w:spacing w:line="360" w:lineRule="auto"/>
        <w:rPr>
          <w:rFonts w:eastAsia="標楷體"/>
        </w:rPr>
      </w:pPr>
    </w:p>
    <w:p w:rsidR="00134ACB" w:rsidRPr="004D451D" w:rsidRDefault="00134ACB" w:rsidP="00134ACB">
      <w:pPr>
        <w:rPr>
          <w:rFonts w:eastAsia="標楷體"/>
          <w:sz w:val="28"/>
          <w:szCs w:val="28"/>
        </w:rPr>
      </w:pPr>
      <w:r w:rsidRPr="004D451D">
        <w:rPr>
          <w:rFonts w:ascii="Arial" w:eastAsia="標楷體" w:hAnsi="Arial" w:cs="Arial"/>
        </w:rPr>
        <w:br w:type="page"/>
      </w:r>
      <w:r w:rsidRPr="004D451D">
        <w:rPr>
          <w:rFonts w:eastAsia="標楷體"/>
          <w:b/>
          <w:sz w:val="32"/>
          <w:szCs w:val="32"/>
        </w:rPr>
        <w:t>【附表</w:t>
      </w:r>
      <w:r w:rsidR="00430298" w:rsidRPr="004D451D">
        <w:rPr>
          <w:rFonts w:eastAsia="標楷體" w:hint="eastAsia"/>
          <w:b/>
          <w:sz w:val="32"/>
          <w:szCs w:val="32"/>
        </w:rPr>
        <w:t>九</w:t>
      </w:r>
      <w:r w:rsidRPr="004D451D">
        <w:rPr>
          <w:rFonts w:eastAsia="標楷體"/>
          <w:b/>
          <w:sz w:val="32"/>
          <w:szCs w:val="32"/>
        </w:rPr>
        <w:t>之ㄧ】</w:t>
      </w:r>
    </w:p>
    <w:p w:rsidR="00134ACB" w:rsidRPr="004D451D" w:rsidRDefault="00134ACB" w:rsidP="00134ACB">
      <w:pPr>
        <w:pStyle w:val="ad"/>
        <w:spacing w:beforeLines="100" w:before="360" w:afterLines="100" w:after="360" w:line="240" w:lineRule="auto"/>
        <w:ind w:left="0" w:firstLine="0"/>
        <w:jc w:val="center"/>
        <w:rPr>
          <w:rFonts w:ascii="Times New Roman" w:hAnsi="Times New Roman"/>
          <w:b/>
        </w:rPr>
      </w:pPr>
      <w:r w:rsidRPr="004D451D">
        <w:rPr>
          <w:rFonts w:ascii="Times New Roman" w:hAnsi="Times New Roman"/>
          <w:b/>
        </w:rPr>
        <w:t>風險性資產概況</w:t>
      </w:r>
      <w:r w:rsidR="004D6F49" w:rsidRPr="004D451D">
        <w:rPr>
          <w:rFonts w:ascii="Times New Roman" w:hAnsi="Times New Roman" w:hint="eastAsia"/>
          <w:b/>
        </w:rPr>
        <w:t>（</w:t>
      </w:r>
      <w:r w:rsidRPr="004D451D">
        <w:rPr>
          <w:rFonts w:ascii="Times New Roman" w:hAnsi="Times New Roman"/>
          <w:b/>
        </w:rPr>
        <w:t>合併</w:t>
      </w:r>
      <w:r w:rsidR="004D6F49" w:rsidRPr="004D451D">
        <w:rPr>
          <w:rFonts w:ascii="Times New Roman" w:hAnsi="Times New Roman" w:hint="eastAsia"/>
          <w:b/>
        </w:rPr>
        <w:t>）</w:t>
      </w:r>
    </w:p>
    <w:p w:rsidR="00EB11E8" w:rsidRPr="004D451D" w:rsidRDefault="009E4A0F" w:rsidP="00EB11E8">
      <w:pPr>
        <w:pStyle w:val="ad"/>
        <w:spacing w:before="120" w:after="120" w:line="240" w:lineRule="auto"/>
        <w:ind w:left="0" w:firstLine="0"/>
        <w:jc w:val="right"/>
        <w:rPr>
          <w:rFonts w:ascii="Times New Roman" w:hAnsi="Times New Roman"/>
          <w:szCs w:val="32"/>
        </w:rPr>
      </w:pPr>
      <w:r w:rsidRPr="004D451D">
        <w:rPr>
          <w:rFonts w:ascii="Times New Roman" w:hAnsi="Times New Roman" w:hint="eastAsia"/>
          <w:szCs w:val="32"/>
        </w:rPr>
        <w:t>10</w:t>
      </w:r>
      <w:r w:rsidR="00CB1034" w:rsidRPr="004D451D">
        <w:rPr>
          <w:rFonts w:ascii="Times New Roman" w:hAnsi="Times New Roman" w:hint="eastAsia"/>
          <w:szCs w:val="32"/>
        </w:rPr>
        <w:t>7</w:t>
      </w:r>
      <w:r w:rsidR="00EB11E8" w:rsidRPr="004D451D">
        <w:rPr>
          <w:rFonts w:ascii="Times New Roman" w:hAnsi="Times New Roman"/>
          <w:szCs w:val="32"/>
        </w:rPr>
        <w:t>年</w:t>
      </w:r>
      <w:r w:rsidR="00CB1034" w:rsidRPr="004D451D">
        <w:rPr>
          <w:rFonts w:ascii="Times New Roman" w:hAnsi="Times New Roman" w:hint="eastAsia"/>
          <w:szCs w:val="32"/>
        </w:rPr>
        <w:t>06</w:t>
      </w:r>
      <w:r w:rsidR="00EB11E8" w:rsidRPr="004D451D">
        <w:rPr>
          <w:rFonts w:ascii="Times New Roman" w:hAnsi="Times New Roman"/>
          <w:szCs w:val="32"/>
        </w:rPr>
        <w:t>月</w:t>
      </w:r>
      <w:r w:rsidRPr="004D451D">
        <w:rPr>
          <w:rFonts w:ascii="Times New Roman" w:hAnsi="Times New Roman" w:hint="eastAsia"/>
          <w:szCs w:val="32"/>
        </w:rPr>
        <w:t>3</w:t>
      </w:r>
      <w:r w:rsidR="00CB1034" w:rsidRPr="004D451D">
        <w:rPr>
          <w:rFonts w:ascii="Times New Roman" w:hAnsi="Times New Roman" w:hint="eastAsia"/>
          <w:szCs w:val="32"/>
        </w:rPr>
        <w:t>0</w:t>
      </w:r>
      <w:r w:rsidR="00EB11E8" w:rsidRPr="004D451D">
        <w:rPr>
          <w:rFonts w:ascii="Times New Roman" w:hAnsi="Times New Roman"/>
          <w:szCs w:val="32"/>
        </w:rPr>
        <w:t>日</w:t>
      </w:r>
      <w:r w:rsidR="00EB11E8" w:rsidRPr="004D451D">
        <w:rPr>
          <w:rFonts w:ascii="Times New Roman" w:hAnsi="Times New Roman" w:hint="eastAsia"/>
          <w:szCs w:val="32"/>
        </w:rPr>
        <w:t xml:space="preserve">　　　　　</w:t>
      </w:r>
      <w:r w:rsidR="00531C88" w:rsidRPr="004D451D">
        <w:rPr>
          <w:rFonts w:ascii="Times New Roman" w:hAnsi="Times New Roman" w:hint="eastAsia"/>
          <w:sz w:val="24"/>
          <w:szCs w:val="32"/>
        </w:rPr>
        <w:t>（</w:t>
      </w:r>
      <w:r w:rsidR="00EB11E8" w:rsidRPr="004D451D">
        <w:rPr>
          <w:rFonts w:ascii="Times New Roman" w:hAnsi="Times New Roman"/>
          <w:sz w:val="24"/>
        </w:rPr>
        <w:t>單位：新臺幣千元</w:t>
      </w:r>
      <w:r w:rsidR="00531C88" w:rsidRPr="004D451D">
        <w:rPr>
          <w:rFonts w:ascii="Times New Roman" w:hAnsi="Times New Roman" w:hint="eastAsia"/>
          <w:sz w:val="24"/>
        </w:rPr>
        <w:t>）</w:t>
      </w:r>
    </w:p>
    <w:tbl>
      <w:tblPr>
        <w:tblW w:w="10994" w:type="dxa"/>
        <w:tblInd w:w="-721" w:type="dxa"/>
        <w:tblLayout w:type="fixed"/>
        <w:tblCellMar>
          <w:left w:w="28" w:type="dxa"/>
          <w:right w:w="28" w:type="dxa"/>
        </w:tblCellMar>
        <w:tblLook w:val="0000" w:firstRow="0" w:lastRow="0" w:firstColumn="0" w:lastColumn="0" w:noHBand="0" w:noVBand="0"/>
      </w:tblPr>
      <w:tblGrid>
        <w:gridCol w:w="624"/>
        <w:gridCol w:w="4859"/>
        <w:gridCol w:w="1929"/>
        <w:gridCol w:w="1842"/>
        <w:gridCol w:w="1740"/>
      </w:tblGrid>
      <w:tr w:rsidR="004D451D" w:rsidRPr="004D451D" w:rsidTr="009E4A0F">
        <w:trPr>
          <w:trHeight w:val="278"/>
          <w:tblHeader/>
        </w:trPr>
        <w:tc>
          <w:tcPr>
            <w:tcW w:w="5483" w:type="dxa"/>
            <w:gridSpan w:val="2"/>
            <w:vMerge w:val="restart"/>
            <w:tcBorders>
              <w:top w:val="single" w:sz="4" w:space="0" w:color="auto"/>
              <w:left w:val="single" w:sz="4" w:space="0" w:color="auto"/>
              <w:right w:val="single" w:sz="4" w:space="0" w:color="auto"/>
            </w:tcBorders>
            <w:vAlign w:val="center"/>
          </w:tcPr>
          <w:p w:rsidR="009D3066" w:rsidRPr="004D451D" w:rsidRDefault="009D3066" w:rsidP="005A78C6">
            <w:pPr>
              <w:widowControl/>
              <w:jc w:val="center"/>
              <w:rPr>
                <w:rFonts w:eastAsia="標楷體"/>
                <w:kern w:val="0"/>
              </w:rPr>
            </w:pPr>
            <w:r w:rsidRPr="004D451D">
              <w:rPr>
                <w:rFonts w:eastAsia="標楷體"/>
                <w:kern w:val="0"/>
              </w:rPr>
              <w:t>項目</w:t>
            </w:r>
          </w:p>
        </w:tc>
        <w:tc>
          <w:tcPr>
            <w:tcW w:w="3771" w:type="dxa"/>
            <w:gridSpan w:val="2"/>
            <w:tcBorders>
              <w:top w:val="single" w:sz="4" w:space="0" w:color="auto"/>
              <w:left w:val="single" w:sz="4" w:space="0" w:color="auto"/>
              <w:bottom w:val="single" w:sz="4" w:space="0" w:color="auto"/>
              <w:right w:val="single" w:sz="4" w:space="0" w:color="auto"/>
            </w:tcBorders>
            <w:vAlign w:val="center"/>
          </w:tcPr>
          <w:p w:rsidR="009D3066" w:rsidRPr="004D451D" w:rsidRDefault="009D3066" w:rsidP="005A78C6">
            <w:pPr>
              <w:widowControl/>
              <w:jc w:val="center"/>
              <w:rPr>
                <w:rFonts w:eastAsia="標楷體"/>
                <w:kern w:val="0"/>
              </w:rPr>
            </w:pPr>
            <w:r w:rsidRPr="004D451D">
              <w:rPr>
                <w:rFonts w:eastAsia="標楷體"/>
                <w:kern w:val="0"/>
              </w:rPr>
              <w:t>風險性資產</w:t>
            </w:r>
          </w:p>
        </w:tc>
        <w:tc>
          <w:tcPr>
            <w:tcW w:w="1740" w:type="dxa"/>
            <w:tcBorders>
              <w:top w:val="single" w:sz="4" w:space="0" w:color="auto"/>
              <w:left w:val="nil"/>
              <w:bottom w:val="single" w:sz="4" w:space="0" w:color="auto"/>
              <w:right w:val="single" w:sz="4" w:space="0" w:color="auto"/>
            </w:tcBorders>
            <w:vAlign w:val="center"/>
          </w:tcPr>
          <w:p w:rsidR="009D3066" w:rsidRPr="004D451D" w:rsidRDefault="009D3066" w:rsidP="005A78C6">
            <w:pPr>
              <w:widowControl/>
              <w:jc w:val="center"/>
              <w:rPr>
                <w:rFonts w:eastAsia="標楷體"/>
                <w:kern w:val="0"/>
              </w:rPr>
            </w:pPr>
            <w:r w:rsidRPr="004D451D">
              <w:rPr>
                <w:rFonts w:eastAsia="標楷體"/>
                <w:kern w:val="0"/>
              </w:rPr>
              <w:t>最低資本要求</w:t>
            </w:r>
          </w:p>
        </w:tc>
      </w:tr>
      <w:tr w:rsidR="004D451D" w:rsidRPr="004D451D" w:rsidTr="009E4A0F">
        <w:trPr>
          <w:trHeight w:val="233"/>
          <w:tblHeader/>
        </w:trPr>
        <w:tc>
          <w:tcPr>
            <w:tcW w:w="5483" w:type="dxa"/>
            <w:gridSpan w:val="2"/>
            <w:vMerge/>
            <w:tcBorders>
              <w:left w:val="single" w:sz="4" w:space="0" w:color="auto"/>
              <w:bottom w:val="single" w:sz="4" w:space="0" w:color="auto"/>
              <w:right w:val="single" w:sz="4" w:space="0" w:color="auto"/>
            </w:tcBorders>
            <w:vAlign w:val="center"/>
          </w:tcPr>
          <w:p w:rsidR="00E03A69" w:rsidRPr="004D451D" w:rsidRDefault="00E03A69" w:rsidP="005A78C6">
            <w:pPr>
              <w:widowControl/>
              <w:jc w:val="both"/>
              <w:rPr>
                <w:rFonts w:eastAsia="標楷體"/>
                <w:kern w:val="0"/>
              </w:rPr>
            </w:pPr>
          </w:p>
        </w:tc>
        <w:tc>
          <w:tcPr>
            <w:tcW w:w="1929" w:type="dxa"/>
            <w:tcBorders>
              <w:top w:val="nil"/>
              <w:left w:val="nil"/>
              <w:bottom w:val="single" w:sz="4" w:space="0" w:color="auto"/>
              <w:right w:val="single" w:sz="4" w:space="0" w:color="auto"/>
            </w:tcBorders>
            <w:vAlign w:val="center"/>
          </w:tcPr>
          <w:p w:rsidR="00E03A69" w:rsidRPr="004D451D" w:rsidRDefault="00E03A69" w:rsidP="001F240C">
            <w:pPr>
              <w:widowControl/>
              <w:jc w:val="center"/>
              <w:rPr>
                <w:rFonts w:eastAsia="標楷體"/>
                <w:kern w:val="0"/>
              </w:rPr>
            </w:pPr>
            <w:r w:rsidRPr="004D451D">
              <w:rPr>
                <w:rFonts w:eastAsia="標楷體"/>
                <w:kern w:val="0"/>
              </w:rPr>
              <w:t>本期</w:t>
            </w:r>
            <w:r w:rsidRPr="004D451D">
              <w:rPr>
                <w:rFonts w:eastAsia="標楷體" w:hint="eastAsia"/>
                <w:kern w:val="0"/>
              </w:rPr>
              <w:t>A</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widowControl/>
              <w:jc w:val="center"/>
              <w:rPr>
                <w:rFonts w:eastAsia="標楷體"/>
                <w:kern w:val="0"/>
              </w:rPr>
            </w:pPr>
            <w:r w:rsidRPr="004D451D">
              <w:rPr>
                <w:rFonts w:eastAsia="標楷體"/>
                <w:kern w:val="0"/>
              </w:rPr>
              <w:t>前期</w:t>
            </w:r>
            <w:r w:rsidRPr="004D451D">
              <w:rPr>
                <w:rFonts w:eastAsia="標楷體" w:hint="eastAsia"/>
                <w:kern w:val="0"/>
              </w:rPr>
              <w:t>B</w:t>
            </w:r>
          </w:p>
        </w:tc>
        <w:tc>
          <w:tcPr>
            <w:tcW w:w="1740" w:type="dxa"/>
            <w:tcBorders>
              <w:top w:val="single" w:sz="4" w:space="0" w:color="auto"/>
              <w:left w:val="nil"/>
              <w:bottom w:val="single" w:sz="4" w:space="0" w:color="auto"/>
              <w:right w:val="single" w:sz="4" w:space="0" w:color="auto"/>
            </w:tcBorders>
            <w:vAlign w:val="center"/>
          </w:tcPr>
          <w:p w:rsidR="00E03A69" w:rsidRPr="004D451D" w:rsidRDefault="00E03A69" w:rsidP="001F240C">
            <w:pPr>
              <w:widowControl/>
              <w:jc w:val="center"/>
              <w:rPr>
                <w:rFonts w:eastAsia="標楷體"/>
                <w:kern w:val="0"/>
              </w:rPr>
            </w:pPr>
            <w:r w:rsidRPr="004D451D">
              <w:rPr>
                <w:rFonts w:eastAsia="標楷體"/>
                <w:kern w:val="0"/>
              </w:rPr>
              <w:t>本期</w:t>
            </w:r>
            <w:r w:rsidRPr="004D451D">
              <w:rPr>
                <w:rFonts w:eastAsia="標楷體" w:hint="eastAsia"/>
                <w:kern w:val="0"/>
              </w:rPr>
              <w:t>C</w:t>
            </w:r>
          </w:p>
        </w:tc>
      </w:tr>
      <w:tr w:rsidR="004D451D" w:rsidRPr="004D451D" w:rsidTr="006D5AEA">
        <w:trPr>
          <w:trHeight w:val="424"/>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1</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信用風險</w:t>
            </w:r>
            <w:r w:rsidRPr="004D451D">
              <w:rPr>
                <w:rFonts w:eastAsia="標楷體"/>
                <w:kern w:val="0"/>
              </w:rPr>
              <w:t>(</w:t>
            </w:r>
            <w:r w:rsidRPr="004D451D">
              <w:rPr>
                <w:rFonts w:eastAsia="標楷體"/>
                <w:kern w:val="0"/>
              </w:rPr>
              <w:t>不含交易對手信用風險</w:t>
            </w:r>
            <w:r w:rsidRPr="004D451D">
              <w:rPr>
                <w:rFonts w:eastAsia="標楷體"/>
                <w:kern w:val="0"/>
              </w:rPr>
              <w:t>)(CCR)</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191,851,677</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183,948,408</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15,348,134</w:t>
            </w:r>
          </w:p>
        </w:tc>
      </w:tr>
      <w:tr w:rsidR="004D451D" w:rsidRPr="004D451D" w:rsidTr="006D5AEA">
        <w:trPr>
          <w:trHeight w:val="373"/>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標準法</w:t>
            </w:r>
            <w:r w:rsidRPr="004D451D">
              <w:rPr>
                <w:rFonts w:eastAsia="標楷體"/>
                <w:kern w:val="0"/>
              </w:rPr>
              <w:t>(SA)</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191,851,677</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183,948,408</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15,348,134</w:t>
            </w:r>
          </w:p>
        </w:tc>
      </w:tr>
      <w:tr w:rsidR="004D451D" w:rsidRPr="004D451D" w:rsidTr="006D5AEA">
        <w:trPr>
          <w:trHeight w:val="388"/>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3</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內部評等法</w:t>
            </w:r>
            <w:r w:rsidRPr="004D451D">
              <w:rPr>
                <w:rFonts w:eastAsia="標楷體"/>
                <w:kern w:val="0"/>
              </w:rPr>
              <w:t>(IRB)</w:t>
            </w:r>
          </w:p>
        </w:tc>
        <w:tc>
          <w:tcPr>
            <w:tcW w:w="1929"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r>
      <w:tr w:rsidR="004D451D" w:rsidRPr="004D451D" w:rsidTr="006D5AEA">
        <w:trPr>
          <w:trHeight w:val="374"/>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4</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交易對手信用風險</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4,357,399</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4,728,307</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348,592</w:t>
            </w:r>
          </w:p>
        </w:tc>
      </w:tr>
      <w:tr w:rsidR="004D451D" w:rsidRPr="004D451D" w:rsidTr="006D5AEA">
        <w:trPr>
          <w:trHeight w:val="371"/>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5</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標準法</w:t>
            </w:r>
            <w:r w:rsidRPr="004D451D">
              <w:rPr>
                <w:rFonts w:eastAsia="標楷體"/>
                <w:kern w:val="0"/>
              </w:rPr>
              <w:t>(SA-CCR)</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4,357,399</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4,728,307</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348,592</w:t>
            </w:r>
          </w:p>
        </w:tc>
      </w:tr>
      <w:tr w:rsidR="004D451D" w:rsidRPr="004D451D" w:rsidTr="006D5AEA">
        <w:trPr>
          <w:trHeight w:val="385"/>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6</w:t>
            </w:r>
          </w:p>
        </w:tc>
        <w:tc>
          <w:tcPr>
            <w:tcW w:w="4859" w:type="dxa"/>
            <w:tcBorders>
              <w:top w:val="nil"/>
              <w:left w:val="nil"/>
              <w:bottom w:val="single" w:sz="4" w:space="0" w:color="auto"/>
              <w:right w:val="single" w:sz="4" w:space="0" w:color="auto"/>
            </w:tcBorders>
            <w:vAlign w:val="center"/>
          </w:tcPr>
          <w:p w:rsidR="000B266C" w:rsidRPr="004D451D" w:rsidRDefault="000B266C" w:rsidP="005A78C6">
            <w:pPr>
              <w:widowControl/>
              <w:ind w:leftChars="100" w:left="240"/>
              <w:rPr>
                <w:rFonts w:eastAsia="標楷體"/>
                <w:kern w:val="0"/>
              </w:rPr>
            </w:pPr>
            <w:r w:rsidRPr="004D451D">
              <w:rPr>
                <w:rFonts w:eastAsia="標楷體"/>
                <w:kern w:val="0"/>
              </w:rPr>
              <w:t>內部模型</w:t>
            </w:r>
            <w:r w:rsidRPr="004D451D">
              <w:rPr>
                <w:rFonts w:eastAsia="標楷體" w:hint="eastAsia"/>
                <w:kern w:val="0"/>
              </w:rPr>
              <w:t>法</w:t>
            </w:r>
            <w:r w:rsidRPr="004D451D">
              <w:rPr>
                <w:rFonts w:eastAsia="標楷體"/>
                <w:kern w:val="0"/>
              </w:rPr>
              <w:t>(IMM)</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7</w:t>
            </w:r>
          </w:p>
        </w:tc>
        <w:tc>
          <w:tcPr>
            <w:tcW w:w="4859" w:type="dxa"/>
            <w:tcBorders>
              <w:top w:val="nil"/>
              <w:left w:val="nil"/>
              <w:bottom w:val="single" w:sz="4" w:space="0" w:color="auto"/>
              <w:right w:val="single" w:sz="4" w:space="0" w:color="auto"/>
            </w:tcBorders>
            <w:vAlign w:val="center"/>
          </w:tcPr>
          <w:p w:rsidR="000B266C" w:rsidRPr="004D451D" w:rsidRDefault="000B266C" w:rsidP="005A78C6">
            <w:pPr>
              <w:widowControl/>
              <w:rPr>
                <w:rFonts w:eastAsia="標楷體"/>
                <w:kern w:val="0"/>
              </w:rPr>
            </w:pPr>
            <w:r w:rsidRPr="004D451D">
              <w:rPr>
                <w:rFonts w:eastAsia="標楷體"/>
                <w:kern w:val="0"/>
              </w:rPr>
              <w:t>市場基礎法下之銀行簿權益部位</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8</w:t>
            </w:r>
          </w:p>
        </w:tc>
        <w:tc>
          <w:tcPr>
            <w:tcW w:w="4859" w:type="dxa"/>
            <w:tcBorders>
              <w:top w:val="nil"/>
              <w:left w:val="nil"/>
              <w:bottom w:val="single" w:sz="4" w:space="0" w:color="auto"/>
              <w:right w:val="single" w:sz="4" w:space="0" w:color="auto"/>
            </w:tcBorders>
            <w:vAlign w:val="center"/>
          </w:tcPr>
          <w:p w:rsidR="000B266C" w:rsidRPr="004D451D" w:rsidRDefault="000B266C" w:rsidP="00A63DD9">
            <w:pPr>
              <w:widowControl/>
              <w:rPr>
                <w:rFonts w:eastAsia="標楷體"/>
                <w:kern w:val="0"/>
              </w:rPr>
            </w:pPr>
            <w:r w:rsidRPr="004D451D">
              <w:rPr>
                <w:rFonts w:eastAsia="標楷體"/>
                <w:kern w:val="0"/>
              </w:rPr>
              <w:t>拆解法</w:t>
            </w:r>
            <w:r w:rsidRPr="004D451D">
              <w:rPr>
                <w:rFonts w:eastAsia="標楷體"/>
                <w:kern w:val="0"/>
              </w:rPr>
              <w:t>(look-through approach)</w:t>
            </w:r>
            <w:r w:rsidRPr="004D451D">
              <w:rPr>
                <w:rFonts w:eastAsia="標楷體"/>
                <w:kern w:val="0"/>
              </w:rPr>
              <w:t>下之基金</w:t>
            </w:r>
            <w:r w:rsidRPr="004D451D">
              <w:rPr>
                <w:rFonts w:eastAsia="標楷體" w:hint="eastAsia"/>
                <w:kern w:val="0"/>
              </w:rPr>
              <w:t>股權</w:t>
            </w:r>
            <w:r w:rsidRPr="004D451D">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9</w:t>
            </w:r>
          </w:p>
        </w:tc>
        <w:tc>
          <w:tcPr>
            <w:tcW w:w="4859" w:type="dxa"/>
            <w:tcBorders>
              <w:top w:val="nil"/>
              <w:left w:val="nil"/>
              <w:bottom w:val="single" w:sz="4" w:space="0" w:color="auto"/>
              <w:right w:val="single" w:sz="4" w:space="0" w:color="auto"/>
            </w:tcBorders>
            <w:vAlign w:val="center"/>
          </w:tcPr>
          <w:p w:rsidR="000B266C" w:rsidRPr="004D451D" w:rsidRDefault="000B266C" w:rsidP="00A63DD9">
            <w:pPr>
              <w:widowControl/>
              <w:rPr>
                <w:rFonts w:eastAsia="標楷體"/>
                <w:kern w:val="0"/>
              </w:rPr>
            </w:pPr>
            <w:r w:rsidRPr="004D451D">
              <w:rPr>
                <w:rFonts w:eastAsia="標楷體" w:hint="eastAsia"/>
                <w:kern w:val="0"/>
              </w:rPr>
              <w:t>委託基礎法</w:t>
            </w:r>
            <w:r w:rsidRPr="004D451D">
              <w:rPr>
                <w:rFonts w:eastAsia="標楷體"/>
                <w:kern w:val="0"/>
              </w:rPr>
              <w:t>(ma</w:t>
            </w:r>
            <w:r w:rsidRPr="004D451D">
              <w:rPr>
                <w:rFonts w:eastAsia="標楷體" w:hint="eastAsia"/>
                <w:kern w:val="0"/>
              </w:rPr>
              <w:t>n</w:t>
            </w:r>
            <w:r w:rsidRPr="004D451D">
              <w:rPr>
                <w:rFonts w:eastAsia="標楷體"/>
                <w:kern w:val="0"/>
              </w:rPr>
              <w:t>date-based approach)</w:t>
            </w:r>
            <w:r w:rsidRPr="004D451D">
              <w:rPr>
                <w:rFonts w:eastAsia="標楷體"/>
                <w:kern w:val="0"/>
              </w:rPr>
              <w:t>下之基金</w:t>
            </w:r>
            <w:r w:rsidRPr="004D451D">
              <w:rPr>
                <w:rFonts w:eastAsia="標楷體" w:hint="eastAsia"/>
                <w:kern w:val="0"/>
              </w:rPr>
              <w:t>股權</w:t>
            </w:r>
            <w:r w:rsidRPr="004D451D">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486"/>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10</w:t>
            </w:r>
          </w:p>
        </w:tc>
        <w:tc>
          <w:tcPr>
            <w:tcW w:w="4859" w:type="dxa"/>
            <w:tcBorders>
              <w:top w:val="nil"/>
              <w:left w:val="nil"/>
              <w:bottom w:val="single" w:sz="4" w:space="0" w:color="auto"/>
              <w:right w:val="single" w:sz="4" w:space="0" w:color="auto"/>
            </w:tcBorders>
            <w:vAlign w:val="center"/>
          </w:tcPr>
          <w:p w:rsidR="000B266C" w:rsidRPr="004D451D" w:rsidRDefault="000B266C" w:rsidP="00A63DD9">
            <w:pPr>
              <w:widowControl/>
              <w:rPr>
                <w:rFonts w:eastAsia="標楷體"/>
                <w:kern w:val="0"/>
              </w:rPr>
            </w:pPr>
            <w:r w:rsidRPr="004D451D">
              <w:rPr>
                <w:rFonts w:eastAsia="標楷體" w:hint="eastAsia"/>
                <w:kern w:val="0"/>
              </w:rPr>
              <w:t>備用</w:t>
            </w:r>
            <w:r w:rsidRPr="004D451D">
              <w:rPr>
                <w:rFonts w:eastAsia="標楷體"/>
                <w:kern w:val="0"/>
              </w:rPr>
              <w:t>法</w:t>
            </w:r>
            <w:r w:rsidRPr="004D451D">
              <w:rPr>
                <w:rFonts w:eastAsia="標楷體"/>
                <w:kern w:val="0"/>
              </w:rPr>
              <w:t>(fall-back approach)</w:t>
            </w:r>
            <w:r w:rsidRPr="004D451D">
              <w:rPr>
                <w:rFonts w:eastAsia="標楷體"/>
                <w:kern w:val="0"/>
              </w:rPr>
              <w:t>下之基金</w:t>
            </w:r>
            <w:r w:rsidRPr="004D451D">
              <w:rPr>
                <w:rFonts w:eastAsia="標楷體" w:hint="eastAsia"/>
                <w:kern w:val="0"/>
              </w:rPr>
              <w:t>股權</w:t>
            </w:r>
            <w:r w:rsidRPr="004D451D">
              <w:rPr>
                <w:rFonts w:eastAsia="標楷體"/>
                <w:kern w:val="0"/>
              </w:rPr>
              <w:t>投資</w:t>
            </w:r>
          </w:p>
        </w:tc>
        <w:tc>
          <w:tcPr>
            <w:tcW w:w="1929"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widowControl/>
              <w:jc w:val="right"/>
              <w:rPr>
                <w:rFonts w:ascii="Arial" w:hAnsi="Arial" w:cs="Arial"/>
              </w:rPr>
            </w:pPr>
          </w:p>
        </w:tc>
        <w:tc>
          <w:tcPr>
            <w:tcW w:w="1740" w:type="dxa"/>
            <w:tcBorders>
              <w:top w:val="single" w:sz="4" w:space="0" w:color="auto"/>
              <w:left w:val="nil"/>
              <w:bottom w:val="single" w:sz="4" w:space="0" w:color="auto"/>
              <w:right w:val="single" w:sz="4" w:space="0" w:color="auto"/>
            </w:tcBorders>
            <w:shd w:val="clear" w:color="auto" w:fill="auto"/>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427"/>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11</w:t>
            </w:r>
          </w:p>
        </w:tc>
        <w:tc>
          <w:tcPr>
            <w:tcW w:w="4859" w:type="dxa"/>
            <w:tcBorders>
              <w:top w:val="nil"/>
              <w:left w:val="nil"/>
              <w:bottom w:val="single" w:sz="4" w:space="0" w:color="auto"/>
              <w:right w:val="single" w:sz="4" w:space="0" w:color="auto"/>
            </w:tcBorders>
            <w:vAlign w:val="center"/>
          </w:tcPr>
          <w:p w:rsidR="000B266C" w:rsidRPr="004D451D" w:rsidRDefault="000B266C" w:rsidP="005A78C6">
            <w:pPr>
              <w:widowControl/>
              <w:rPr>
                <w:rFonts w:eastAsia="標楷體"/>
                <w:kern w:val="0"/>
              </w:rPr>
            </w:pPr>
            <w:r w:rsidRPr="004D451D">
              <w:rPr>
                <w:rFonts w:eastAsia="標楷體"/>
                <w:kern w:val="0"/>
              </w:rPr>
              <w:t>交割風險</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widowControl/>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385"/>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12</w:t>
            </w:r>
          </w:p>
        </w:tc>
        <w:tc>
          <w:tcPr>
            <w:tcW w:w="4859" w:type="dxa"/>
            <w:tcBorders>
              <w:top w:val="nil"/>
              <w:left w:val="nil"/>
              <w:bottom w:val="single" w:sz="4" w:space="0" w:color="auto"/>
              <w:right w:val="single" w:sz="4" w:space="0" w:color="auto"/>
            </w:tcBorders>
            <w:vAlign w:val="center"/>
          </w:tcPr>
          <w:p w:rsidR="000B266C" w:rsidRPr="004D451D" w:rsidRDefault="000B266C" w:rsidP="005A78C6">
            <w:pPr>
              <w:widowControl/>
              <w:rPr>
                <w:rFonts w:eastAsia="標楷體"/>
                <w:kern w:val="0"/>
              </w:rPr>
            </w:pPr>
            <w:r w:rsidRPr="004D451D">
              <w:rPr>
                <w:rFonts w:eastAsia="標楷體"/>
                <w:kern w:val="0"/>
              </w:rPr>
              <w:t>銀行簿之證券化暴險</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371"/>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13</w:t>
            </w:r>
          </w:p>
        </w:tc>
        <w:tc>
          <w:tcPr>
            <w:tcW w:w="4859" w:type="dxa"/>
            <w:tcBorders>
              <w:top w:val="nil"/>
              <w:left w:val="nil"/>
              <w:bottom w:val="single" w:sz="4" w:space="0" w:color="auto"/>
              <w:right w:val="single" w:sz="4" w:space="0" w:color="auto"/>
            </w:tcBorders>
            <w:vAlign w:val="center"/>
          </w:tcPr>
          <w:p w:rsidR="000B266C" w:rsidRPr="004D451D" w:rsidRDefault="000B266C" w:rsidP="005A78C6">
            <w:pPr>
              <w:widowControl/>
              <w:ind w:leftChars="100" w:left="240"/>
              <w:rPr>
                <w:rFonts w:eastAsia="標楷體"/>
                <w:kern w:val="0"/>
              </w:rPr>
            </w:pPr>
            <w:r w:rsidRPr="004D451D">
              <w:rPr>
                <w:rFonts w:eastAsia="標楷體"/>
                <w:kern w:val="0"/>
              </w:rPr>
              <w:t>內部評等法之評等基礎法</w:t>
            </w:r>
            <w:r w:rsidRPr="004D451D">
              <w:rPr>
                <w:rFonts w:eastAsia="標楷體"/>
                <w:kern w:val="0"/>
              </w:rPr>
              <w:t>(RBA)</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377"/>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14</w:t>
            </w:r>
          </w:p>
        </w:tc>
        <w:tc>
          <w:tcPr>
            <w:tcW w:w="4859" w:type="dxa"/>
            <w:tcBorders>
              <w:top w:val="nil"/>
              <w:left w:val="nil"/>
              <w:bottom w:val="single" w:sz="4" w:space="0" w:color="auto"/>
              <w:right w:val="single" w:sz="4" w:space="0" w:color="auto"/>
            </w:tcBorders>
            <w:vAlign w:val="center"/>
          </w:tcPr>
          <w:p w:rsidR="000B266C" w:rsidRPr="004D451D" w:rsidRDefault="000B266C" w:rsidP="005A78C6">
            <w:pPr>
              <w:widowControl/>
              <w:ind w:leftChars="100" w:left="240"/>
              <w:rPr>
                <w:rFonts w:eastAsia="標楷體"/>
                <w:kern w:val="0"/>
              </w:rPr>
            </w:pPr>
            <w:r w:rsidRPr="004D451D">
              <w:rPr>
                <w:rFonts w:eastAsia="標楷體"/>
                <w:kern w:val="0"/>
              </w:rPr>
              <w:t>內部評等法之監理公式法</w:t>
            </w:r>
            <w:r w:rsidRPr="004D451D">
              <w:rPr>
                <w:rFonts w:eastAsia="標楷體"/>
                <w:kern w:val="0"/>
              </w:rPr>
              <w:t>(SFA)</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373"/>
        </w:trPr>
        <w:tc>
          <w:tcPr>
            <w:tcW w:w="624" w:type="dxa"/>
            <w:tcBorders>
              <w:top w:val="nil"/>
              <w:left w:val="single" w:sz="4" w:space="0" w:color="auto"/>
              <w:bottom w:val="single" w:sz="4" w:space="0" w:color="auto"/>
              <w:right w:val="single" w:sz="4" w:space="0" w:color="auto"/>
            </w:tcBorders>
            <w:vAlign w:val="center"/>
          </w:tcPr>
          <w:p w:rsidR="000B266C" w:rsidRPr="004D451D" w:rsidRDefault="000B266C" w:rsidP="005A78C6">
            <w:pPr>
              <w:widowControl/>
              <w:jc w:val="center"/>
              <w:rPr>
                <w:rFonts w:eastAsia="標楷體"/>
                <w:kern w:val="0"/>
              </w:rPr>
            </w:pPr>
            <w:r w:rsidRPr="004D451D">
              <w:rPr>
                <w:rFonts w:eastAsia="標楷體"/>
                <w:kern w:val="0"/>
              </w:rPr>
              <w:t>15</w:t>
            </w:r>
          </w:p>
        </w:tc>
        <w:tc>
          <w:tcPr>
            <w:tcW w:w="4859" w:type="dxa"/>
            <w:tcBorders>
              <w:top w:val="nil"/>
              <w:left w:val="nil"/>
              <w:bottom w:val="single" w:sz="4" w:space="0" w:color="auto"/>
              <w:right w:val="single" w:sz="4" w:space="0" w:color="auto"/>
            </w:tcBorders>
            <w:vAlign w:val="center"/>
          </w:tcPr>
          <w:p w:rsidR="000B266C" w:rsidRPr="004D451D" w:rsidRDefault="000B266C" w:rsidP="001714BD">
            <w:pPr>
              <w:widowControl/>
              <w:ind w:leftChars="100" w:left="240"/>
              <w:rPr>
                <w:rFonts w:eastAsia="標楷體"/>
                <w:kern w:val="0"/>
              </w:rPr>
            </w:pPr>
            <w:r w:rsidRPr="004D451D">
              <w:rPr>
                <w:rFonts w:eastAsia="標楷體"/>
                <w:kern w:val="0"/>
              </w:rPr>
              <w:t>標準法</w:t>
            </w:r>
          </w:p>
        </w:tc>
        <w:tc>
          <w:tcPr>
            <w:tcW w:w="1929"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p>
        </w:tc>
        <w:tc>
          <w:tcPr>
            <w:tcW w:w="1740" w:type="dxa"/>
            <w:tcBorders>
              <w:top w:val="nil"/>
              <w:left w:val="nil"/>
              <w:bottom w:val="single" w:sz="4" w:space="0" w:color="auto"/>
              <w:right w:val="single" w:sz="4" w:space="0" w:color="auto"/>
            </w:tcBorders>
            <w:vAlign w:val="center"/>
          </w:tcPr>
          <w:p w:rsidR="000B266C" w:rsidRPr="004D451D" w:rsidRDefault="000B266C" w:rsidP="000B266C">
            <w:pPr>
              <w:jc w:val="right"/>
              <w:rPr>
                <w:rFonts w:ascii="Arial" w:hAnsi="Arial" w:cs="Arial"/>
              </w:rPr>
            </w:pPr>
            <w:r w:rsidRPr="004D451D">
              <w:rPr>
                <w:rFonts w:ascii="Arial" w:hAnsi="Arial" w:cs="Arial"/>
              </w:rPr>
              <w:t xml:space="preserve">　</w:t>
            </w:r>
          </w:p>
        </w:tc>
      </w:tr>
      <w:tr w:rsidR="004D451D" w:rsidRPr="004D451D" w:rsidTr="006D5AEA">
        <w:trPr>
          <w:trHeight w:val="379"/>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16</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市場風險</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24,421,806</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24,201,891</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1,953,744</w:t>
            </w:r>
          </w:p>
        </w:tc>
      </w:tr>
      <w:tr w:rsidR="004D451D" w:rsidRPr="004D451D" w:rsidTr="006D5AEA">
        <w:trPr>
          <w:trHeight w:val="374"/>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17</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標準法</w:t>
            </w:r>
            <w:r w:rsidRPr="004D451D">
              <w:rPr>
                <w:rFonts w:eastAsia="標楷體"/>
                <w:kern w:val="0"/>
              </w:rPr>
              <w:t>(SA)</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24,421,806</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24,201,891</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1,953,744</w:t>
            </w:r>
          </w:p>
        </w:tc>
      </w:tr>
      <w:tr w:rsidR="004D451D" w:rsidRPr="004D451D" w:rsidTr="006D5AEA">
        <w:trPr>
          <w:trHeight w:val="371"/>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18</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內部模型法</w:t>
            </w:r>
            <w:r w:rsidRPr="004D451D">
              <w:rPr>
                <w:rFonts w:eastAsia="標楷體"/>
                <w:kern w:val="0"/>
              </w:rPr>
              <w:t>(IMA)</w:t>
            </w:r>
          </w:p>
        </w:tc>
        <w:tc>
          <w:tcPr>
            <w:tcW w:w="1929"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r>
      <w:tr w:rsidR="004D451D" w:rsidRPr="004D451D" w:rsidTr="006D5AEA">
        <w:trPr>
          <w:trHeight w:val="411"/>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19</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作業風險</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13,659,885</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13,659,885</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1,092,791</w:t>
            </w:r>
          </w:p>
        </w:tc>
      </w:tr>
      <w:tr w:rsidR="004D451D" w:rsidRPr="004D451D" w:rsidTr="006D5AEA">
        <w:trPr>
          <w:trHeight w:val="379"/>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20</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基本指標法</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13,659,885</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13,659,885</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1,092,791</w:t>
            </w:r>
          </w:p>
        </w:tc>
      </w:tr>
      <w:tr w:rsidR="004D451D" w:rsidRPr="004D451D" w:rsidTr="006D5AEA">
        <w:trPr>
          <w:trHeight w:val="374"/>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21</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標準法</w:t>
            </w:r>
          </w:p>
        </w:tc>
        <w:tc>
          <w:tcPr>
            <w:tcW w:w="1929"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r>
      <w:tr w:rsidR="004D451D" w:rsidRPr="004D451D" w:rsidTr="006D5AEA">
        <w:trPr>
          <w:trHeight w:val="389"/>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22</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ind w:leftChars="100" w:left="240"/>
              <w:rPr>
                <w:rFonts w:eastAsia="標楷體"/>
                <w:kern w:val="0"/>
              </w:rPr>
            </w:pPr>
            <w:r w:rsidRPr="004D451D">
              <w:rPr>
                <w:rFonts w:eastAsia="標楷體"/>
                <w:kern w:val="0"/>
              </w:rPr>
              <w:t>進階衡量法</w:t>
            </w:r>
          </w:p>
        </w:tc>
        <w:tc>
          <w:tcPr>
            <w:tcW w:w="1929"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r>
      <w:tr w:rsidR="004D451D" w:rsidRPr="004D451D" w:rsidTr="006D5AEA">
        <w:trPr>
          <w:trHeight w:val="427"/>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23</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扣除門檻內之金額</w:t>
            </w:r>
            <w:r w:rsidRPr="004D451D">
              <w:rPr>
                <w:rFonts w:eastAsia="標楷體"/>
                <w:kern w:val="0"/>
              </w:rPr>
              <w:t>(</w:t>
            </w:r>
            <w:r w:rsidRPr="004D451D">
              <w:rPr>
                <w:rFonts w:eastAsia="標楷體"/>
                <w:kern w:val="0"/>
              </w:rPr>
              <w:t>適用風險權數</w:t>
            </w:r>
            <w:r w:rsidRPr="004D451D">
              <w:rPr>
                <w:rFonts w:eastAsia="標楷體"/>
                <w:kern w:val="0"/>
              </w:rPr>
              <w:t>250%)</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721,994</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687,546</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57,759</w:t>
            </w:r>
          </w:p>
        </w:tc>
      </w:tr>
      <w:tr w:rsidR="004D451D" w:rsidRPr="004D451D" w:rsidTr="006D5AEA">
        <w:trPr>
          <w:trHeight w:val="427"/>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24</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下限之調整</w:t>
            </w:r>
          </w:p>
        </w:tc>
        <w:tc>
          <w:tcPr>
            <w:tcW w:w="1929"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 xml:space="preserve">　</w:t>
            </w:r>
          </w:p>
        </w:tc>
        <w:tc>
          <w:tcPr>
            <w:tcW w:w="1740" w:type="dxa"/>
            <w:tcBorders>
              <w:top w:val="nil"/>
              <w:left w:val="nil"/>
              <w:bottom w:val="single" w:sz="4" w:space="0" w:color="auto"/>
              <w:right w:val="single" w:sz="4" w:space="0" w:color="auto"/>
            </w:tcBorders>
            <w:vAlign w:val="center"/>
          </w:tcPr>
          <w:p w:rsidR="00E03A69" w:rsidRPr="004D451D" w:rsidRDefault="00E03A69" w:rsidP="00E03A69">
            <w:pPr>
              <w:jc w:val="right"/>
              <w:rPr>
                <w:rFonts w:ascii="Arial" w:hAnsi="Arial" w:cs="Arial"/>
              </w:rPr>
            </w:pPr>
            <w:r w:rsidRPr="004D451D">
              <w:rPr>
                <w:rFonts w:ascii="Arial" w:hAnsi="Arial" w:cs="Arial"/>
              </w:rPr>
              <w:t xml:space="preserve">　</w:t>
            </w:r>
          </w:p>
        </w:tc>
      </w:tr>
      <w:tr w:rsidR="004D451D" w:rsidRPr="004D451D" w:rsidTr="006D5AEA">
        <w:trPr>
          <w:trHeight w:val="427"/>
        </w:trPr>
        <w:tc>
          <w:tcPr>
            <w:tcW w:w="624" w:type="dxa"/>
            <w:tcBorders>
              <w:top w:val="nil"/>
              <w:left w:val="single" w:sz="4" w:space="0" w:color="auto"/>
              <w:bottom w:val="single" w:sz="4" w:space="0" w:color="auto"/>
              <w:right w:val="single" w:sz="4" w:space="0" w:color="auto"/>
            </w:tcBorders>
            <w:vAlign w:val="center"/>
          </w:tcPr>
          <w:p w:rsidR="00E03A69" w:rsidRPr="004D451D" w:rsidRDefault="00E03A69" w:rsidP="005A78C6">
            <w:pPr>
              <w:widowControl/>
              <w:jc w:val="center"/>
              <w:rPr>
                <w:rFonts w:eastAsia="標楷體"/>
                <w:kern w:val="0"/>
              </w:rPr>
            </w:pPr>
            <w:r w:rsidRPr="004D451D">
              <w:rPr>
                <w:rFonts w:eastAsia="標楷體"/>
                <w:kern w:val="0"/>
              </w:rPr>
              <w:t>25</w:t>
            </w:r>
          </w:p>
        </w:tc>
        <w:tc>
          <w:tcPr>
            <w:tcW w:w="4859" w:type="dxa"/>
            <w:tcBorders>
              <w:top w:val="nil"/>
              <w:left w:val="nil"/>
              <w:bottom w:val="single" w:sz="4" w:space="0" w:color="auto"/>
              <w:right w:val="single" w:sz="4" w:space="0" w:color="auto"/>
            </w:tcBorders>
            <w:vAlign w:val="center"/>
          </w:tcPr>
          <w:p w:rsidR="00E03A69" w:rsidRPr="004D451D" w:rsidRDefault="00E03A69" w:rsidP="005A78C6">
            <w:pPr>
              <w:widowControl/>
              <w:rPr>
                <w:rFonts w:eastAsia="標楷體"/>
                <w:kern w:val="0"/>
              </w:rPr>
            </w:pPr>
            <w:r w:rsidRPr="004D451D">
              <w:rPr>
                <w:rFonts w:eastAsia="標楷體"/>
                <w:kern w:val="0"/>
              </w:rPr>
              <w:t>總計</w:t>
            </w:r>
          </w:p>
        </w:tc>
        <w:tc>
          <w:tcPr>
            <w:tcW w:w="1929"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235,012,761</w:t>
            </w:r>
          </w:p>
        </w:tc>
        <w:tc>
          <w:tcPr>
            <w:tcW w:w="1842" w:type="dxa"/>
            <w:tcBorders>
              <w:top w:val="nil"/>
              <w:left w:val="nil"/>
              <w:bottom w:val="single" w:sz="4" w:space="0" w:color="auto"/>
              <w:right w:val="single" w:sz="4" w:space="0" w:color="auto"/>
            </w:tcBorders>
            <w:vAlign w:val="center"/>
          </w:tcPr>
          <w:p w:rsidR="00E03A69" w:rsidRPr="004D451D" w:rsidRDefault="00E03A69" w:rsidP="001F240C">
            <w:pPr>
              <w:jc w:val="right"/>
              <w:rPr>
                <w:rFonts w:ascii="Arial" w:hAnsi="Arial" w:cs="Arial"/>
              </w:rPr>
            </w:pPr>
            <w:r w:rsidRPr="004D451D">
              <w:rPr>
                <w:rFonts w:ascii="Arial" w:hAnsi="Arial" w:cs="Arial"/>
              </w:rPr>
              <w:t>227,226,037</w:t>
            </w:r>
          </w:p>
        </w:tc>
        <w:tc>
          <w:tcPr>
            <w:tcW w:w="1740" w:type="dxa"/>
            <w:tcBorders>
              <w:top w:val="nil"/>
              <w:left w:val="nil"/>
              <w:bottom w:val="single" w:sz="4" w:space="0" w:color="auto"/>
              <w:right w:val="single" w:sz="4" w:space="0" w:color="auto"/>
            </w:tcBorders>
            <w:vAlign w:val="center"/>
          </w:tcPr>
          <w:p w:rsidR="00E03A69" w:rsidRPr="004D451D" w:rsidRDefault="00E03A69">
            <w:pPr>
              <w:jc w:val="right"/>
              <w:rPr>
                <w:rFonts w:ascii="Arial" w:hAnsi="Arial" w:cs="Arial"/>
              </w:rPr>
            </w:pPr>
            <w:r w:rsidRPr="004D451D">
              <w:rPr>
                <w:rFonts w:ascii="Arial" w:hAnsi="Arial" w:cs="Arial"/>
              </w:rPr>
              <w:t>18,801,021</w:t>
            </w:r>
          </w:p>
        </w:tc>
      </w:tr>
      <w:tr w:rsidR="004D451D" w:rsidRPr="004D451D" w:rsidTr="009E4A0F">
        <w:trPr>
          <w:trHeight w:val="363"/>
        </w:trPr>
        <w:tc>
          <w:tcPr>
            <w:tcW w:w="10994" w:type="dxa"/>
            <w:gridSpan w:val="5"/>
            <w:vMerge w:val="restart"/>
            <w:tcBorders>
              <w:top w:val="single" w:sz="8" w:space="0" w:color="auto"/>
              <w:left w:val="single" w:sz="4" w:space="0" w:color="auto"/>
              <w:bottom w:val="single" w:sz="4" w:space="0" w:color="auto"/>
              <w:right w:val="single" w:sz="4" w:space="0" w:color="auto"/>
            </w:tcBorders>
            <w:vAlign w:val="center"/>
          </w:tcPr>
          <w:p w:rsidR="006D5AEA" w:rsidRPr="004D451D" w:rsidRDefault="006D5AEA" w:rsidP="005A78C6">
            <w:pPr>
              <w:widowControl/>
              <w:rPr>
                <w:rFonts w:eastAsia="標楷體"/>
                <w:kern w:val="0"/>
              </w:rPr>
            </w:pPr>
            <w:r w:rsidRPr="004D451D">
              <w:rPr>
                <w:rFonts w:eastAsia="標楷體"/>
                <w:kern w:val="0"/>
              </w:rPr>
              <w:t>附註說明：</w:t>
            </w:r>
          </w:p>
          <w:p w:rsidR="006D5AEA" w:rsidRPr="004D451D" w:rsidRDefault="006D5AEA" w:rsidP="005A78C6">
            <w:pPr>
              <w:widowControl/>
              <w:rPr>
                <w:rFonts w:eastAsia="標楷體"/>
                <w:kern w:val="0"/>
              </w:rPr>
            </w:pPr>
          </w:p>
        </w:tc>
      </w:tr>
      <w:tr w:rsidR="004D451D" w:rsidRPr="004D451D" w:rsidTr="009E4A0F">
        <w:trPr>
          <w:trHeight w:val="363"/>
        </w:trPr>
        <w:tc>
          <w:tcPr>
            <w:tcW w:w="10994" w:type="dxa"/>
            <w:gridSpan w:val="5"/>
            <w:vMerge/>
            <w:tcBorders>
              <w:top w:val="single" w:sz="8" w:space="0" w:color="auto"/>
              <w:left w:val="single" w:sz="4" w:space="0" w:color="auto"/>
              <w:bottom w:val="single" w:sz="4" w:space="0" w:color="auto"/>
              <w:right w:val="single" w:sz="4" w:space="0" w:color="auto"/>
            </w:tcBorders>
            <w:vAlign w:val="center"/>
          </w:tcPr>
          <w:p w:rsidR="006D5AEA" w:rsidRPr="004D451D" w:rsidRDefault="006D5AEA" w:rsidP="005A78C6">
            <w:pPr>
              <w:widowControl/>
              <w:rPr>
                <w:rFonts w:eastAsia="標楷體"/>
                <w:kern w:val="0"/>
              </w:rPr>
            </w:pPr>
          </w:p>
        </w:tc>
      </w:tr>
      <w:tr w:rsidR="004D451D" w:rsidRPr="004D451D" w:rsidTr="009E4A0F">
        <w:trPr>
          <w:trHeight w:val="363"/>
        </w:trPr>
        <w:tc>
          <w:tcPr>
            <w:tcW w:w="10994" w:type="dxa"/>
            <w:gridSpan w:val="5"/>
            <w:vMerge/>
            <w:tcBorders>
              <w:top w:val="single" w:sz="8" w:space="0" w:color="auto"/>
              <w:left w:val="single" w:sz="4" w:space="0" w:color="auto"/>
              <w:bottom w:val="single" w:sz="4" w:space="0" w:color="auto"/>
              <w:right w:val="single" w:sz="4" w:space="0" w:color="auto"/>
            </w:tcBorders>
            <w:vAlign w:val="center"/>
          </w:tcPr>
          <w:p w:rsidR="006D5AEA" w:rsidRPr="004D451D" w:rsidRDefault="006D5AEA" w:rsidP="005A78C6">
            <w:pPr>
              <w:widowControl/>
              <w:rPr>
                <w:rFonts w:eastAsia="標楷體"/>
                <w:kern w:val="0"/>
              </w:rPr>
            </w:pPr>
          </w:p>
        </w:tc>
      </w:tr>
    </w:tbl>
    <w:p w:rsidR="009D3066" w:rsidRPr="004D451D" w:rsidRDefault="009D3066" w:rsidP="00134ACB">
      <w:pPr>
        <w:pStyle w:val="ad"/>
        <w:spacing w:line="360" w:lineRule="auto"/>
        <w:ind w:leftChars="23" w:left="1013" w:right="555"/>
        <w:rPr>
          <w:rFonts w:ascii="Times New Roman" w:hAnsi="Times New Roman"/>
          <w:b/>
          <w:sz w:val="24"/>
        </w:rPr>
      </w:pPr>
    </w:p>
    <w:p w:rsidR="00134ACB" w:rsidRPr="004D451D" w:rsidRDefault="00134ACB" w:rsidP="001934E3">
      <w:pPr>
        <w:pStyle w:val="ad"/>
        <w:spacing w:line="240" w:lineRule="atLeast"/>
        <w:ind w:leftChars="23" w:left="1013" w:right="556"/>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134ACB" w:rsidRPr="004D451D" w:rsidRDefault="00B37396" w:rsidP="00EF4134">
      <w:pPr>
        <w:numPr>
          <w:ilvl w:val="0"/>
          <w:numId w:val="18"/>
        </w:numPr>
        <w:spacing w:line="240" w:lineRule="atLeast"/>
        <w:ind w:leftChars="150" w:left="720" w:hangingChars="150"/>
        <w:rPr>
          <w:rFonts w:eastAsia="標楷體"/>
        </w:rPr>
      </w:pPr>
      <w:r w:rsidRPr="004D451D">
        <w:rPr>
          <w:rFonts w:eastAsia="標楷體"/>
        </w:rPr>
        <w:t>本表更新頻率：</w:t>
      </w:r>
      <w:r w:rsidR="00134ACB" w:rsidRPr="004D451D">
        <w:rPr>
          <w:rFonts w:eastAsia="標楷體"/>
        </w:rPr>
        <w:t>半年。</w:t>
      </w:r>
    </w:p>
    <w:p w:rsidR="009D3066" w:rsidRPr="004D451D" w:rsidRDefault="009D3066" w:rsidP="00EF4134">
      <w:pPr>
        <w:numPr>
          <w:ilvl w:val="0"/>
          <w:numId w:val="18"/>
        </w:numPr>
        <w:spacing w:line="240" w:lineRule="atLeast"/>
        <w:ind w:leftChars="150" w:left="720" w:hangingChars="150"/>
        <w:rPr>
          <w:rFonts w:eastAsia="標楷體"/>
        </w:rPr>
      </w:pPr>
      <w:r w:rsidRPr="004D451D">
        <w:rPr>
          <w:rFonts w:eastAsia="標楷體"/>
        </w:rPr>
        <w:t>本表採合併基礎填報。</w:t>
      </w:r>
    </w:p>
    <w:p w:rsidR="00134ACB" w:rsidRPr="004D451D" w:rsidRDefault="009D3066" w:rsidP="00EF4134">
      <w:pPr>
        <w:numPr>
          <w:ilvl w:val="0"/>
          <w:numId w:val="18"/>
        </w:numPr>
        <w:spacing w:line="240" w:lineRule="atLeast"/>
        <w:ind w:leftChars="150" w:left="720" w:hangingChars="150"/>
        <w:rPr>
          <w:rFonts w:eastAsia="標楷體"/>
        </w:rPr>
      </w:pPr>
      <w:r w:rsidRPr="004D451D">
        <w:rPr>
          <w:rFonts w:eastAsia="標楷體"/>
        </w:rPr>
        <w:t>若銀行使用內部模型法</w:t>
      </w:r>
      <w:r w:rsidRPr="004D451D">
        <w:rPr>
          <w:rFonts w:eastAsia="標楷體"/>
        </w:rPr>
        <w:t>(IMA)</w:t>
      </w:r>
      <w:r w:rsidRPr="004D451D">
        <w:rPr>
          <w:rFonts w:eastAsia="標楷體"/>
        </w:rPr>
        <w:t>來計提市場風險評價之權益投資暴險，則必須每年於附註說明中提供其內部模型特性之描述。</w:t>
      </w:r>
    </w:p>
    <w:p w:rsidR="009D3066" w:rsidRPr="004D451D" w:rsidRDefault="009D3066" w:rsidP="00EF4134">
      <w:pPr>
        <w:numPr>
          <w:ilvl w:val="0"/>
          <w:numId w:val="18"/>
        </w:numPr>
        <w:spacing w:line="240" w:lineRule="atLeast"/>
        <w:ind w:leftChars="150" w:left="720" w:hangingChars="150"/>
        <w:rPr>
          <w:rFonts w:eastAsia="標楷體"/>
        </w:rPr>
      </w:pPr>
      <w:r w:rsidRPr="004D451D">
        <w:rPr>
          <w:rFonts w:eastAsia="標楷體"/>
        </w:rPr>
        <w:t>本表之行與列各項目填寫定義如下：</w:t>
      </w:r>
    </w:p>
    <w:p w:rsidR="00134ACB" w:rsidRPr="004D451D" w:rsidRDefault="00134ACB" w:rsidP="00430298">
      <w:pPr>
        <w:pStyle w:val="ad"/>
        <w:spacing w:line="240" w:lineRule="atLeast"/>
        <w:ind w:leftChars="250" w:left="1080" w:rightChars="231" w:right="554" w:hangingChars="200" w:hanging="480"/>
        <w:rPr>
          <w:rFonts w:ascii="Times New Roman" w:hAnsi="Times New Roman"/>
          <w:sz w:val="24"/>
        </w:rPr>
      </w:pPr>
      <w:r w:rsidRPr="004D451D">
        <w:rPr>
          <w:rFonts w:ascii="Times New Roman" w:hAnsi="Times New Roman"/>
          <w:b/>
          <w:sz w:val="24"/>
        </w:rPr>
        <w:t>行</w:t>
      </w:r>
      <w:r w:rsidR="009D3066" w:rsidRPr="004D451D">
        <w:rPr>
          <w:rFonts w:ascii="Times New Roman" w:hAnsi="Times New Roman" w:hint="eastAsia"/>
          <w:sz w:val="24"/>
        </w:rPr>
        <w:t>：</w:t>
      </w:r>
    </w:p>
    <w:p w:rsidR="00134ACB" w:rsidRPr="004D451D" w:rsidRDefault="00134ACB"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風險性資產：市場風險與作業風險</w:t>
      </w:r>
      <w:r w:rsidR="00AF60E0" w:rsidRPr="004D451D">
        <w:rPr>
          <w:rFonts w:ascii="Times New Roman" w:hAnsi="Times New Roman"/>
          <w:sz w:val="24"/>
        </w:rPr>
        <w:t>應計提資本需轉換為風險性資產</w:t>
      </w:r>
      <w:r w:rsidRPr="004D451D">
        <w:rPr>
          <w:rFonts w:ascii="Times New Roman" w:hAnsi="Times New Roman"/>
          <w:sz w:val="24"/>
        </w:rPr>
        <w:t>，</w:t>
      </w:r>
      <w:r w:rsidR="00AF60E0" w:rsidRPr="004D451D">
        <w:rPr>
          <w:rFonts w:ascii="Times New Roman" w:hAnsi="Times New Roman"/>
          <w:sz w:val="24"/>
        </w:rPr>
        <w:t>即</w:t>
      </w:r>
      <w:r w:rsidRPr="004D451D">
        <w:rPr>
          <w:rFonts w:ascii="Times New Roman" w:hAnsi="Times New Roman"/>
          <w:sz w:val="24"/>
        </w:rPr>
        <w:t>應計提資本乘以</w:t>
      </w:r>
      <w:r w:rsidRPr="004D451D">
        <w:rPr>
          <w:rFonts w:ascii="Times New Roman" w:hAnsi="Times New Roman"/>
          <w:sz w:val="24"/>
        </w:rPr>
        <w:t>12.5</w:t>
      </w:r>
      <w:r w:rsidRPr="004D451D">
        <w:rPr>
          <w:rFonts w:ascii="Times New Roman" w:hAnsi="Times New Roman"/>
          <w:sz w:val="24"/>
        </w:rPr>
        <w:t>。</w:t>
      </w:r>
    </w:p>
    <w:p w:rsidR="009D3066" w:rsidRPr="004D451D" w:rsidRDefault="009D3066"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風險性資產</w:t>
      </w:r>
      <w:r w:rsidRPr="004D451D">
        <w:rPr>
          <w:rFonts w:ascii="Times New Roman" w:hAnsi="Times New Roman"/>
          <w:sz w:val="24"/>
        </w:rPr>
        <w:t>(</w:t>
      </w:r>
      <w:r w:rsidRPr="004D451D">
        <w:rPr>
          <w:rFonts w:ascii="Times New Roman" w:hAnsi="Times New Roman"/>
          <w:sz w:val="24"/>
        </w:rPr>
        <w:t>前期</w:t>
      </w:r>
      <w:r w:rsidRPr="004D451D">
        <w:rPr>
          <w:rFonts w:ascii="Times New Roman" w:hAnsi="Times New Roman"/>
          <w:sz w:val="24"/>
        </w:rPr>
        <w:t>)</w:t>
      </w:r>
      <w:r w:rsidRPr="004D451D">
        <w:rPr>
          <w:rFonts w:ascii="Times New Roman" w:hAnsi="Times New Roman" w:hint="eastAsia"/>
          <w:sz w:val="24"/>
        </w:rPr>
        <w:t>：</w:t>
      </w:r>
      <w:r w:rsidRPr="004D451D">
        <w:rPr>
          <w:rFonts w:ascii="Times New Roman" w:hAnsi="Times New Roman"/>
          <w:sz w:val="24"/>
        </w:rPr>
        <w:t>係指前半年度資料。</w:t>
      </w:r>
    </w:p>
    <w:p w:rsidR="009D3066" w:rsidRPr="004D451D" w:rsidRDefault="009D3066" w:rsidP="00482E54">
      <w:pPr>
        <w:pStyle w:val="ad"/>
        <w:numPr>
          <w:ilvl w:val="0"/>
          <w:numId w:val="19"/>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最低資本要求：係報表日時，主管機關對於第一支柱之最低資本要求，其總計需與第一支柱申報報表【表</w:t>
      </w:r>
      <w:r w:rsidRPr="004D451D">
        <w:rPr>
          <w:rFonts w:ascii="Times New Roman" w:hAnsi="Times New Roman"/>
          <w:sz w:val="24"/>
        </w:rPr>
        <w:t>1-A1</w:t>
      </w:r>
      <w:r w:rsidRPr="004D451D">
        <w:rPr>
          <w:rFonts w:ascii="Times New Roman" w:hAnsi="Times New Roman"/>
          <w:sz w:val="24"/>
        </w:rPr>
        <w:t>】自有資本與風險性資產比率及槓桿比率計算表中第</w:t>
      </w:r>
      <w:r w:rsidRPr="004D451D">
        <w:rPr>
          <w:rFonts w:ascii="Times New Roman" w:hAnsi="Times New Roman"/>
          <w:sz w:val="24"/>
        </w:rPr>
        <w:t>(5)</w:t>
      </w:r>
      <w:r w:rsidRPr="004D451D">
        <w:rPr>
          <w:rFonts w:ascii="Times New Roman" w:hAnsi="Times New Roman"/>
          <w:sz w:val="24"/>
        </w:rPr>
        <w:t>、</w:t>
      </w:r>
      <w:r w:rsidRPr="004D451D">
        <w:rPr>
          <w:rFonts w:ascii="Times New Roman" w:hAnsi="Times New Roman"/>
          <w:sz w:val="24"/>
        </w:rPr>
        <w:t>(6)</w:t>
      </w:r>
      <w:r w:rsidRPr="004D451D">
        <w:rPr>
          <w:rFonts w:ascii="Times New Roman" w:hAnsi="Times New Roman"/>
          <w:sz w:val="24"/>
        </w:rPr>
        <w:t>、</w:t>
      </w:r>
      <w:r w:rsidRPr="004D451D">
        <w:rPr>
          <w:rFonts w:ascii="Times New Roman" w:hAnsi="Times New Roman"/>
          <w:sz w:val="24"/>
        </w:rPr>
        <w:t>(7)</w:t>
      </w:r>
      <w:r w:rsidRPr="004D451D">
        <w:rPr>
          <w:rFonts w:ascii="Times New Roman" w:hAnsi="Times New Roman"/>
          <w:sz w:val="24"/>
        </w:rPr>
        <w:t>項「最低資本計提」之加總一致。</w:t>
      </w:r>
    </w:p>
    <w:p w:rsidR="00134ACB" w:rsidRPr="004D451D" w:rsidRDefault="00134ACB" w:rsidP="00430298">
      <w:pPr>
        <w:pStyle w:val="ad"/>
        <w:spacing w:line="240" w:lineRule="atLeast"/>
        <w:ind w:leftChars="250" w:left="1080" w:rightChars="231" w:right="554" w:hangingChars="200" w:hanging="480"/>
        <w:rPr>
          <w:rFonts w:ascii="Times New Roman" w:hAnsi="Times New Roman"/>
          <w:sz w:val="24"/>
        </w:rPr>
      </w:pPr>
      <w:r w:rsidRPr="004D451D">
        <w:rPr>
          <w:rFonts w:ascii="Times New Roman" w:hAnsi="Times New Roman"/>
          <w:b/>
          <w:sz w:val="24"/>
        </w:rPr>
        <w:t>列</w:t>
      </w:r>
      <w:r w:rsidR="009D3066" w:rsidRPr="004D451D">
        <w:rPr>
          <w:rFonts w:ascii="Times New Roman" w:hAnsi="Times New Roman" w:hint="eastAsia"/>
          <w:sz w:val="24"/>
        </w:rPr>
        <w:t>：</w:t>
      </w:r>
    </w:p>
    <w:p w:rsidR="00A91805" w:rsidRPr="004D451D" w:rsidRDefault="00811E4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hint="eastAsia"/>
          <w:sz w:val="24"/>
        </w:rPr>
        <w:t>本表第一列所指之信用風險應填載範圍，需排除交易對手信用風險、基金股權投資資本計提部位、證券化監理架構下之資本計提部位、扣除門檻內之金額及下限之調整。</w:t>
      </w:r>
    </w:p>
    <w:p w:rsidR="009D3066" w:rsidRPr="004D451D"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「交易對手信用風險」填報數字應包含</w:t>
      </w:r>
      <w:r w:rsidRPr="004D451D">
        <w:rPr>
          <w:rFonts w:ascii="Times New Roman" w:hAnsi="Times New Roman" w:hint="eastAsia"/>
          <w:sz w:val="24"/>
        </w:rPr>
        <w:t>【</w:t>
      </w:r>
      <w:r w:rsidRPr="004D451D">
        <w:rPr>
          <w:rFonts w:ascii="Times New Roman" w:hAnsi="Times New Roman"/>
          <w:sz w:val="24"/>
        </w:rPr>
        <w:t>附表二十</w:t>
      </w:r>
      <w:r w:rsidR="00430298" w:rsidRPr="004D451D">
        <w:rPr>
          <w:rFonts w:ascii="Times New Roman" w:hAnsi="Times New Roman" w:hint="eastAsia"/>
          <w:sz w:val="24"/>
        </w:rPr>
        <w:t>九</w:t>
      </w:r>
      <w:r w:rsidRPr="004D451D">
        <w:rPr>
          <w:rFonts w:ascii="Times New Roman" w:hAnsi="Times New Roman" w:hint="eastAsia"/>
          <w:sz w:val="24"/>
        </w:rPr>
        <w:t>】</w:t>
      </w:r>
      <w:r w:rsidRPr="004D451D">
        <w:rPr>
          <w:rFonts w:ascii="Times New Roman" w:hAnsi="Times New Roman"/>
          <w:sz w:val="24"/>
        </w:rPr>
        <w:t>之信用風險評價調整</w:t>
      </w:r>
      <w:r w:rsidRPr="004D451D">
        <w:rPr>
          <w:rFonts w:ascii="Times New Roman" w:hAnsi="Times New Roman"/>
          <w:sz w:val="24"/>
        </w:rPr>
        <w:t>(CVA)</w:t>
      </w:r>
      <w:r w:rsidRPr="004D451D">
        <w:rPr>
          <w:rFonts w:ascii="Times New Roman" w:hAnsi="Times New Roman"/>
          <w:sz w:val="24"/>
        </w:rPr>
        <w:t>與</w:t>
      </w:r>
      <w:r w:rsidRPr="004D451D">
        <w:rPr>
          <w:rFonts w:ascii="Times New Roman" w:hAnsi="Times New Roman" w:hint="eastAsia"/>
          <w:sz w:val="24"/>
        </w:rPr>
        <w:t>【</w:t>
      </w:r>
      <w:r w:rsidRPr="004D451D">
        <w:rPr>
          <w:rFonts w:ascii="Times New Roman" w:hAnsi="Times New Roman"/>
          <w:sz w:val="24"/>
        </w:rPr>
        <w:t>附表三十</w:t>
      </w:r>
      <w:r w:rsidR="00430298" w:rsidRPr="004D451D">
        <w:rPr>
          <w:rFonts w:ascii="Times New Roman" w:hAnsi="Times New Roman" w:hint="eastAsia"/>
          <w:sz w:val="24"/>
        </w:rPr>
        <w:t>五</w:t>
      </w:r>
      <w:r w:rsidRPr="004D451D">
        <w:rPr>
          <w:rFonts w:ascii="Times New Roman" w:hAnsi="Times New Roman" w:hint="eastAsia"/>
          <w:sz w:val="24"/>
        </w:rPr>
        <w:t>】</w:t>
      </w:r>
      <w:r w:rsidRPr="004D451D">
        <w:rPr>
          <w:rFonts w:ascii="Times New Roman" w:hAnsi="Times New Roman"/>
          <w:sz w:val="24"/>
        </w:rPr>
        <w:t>集中結算交易對手</w:t>
      </w:r>
      <w:r w:rsidRPr="004D451D">
        <w:rPr>
          <w:rFonts w:ascii="Times New Roman" w:hAnsi="Times New Roman"/>
          <w:sz w:val="24"/>
        </w:rPr>
        <w:t>(CCP)</w:t>
      </w:r>
      <w:r w:rsidRPr="004D451D">
        <w:rPr>
          <w:rFonts w:ascii="Times New Roman" w:hAnsi="Times New Roman"/>
          <w:sz w:val="24"/>
        </w:rPr>
        <w:t>暴險，故「交易對手信用風險」之風險性資產與最低資本要求金額不等於「標準法</w:t>
      </w:r>
      <w:r w:rsidRPr="004D451D">
        <w:rPr>
          <w:rFonts w:ascii="Times New Roman" w:hAnsi="Times New Roman"/>
          <w:sz w:val="24"/>
        </w:rPr>
        <w:t>(SA-CCR)</w:t>
      </w:r>
      <w:r w:rsidRPr="004D451D">
        <w:rPr>
          <w:rFonts w:ascii="Times New Roman" w:hAnsi="Times New Roman"/>
          <w:sz w:val="24"/>
        </w:rPr>
        <w:t>」與「內部模型法</w:t>
      </w:r>
      <w:r w:rsidRPr="004D451D">
        <w:rPr>
          <w:rFonts w:ascii="Times New Roman" w:hAnsi="Times New Roman"/>
          <w:sz w:val="24"/>
        </w:rPr>
        <w:t>(IMM)</w:t>
      </w:r>
      <w:r w:rsidRPr="004D451D">
        <w:rPr>
          <w:rFonts w:ascii="Times New Roman" w:hAnsi="Times New Roman"/>
          <w:sz w:val="24"/>
        </w:rPr>
        <w:t>」之加總。</w:t>
      </w:r>
    </w:p>
    <w:p w:rsidR="009D3066" w:rsidRPr="004D451D"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本表第五列之填報內容，於標準法</w:t>
      </w:r>
      <w:r w:rsidRPr="004D451D">
        <w:rPr>
          <w:rFonts w:ascii="Times New Roman" w:hAnsi="Times New Roman"/>
          <w:sz w:val="24"/>
        </w:rPr>
        <w:t>(SA-CCR)</w:t>
      </w:r>
      <w:r w:rsidRPr="004D451D">
        <w:rPr>
          <w:rFonts w:ascii="Times New Roman" w:hAnsi="Times New Roman"/>
          <w:sz w:val="24"/>
        </w:rPr>
        <w:t>實施前，請依當期暴險額法</w:t>
      </w:r>
      <w:r w:rsidRPr="004D451D">
        <w:rPr>
          <w:rFonts w:ascii="Times New Roman" w:hAnsi="Times New Roman"/>
          <w:sz w:val="24"/>
        </w:rPr>
        <w:t>(CEM)</w:t>
      </w:r>
      <w:r w:rsidRPr="004D451D">
        <w:rPr>
          <w:rFonts w:ascii="Times New Roman" w:hAnsi="Times New Roman"/>
          <w:sz w:val="24"/>
        </w:rPr>
        <w:t>或標準法</w:t>
      </w:r>
      <w:r w:rsidRPr="004D451D">
        <w:rPr>
          <w:rFonts w:ascii="Times New Roman" w:hAnsi="Times New Roman"/>
          <w:sz w:val="24"/>
        </w:rPr>
        <w:t>(SM)</w:t>
      </w:r>
      <w:r w:rsidRPr="004D451D">
        <w:rPr>
          <w:rFonts w:ascii="Times New Roman" w:hAnsi="Times New Roman"/>
          <w:sz w:val="24"/>
        </w:rPr>
        <w:t>之規定填報。</w:t>
      </w:r>
    </w:p>
    <w:p w:rsidR="009D3066" w:rsidRPr="004D451D" w:rsidRDefault="00A04FAE"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hint="eastAsia"/>
          <w:sz w:val="24"/>
        </w:rPr>
        <w:t>基金股權投資資本計提相關規定實施前，本表第八至十列不適用，不需填列。</w:t>
      </w:r>
    </w:p>
    <w:p w:rsidR="00E06748" w:rsidRPr="004D451D" w:rsidRDefault="00E06748"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hint="eastAsia"/>
          <w:sz w:val="24"/>
        </w:rPr>
        <w:t>本表第十三列所指之內部評等法之評等基礎法</w:t>
      </w:r>
      <w:r w:rsidRPr="004D451D">
        <w:rPr>
          <w:rFonts w:ascii="Times New Roman" w:hAnsi="Times New Roman" w:hint="eastAsia"/>
          <w:sz w:val="24"/>
        </w:rPr>
        <w:t>(RBA)</w:t>
      </w:r>
      <w:r w:rsidRPr="004D451D">
        <w:rPr>
          <w:rFonts w:ascii="Times New Roman" w:hAnsi="Times New Roman" w:hint="eastAsia"/>
          <w:sz w:val="24"/>
        </w:rPr>
        <w:t>包含內部評等法之內部評估法</w:t>
      </w:r>
      <w:r w:rsidRPr="004D451D">
        <w:rPr>
          <w:rFonts w:ascii="Times New Roman" w:hAnsi="Times New Roman" w:hint="eastAsia"/>
          <w:sz w:val="24"/>
        </w:rPr>
        <w:t>(IAA)</w:t>
      </w:r>
      <w:r w:rsidRPr="004D451D">
        <w:rPr>
          <w:rFonts w:ascii="Times New Roman" w:hAnsi="Times New Roman" w:hint="eastAsia"/>
          <w:sz w:val="24"/>
        </w:rPr>
        <w:t>。</w:t>
      </w:r>
    </w:p>
    <w:p w:rsidR="009D3066" w:rsidRPr="004D451D"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本表第十六列所指之市場風險應填載範圍，包含交易簿之證券化但排除交易對手信用風險之資本計提部位。</w:t>
      </w:r>
    </w:p>
    <w:p w:rsidR="009D3066" w:rsidRPr="004D451D"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本表第二十三列所指之扣除門檻內之金額</w:t>
      </w:r>
      <w:r w:rsidRPr="004D451D">
        <w:rPr>
          <w:rFonts w:ascii="Times New Roman" w:hAnsi="Times New Roman"/>
          <w:sz w:val="24"/>
        </w:rPr>
        <w:t>(</w:t>
      </w:r>
      <w:r w:rsidRPr="004D451D">
        <w:rPr>
          <w:rFonts w:ascii="Times New Roman" w:hAnsi="Times New Roman"/>
          <w:sz w:val="24"/>
        </w:rPr>
        <w:t>適用風險權數</w:t>
      </w:r>
      <w:r w:rsidRPr="004D451D">
        <w:rPr>
          <w:rFonts w:ascii="Times New Roman" w:hAnsi="Times New Roman"/>
          <w:sz w:val="24"/>
        </w:rPr>
        <w:t>250%)</w:t>
      </w:r>
      <w:r w:rsidRPr="004D451D">
        <w:rPr>
          <w:rFonts w:ascii="Times New Roman" w:hAnsi="Times New Roman"/>
          <w:sz w:val="24"/>
        </w:rPr>
        <w:t>，其金額之計算包含暫時性差異產生之遞延所得稅資產未超限數，於門檻下適用風險權數</w:t>
      </w:r>
      <w:r w:rsidRPr="004D451D">
        <w:rPr>
          <w:rFonts w:ascii="Times New Roman" w:hAnsi="Times New Roman"/>
          <w:sz w:val="24"/>
        </w:rPr>
        <w:t>250%</w:t>
      </w:r>
      <w:r w:rsidRPr="004D451D">
        <w:rPr>
          <w:rFonts w:ascii="Times New Roman" w:hAnsi="Times New Roman"/>
          <w:sz w:val="24"/>
        </w:rPr>
        <w:t>之金額。</w:t>
      </w:r>
    </w:p>
    <w:p w:rsidR="009D3066" w:rsidRPr="004D451D" w:rsidRDefault="009D3066" w:rsidP="00482E54">
      <w:pPr>
        <w:pStyle w:val="ad"/>
        <w:numPr>
          <w:ilvl w:val="0"/>
          <w:numId w:val="20"/>
        </w:numPr>
        <w:spacing w:line="240" w:lineRule="atLeast"/>
        <w:ind w:leftChars="250" w:left="1080" w:rightChars="-10" w:right="-24" w:hangingChars="200" w:hanging="480"/>
        <w:jc w:val="both"/>
        <w:rPr>
          <w:rFonts w:ascii="Times New Roman" w:hAnsi="Times New Roman"/>
          <w:sz w:val="24"/>
        </w:rPr>
      </w:pPr>
      <w:r w:rsidRPr="004D451D">
        <w:rPr>
          <w:rFonts w:ascii="Times New Roman" w:hAnsi="Times New Roman"/>
          <w:sz w:val="24"/>
        </w:rPr>
        <w:t>本表第二十四列所指之下限之調整，係揭露風險性資產總額因第一支柱下限所做之調整</w:t>
      </w:r>
      <w:r w:rsidRPr="004D451D">
        <w:rPr>
          <w:rFonts w:ascii="Times New Roman" w:hAnsi="Times New Roman"/>
          <w:sz w:val="24"/>
        </w:rPr>
        <w:t>(</w:t>
      </w:r>
      <w:r w:rsidRPr="004D451D">
        <w:rPr>
          <w:rFonts w:ascii="Times New Roman" w:hAnsi="Times New Roman"/>
          <w:sz w:val="24"/>
        </w:rPr>
        <w:t>如</w:t>
      </w:r>
      <w:r w:rsidRPr="004D451D">
        <w:rPr>
          <w:rFonts w:ascii="Times New Roman" w:hAnsi="Times New Roman" w:hint="eastAsia"/>
          <w:sz w:val="24"/>
        </w:rPr>
        <w:t>：</w:t>
      </w:r>
      <w:r w:rsidRPr="004D451D">
        <w:rPr>
          <w:rFonts w:ascii="Times New Roman" w:hAnsi="Times New Roman"/>
          <w:sz w:val="24"/>
        </w:rPr>
        <w:t>銀行採用內部評等法</w:t>
      </w:r>
      <w:r w:rsidRPr="004D451D">
        <w:rPr>
          <w:rFonts w:ascii="Times New Roman" w:hAnsi="Times New Roman"/>
          <w:sz w:val="24"/>
        </w:rPr>
        <w:t>(IRB)</w:t>
      </w:r>
      <w:r w:rsidRPr="004D451D">
        <w:rPr>
          <w:rFonts w:ascii="Times New Roman" w:hAnsi="Times New Roman"/>
          <w:sz w:val="24"/>
        </w:rPr>
        <w:t>初期，須依資本底限與調整因子計算者</w:t>
      </w:r>
      <w:r w:rsidRPr="004D451D">
        <w:rPr>
          <w:rFonts w:ascii="Times New Roman" w:hAnsi="Times New Roman"/>
          <w:sz w:val="24"/>
        </w:rPr>
        <w:t>)</w:t>
      </w:r>
      <w:r w:rsidRPr="004D451D">
        <w:rPr>
          <w:rFonts w:ascii="Times New Roman" w:hAnsi="Times New Roman"/>
          <w:sz w:val="24"/>
        </w:rPr>
        <w:t>。</w:t>
      </w:r>
    </w:p>
    <w:p w:rsidR="00B0705C" w:rsidRPr="004D451D" w:rsidRDefault="00B0705C" w:rsidP="009D3066">
      <w:pPr>
        <w:pStyle w:val="ad"/>
        <w:spacing w:line="240" w:lineRule="auto"/>
        <w:ind w:left="0" w:right="555" w:firstLine="0"/>
        <w:rPr>
          <w:rFonts w:ascii="Times New Roman" w:hAnsi="Times New Roman"/>
          <w:sz w:val="24"/>
        </w:rPr>
      </w:pPr>
    </w:p>
    <w:p w:rsidR="00B0705C" w:rsidRPr="004D451D" w:rsidRDefault="00B0705C" w:rsidP="00B0705C">
      <w:pPr>
        <w:spacing w:line="360" w:lineRule="auto"/>
        <w:ind w:left="180" w:hangingChars="75" w:hanging="180"/>
        <w:rPr>
          <w:rFonts w:eastAsia="標楷體"/>
          <w:b/>
        </w:rPr>
      </w:pPr>
      <w:r w:rsidRPr="004D451D">
        <w:rPr>
          <w:rFonts w:eastAsia="標楷體"/>
          <w:b/>
        </w:rPr>
        <w:t>本表檢核條件：</w:t>
      </w:r>
    </w:p>
    <w:p w:rsidR="004D0B05" w:rsidRPr="004D451D" w:rsidRDefault="004D0B05" w:rsidP="00EF4134">
      <w:pPr>
        <w:numPr>
          <w:ilvl w:val="0"/>
          <w:numId w:val="28"/>
        </w:numPr>
        <w:ind w:leftChars="150" w:left="720" w:hangingChars="150"/>
        <w:rPr>
          <w:rFonts w:eastAsia="標楷體"/>
        </w:rPr>
      </w:pPr>
      <w:r w:rsidRPr="004D451D">
        <w:rPr>
          <w:rFonts w:eastAsia="標楷體"/>
        </w:rPr>
        <w:t>【附表</w:t>
      </w:r>
      <w:r w:rsidR="00430298" w:rsidRPr="004D451D">
        <w:rPr>
          <w:rFonts w:eastAsia="標楷體" w:hint="eastAsia"/>
        </w:rPr>
        <w:t>九</w:t>
      </w:r>
      <w:r w:rsidR="00AC641F" w:rsidRPr="004D451D">
        <w:rPr>
          <w:rFonts w:eastAsia="標楷體" w:hint="eastAsia"/>
        </w:rPr>
        <w:t>之一</w:t>
      </w:r>
      <w:r w:rsidRPr="004D451D">
        <w:rPr>
          <w:rFonts w:eastAsia="標楷體"/>
        </w:rPr>
        <w:t>】</w:t>
      </w:r>
      <w:r w:rsidRPr="004D451D">
        <w:rPr>
          <w:rFonts w:eastAsia="標楷體"/>
        </w:rPr>
        <w:t>25</w:t>
      </w:r>
      <w:r w:rsidR="009D3066" w:rsidRPr="004D451D">
        <w:rPr>
          <w:rFonts w:eastAsia="標楷體" w:hint="eastAsia"/>
        </w:rPr>
        <w:t>A</w:t>
      </w:r>
      <w:r w:rsidRPr="004D451D">
        <w:rPr>
          <w:rFonts w:eastAsia="標楷體"/>
        </w:rPr>
        <w:t>=</w:t>
      </w:r>
      <w:r w:rsidRPr="004D451D">
        <w:rPr>
          <w:rFonts w:eastAsia="標楷體"/>
        </w:rPr>
        <w:t>【附表</w:t>
      </w:r>
      <w:r w:rsidR="00430298" w:rsidRPr="004D451D">
        <w:rPr>
          <w:rFonts w:eastAsia="標楷體" w:hint="eastAsia"/>
        </w:rPr>
        <w:t>九</w:t>
      </w:r>
      <w:r w:rsidR="00AC641F" w:rsidRPr="004D451D">
        <w:rPr>
          <w:rFonts w:eastAsia="標楷體" w:hint="eastAsia"/>
        </w:rPr>
        <w:t>之一</w:t>
      </w:r>
      <w:r w:rsidRPr="004D451D">
        <w:rPr>
          <w:rFonts w:eastAsia="標楷體"/>
        </w:rPr>
        <w:t>】</w:t>
      </w:r>
      <w:r w:rsidRPr="004D451D">
        <w:rPr>
          <w:rFonts w:eastAsia="標楷體"/>
        </w:rPr>
        <w:t>(1+4+7+8+9+10+11+12+16+19+23+24)</w:t>
      </w:r>
      <w:r w:rsidR="009D3066" w:rsidRPr="004D451D">
        <w:rPr>
          <w:rFonts w:eastAsia="標楷體" w:hint="eastAsia"/>
        </w:rPr>
        <w:t>A</w:t>
      </w:r>
    </w:p>
    <w:p w:rsidR="00951B2A" w:rsidRPr="004D451D" w:rsidRDefault="00951B2A" w:rsidP="00EF4134">
      <w:pPr>
        <w:numPr>
          <w:ilvl w:val="0"/>
          <w:numId w:val="28"/>
        </w:numPr>
        <w:ind w:leftChars="150" w:left="720" w:hangingChars="150"/>
        <w:rPr>
          <w:rFonts w:eastAsia="標楷體"/>
        </w:rPr>
      </w:pPr>
      <w:r w:rsidRPr="004D451D">
        <w:rPr>
          <w:rFonts w:eastAsia="標楷體"/>
        </w:rPr>
        <w:t>【附表</w:t>
      </w:r>
      <w:r w:rsidR="00430298" w:rsidRPr="004D451D">
        <w:rPr>
          <w:rFonts w:eastAsia="標楷體" w:hint="eastAsia"/>
        </w:rPr>
        <w:t>九</w:t>
      </w:r>
      <w:r w:rsidR="00AC641F" w:rsidRPr="004D451D">
        <w:rPr>
          <w:rFonts w:eastAsia="標楷體" w:hint="eastAsia"/>
        </w:rPr>
        <w:t>之一</w:t>
      </w:r>
      <w:r w:rsidRPr="004D451D">
        <w:rPr>
          <w:rFonts w:eastAsia="標楷體"/>
        </w:rPr>
        <w:t>】</w:t>
      </w:r>
      <w:r w:rsidRPr="004D451D">
        <w:rPr>
          <w:rFonts w:eastAsia="標楷體"/>
        </w:rPr>
        <w:t>25</w:t>
      </w:r>
      <w:r w:rsidRPr="004D451D">
        <w:rPr>
          <w:rFonts w:eastAsia="標楷體" w:hint="eastAsia"/>
        </w:rPr>
        <w:t>B</w:t>
      </w:r>
      <w:r w:rsidRPr="004D451D">
        <w:rPr>
          <w:rFonts w:eastAsia="標楷體"/>
        </w:rPr>
        <w:t>=</w:t>
      </w:r>
      <w:r w:rsidRPr="004D451D">
        <w:rPr>
          <w:rFonts w:eastAsia="標楷體"/>
        </w:rPr>
        <w:t>【附表</w:t>
      </w:r>
      <w:r w:rsidR="00430298" w:rsidRPr="004D451D">
        <w:rPr>
          <w:rFonts w:eastAsia="標楷體" w:hint="eastAsia"/>
        </w:rPr>
        <w:t>九</w:t>
      </w:r>
      <w:r w:rsidR="00AC641F" w:rsidRPr="004D451D">
        <w:rPr>
          <w:rFonts w:eastAsia="標楷體" w:hint="eastAsia"/>
        </w:rPr>
        <w:t>之一</w:t>
      </w:r>
      <w:r w:rsidRPr="004D451D">
        <w:rPr>
          <w:rFonts w:eastAsia="標楷體"/>
        </w:rPr>
        <w:t>】</w:t>
      </w:r>
      <w:r w:rsidRPr="004D451D">
        <w:rPr>
          <w:rFonts w:eastAsia="標楷體"/>
        </w:rPr>
        <w:t>(1+4+7+8+9+10+11+12+16+19+23+24)</w:t>
      </w:r>
      <w:r w:rsidRPr="004D451D">
        <w:rPr>
          <w:rFonts w:eastAsia="標楷體" w:hint="eastAsia"/>
        </w:rPr>
        <w:t>B</w:t>
      </w:r>
    </w:p>
    <w:p w:rsidR="00951B2A" w:rsidRPr="004D451D" w:rsidRDefault="00951B2A" w:rsidP="00EF4134">
      <w:pPr>
        <w:numPr>
          <w:ilvl w:val="0"/>
          <w:numId w:val="28"/>
        </w:numPr>
        <w:ind w:leftChars="150" w:left="720" w:hangingChars="150"/>
        <w:rPr>
          <w:rFonts w:eastAsia="標楷體"/>
        </w:rPr>
      </w:pPr>
      <w:r w:rsidRPr="004D451D">
        <w:rPr>
          <w:rFonts w:eastAsia="標楷體"/>
        </w:rPr>
        <w:t>【附表</w:t>
      </w:r>
      <w:r w:rsidR="00430298" w:rsidRPr="004D451D">
        <w:rPr>
          <w:rFonts w:eastAsia="標楷體" w:hint="eastAsia"/>
        </w:rPr>
        <w:t>九</w:t>
      </w:r>
      <w:r w:rsidR="00AC641F" w:rsidRPr="004D451D">
        <w:rPr>
          <w:rFonts w:eastAsia="標楷體" w:hint="eastAsia"/>
        </w:rPr>
        <w:t>之一</w:t>
      </w:r>
      <w:r w:rsidRPr="004D451D">
        <w:rPr>
          <w:rFonts w:eastAsia="標楷體"/>
        </w:rPr>
        <w:t>】</w:t>
      </w:r>
      <w:r w:rsidRPr="004D451D">
        <w:rPr>
          <w:rFonts w:eastAsia="標楷體"/>
        </w:rPr>
        <w:t>25</w:t>
      </w:r>
      <w:r w:rsidRPr="004D451D">
        <w:rPr>
          <w:rFonts w:eastAsia="標楷體" w:hint="eastAsia"/>
        </w:rPr>
        <w:t>C</w:t>
      </w:r>
      <w:r w:rsidRPr="004D451D">
        <w:rPr>
          <w:rFonts w:eastAsia="標楷體"/>
        </w:rPr>
        <w:t>=</w:t>
      </w:r>
      <w:r w:rsidRPr="004D451D">
        <w:rPr>
          <w:rFonts w:eastAsia="標楷體"/>
        </w:rPr>
        <w:t>【附表</w:t>
      </w:r>
      <w:r w:rsidR="00430298" w:rsidRPr="004D451D">
        <w:rPr>
          <w:rFonts w:eastAsia="標楷體" w:hint="eastAsia"/>
        </w:rPr>
        <w:t>九</w:t>
      </w:r>
      <w:r w:rsidR="00AC641F" w:rsidRPr="004D451D">
        <w:rPr>
          <w:rFonts w:eastAsia="標楷體" w:hint="eastAsia"/>
        </w:rPr>
        <w:t>之一</w:t>
      </w:r>
      <w:r w:rsidRPr="004D451D">
        <w:rPr>
          <w:rFonts w:eastAsia="標楷體"/>
        </w:rPr>
        <w:t>】</w:t>
      </w:r>
      <w:r w:rsidRPr="004D451D">
        <w:rPr>
          <w:rFonts w:eastAsia="標楷體"/>
        </w:rPr>
        <w:t>(1+4+7+8+9+10+11+12+16+19+23+24)</w:t>
      </w:r>
      <w:r w:rsidRPr="004D451D">
        <w:rPr>
          <w:rFonts w:eastAsia="標楷體" w:hint="eastAsia"/>
        </w:rPr>
        <w:t>C</w:t>
      </w:r>
    </w:p>
    <w:p w:rsidR="00B0705C" w:rsidRPr="004D451D" w:rsidRDefault="00B0705C" w:rsidP="004F6663">
      <w:pPr>
        <w:pStyle w:val="ad"/>
        <w:spacing w:line="240" w:lineRule="auto"/>
        <w:ind w:left="360" w:right="555" w:hangingChars="150" w:hanging="360"/>
        <w:rPr>
          <w:rFonts w:ascii="Arial" w:hAnsi="Arial" w:cs="Arial"/>
          <w:sz w:val="24"/>
        </w:rPr>
      </w:pPr>
    </w:p>
    <w:p w:rsidR="00E03BBD" w:rsidRPr="004D451D" w:rsidRDefault="00E03BBD" w:rsidP="00B047B1">
      <w:pPr>
        <w:rPr>
          <w:rFonts w:eastAsia="標楷體"/>
          <w:b/>
          <w:sz w:val="32"/>
          <w:szCs w:val="32"/>
        </w:rPr>
      </w:pPr>
      <w:r w:rsidRPr="004D451D">
        <w:rPr>
          <w:rFonts w:ascii="Arial" w:eastAsia="標楷體" w:hAnsi="Arial" w:cs="Arial"/>
          <w:kern w:val="0"/>
        </w:rPr>
        <w:br w:type="page"/>
      </w:r>
      <w:r w:rsidRPr="004D451D">
        <w:rPr>
          <w:rFonts w:eastAsia="標楷體"/>
          <w:b/>
          <w:sz w:val="32"/>
          <w:szCs w:val="32"/>
        </w:rPr>
        <w:t>【附表</w:t>
      </w:r>
      <w:r w:rsidR="00430298" w:rsidRPr="004D451D">
        <w:rPr>
          <w:rFonts w:eastAsia="標楷體" w:hint="eastAsia"/>
          <w:b/>
          <w:sz w:val="32"/>
          <w:szCs w:val="32"/>
        </w:rPr>
        <w:t>十</w:t>
      </w:r>
      <w:r w:rsidRPr="004D451D">
        <w:rPr>
          <w:rFonts w:eastAsia="標楷體"/>
          <w:b/>
          <w:sz w:val="32"/>
          <w:szCs w:val="32"/>
        </w:rPr>
        <w:t>】</w:t>
      </w:r>
    </w:p>
    <w:p w:rsidR="00E03BBD" w:rsidRPr="004D451D" w:rsidRDefault="00E03BBD" w:rsidP="004F6663">
      <w:pPr>
        <w:pStyle w:val="ad"/>
        <w:tabs>
          <w:tab w:val="left" w:pos="9360"/>
        </w:tabs>
        <w:spacing w:line="240" w:lineRule="auto"/>
        <w:ind w:leftChars="221" w:left="530" w:right="28" w:firstLine="0"/>
        <w:jc w:val="center"/>
        <w:rPr>
          <w:rFonts w:ascii="Times New Roman" w:hAnsi="Times New Roman"/>
          <w:szCs w:val="32"/>
        </w:rPr>
      </w:pPr>
      <w:r w:rsidRPr="004D451D">
        <w:rPr>
          <w:rFonts w:ascii="Times New Roman" w:hAnsi="Times New Roman"/>
          <w:b/>
        </w:rPr>
        <w:t>會計帳務與法定資本計提範圍間之差異</w:t>
      </w:r>
    </w:p>
    <w:p w:rsidR="00E03BBD" w:rsidRPr="004D451D" w:rsidRDefault="00CE1A59" w:rsidP="00EB11E8">
      <w:pPr>
        <w:pStyle w:val="ad"/>
        <w:tabs>
          <w:tab w:val="left" w:pos="9360"/>
        </w:tabs>
        <w:spacing w:line="240" w:lineRule="auto"/>
        <w:ind w:leftChars="17" w:left="999" w:right="28"/>
        <w:jc w:val="right"/>
        <w:rPr>
          <w:rFonts w:ascii="Times New Roman" w:hAnsi="Times New Roman"/>
          <w:sz w:val="24"/>
        </w:rPr>
      </w:pPr>
      <w:r w:rsidRPr="004D451D">
        <w:rPr>
          <w:rFonts w:ascii="Times New Roman" w:hAnsi="Times New Roman" w:hint="eastAsia"/>
          <w:szCs w:val="32"/>
        </w:rPr>
        <w:t>10</w:t>
      </w:r>
      <w:r w:rsidR="001F240C" w:rsidRPr="004D451D">
        <w:rPr>
          <w:rFonts w:ascii="Times New Roman" w:hAnsi="Times New Roman" w:hint="eastAsia"/>
          <w:szCs w:val="32"/>
        </w:rPr>
        <w:t>7</w:t>
      </w:r>
      <w:r w:rsidR="00E03BBD" w:rsidRPr="004D451D">
        <w:rPr>
          <w:rFonts w:ascii="Times New Roman" w:hAnsi="Times New Roman"/>
          <w:szCs w:val="32"/>
        </w:rPr>
        <w:t>年</w:t>
      </w:r>
      <w:r w:rsidR="001F240C" w:rsidRPr="004D451D">
        <w:rPr>
          <w:rFonts w:ascii="Times New Roman" w:hAnsi="Times New Roman" w:hint="eastAsia"/>
          <w:szCs w:val="32"/>
        </w:rPr>
        <w:t>06</w:t>
      </w:r>
      <w:r w:rsidR="00E03BBD" w:rsidRPr="004D451D">
        <w:rPr>
          <w:rFonts w:ascii="Times New Roman" w:hAnsi="Times New Roman"/>
          <w:szCs w:val="32"/>
        </w:rPr>
        <w:t>月</w:t>
      </w:r>
      <w:r w:rsidRPr="004D451D">
        <w:rPr>
          <w:rFonts w:ascii="Times New Roman" w:hAnsi="Times New Roman" w:hint="eastAsia"/>
          <w:szCs w:val="32"/>
        </w:rPr>
        <w:t>3</w:t>
      </w:r>
      <w:r w:rsidR="001F240C" w:rsidRPr="004D451D">
        <w:rPr>
          <w:rFonts w:ascii="Times New Roman" w:hAnsi="Times New Roman" w:hint="eastAsia"/>
          <w:szCs w:val="32"/>
        </w:rPr>
        <w:t>0</w:t>
      </w:r>
      <w:r w:rsidR="00E03BBD" w:rsidRPr="004D451D">
        <w:rPr>
          <w:rFonts w:ascii="Times New Roman" w:hAnsi="Times New Roman"/>
          <w:szCs w:val="32"/>
        </w:rPr>
        <w:t>日</w:t>
      </w:r>
      <w:r w:rsidR="00EB11E8" w:rsidRPr="004D451D">
        <w:rPr>
          <w:rFonts w:ascii="Times New Roman" w:hAnsi="Times New Roman" w:hint="eastAsia"/>
          <w:szCs w:val="32"/>
        </w:rPr>
        <w:t xml:space="preserve">　　　　</w:t>
      </w:r>
      <w:r w:rsidR="00531C88" w:rsidRPr="004D451D">
        <w:rPr>
          <w:rFonts w:ascii="Times New Roman" w:hAnsi="Times New Roman" w:hint="eastAsia"/>
          <w:sz w:val="24"/>
          <w:szCs w:val="32"/>
        </w:rPr>
        <w:t>（</w:t>
      </w:r>
      <w:r w:rsidR="00E03BBD" w:rsidRPr="004D451D">
        <w:rPr>
          <w:rFonts w:ascii="Times New Roman" w:hAnsi="Times New Roman"/>
          <w:sz w:val="24"/>
        </w:rPr>
        <w:t>單位：新臺幣千元</w:t>
      </w:r>
      <w:r w:rsidR="00531C88" w:rsidRPr="004D451D">
        <w:rPr>
          <w:rFonts w:ascii="Times New Roman" w:hAnsi="Times New Roman" w:hint="eastAsia"/>
          <w:sz w:val="24"/>
        </w:rPr>
        <w:t>）</w:t>
      </w:r>
    </w:p>
    <w:tbl>
      <w:tblPr>
        <w:tblW w:w="11341" w:type="dxa"/>
        <w:tblInd w:w="-823" w:type="dxa"/>
        <w:tblLayout w:type="fixed"/>
        <w:tblCellMar>
          <w:left w:w="28" w:type="dxa"/>
          <w:right w:w="28" w:type="dxa"/>
        </w:tblCellMar>
        <w:tblLook w:val="0000" w:firstRow="0" w:lastRow="0" w:firstColumn="0" w:lastColumn="0" w:noHBand="0" w:noVBand="0"/>
      </w:tblPr>
      <w:tblGrid>
        <w:gridCol w:w="462"/>
        <w:gridCol w:w="1987"/>
        <w:gridCol w:w="1521"/>
        <w:gridCol w:w="1417"/>
        <w:gridCol w:w="1418"/>
        <w:gridCol w:w="1276"/>
        <w:gridCol w:w="567"/>
        <w:gridCol w:w="1275"/>
        <w:gridCol w:w="1418"/>
      </w:tblGrid>
      <w:tr w:rsidR="004D451D" w:rsidRPr="004D451D" w:rsidTr="00AA110A">
        <w:trPr>
          <w:trHeight w:val="180"/>
          <w:tblHeader/>
        </w:trPr>
        <w:tc>
          <w:tcPr>
            <w:tcW w:w="2449" w:type="dxa"/>
            <w:gridSpan w:val="2"/>
            <w:vMerge w:val="restart"/>
            <w:tcBorders>
              <w:top w:val="single" w:sz="4" w:space="0" w:color="auto"/>
              <w:left w:val="single" w:sz="4" w:space="0" w:color="auto"/>
              <w:right w:val="single" w:sz="8" w:space="0" w:color="auto"/>
            </w:tcBorders>
            <w:vAlign w:val="center"/>
          </w:tcPr>
          <w:p w:rsidR="00036C80" w:rsidRPr="004D451D" w:rsidRDefault="00036C80" w:rsidP="00036C80">
            <w:pPr>
              <w:widowControl/>
              <w:jc w:val="center"/>
              <w:rPr>
                <w:rFonts w:eastAsia="標楷體"/>
                <w:kern w:val="0"/>
              </w:rPr>
            </w:pPr>
            <w:r w:rsidRPr="004D451D">
              <w:rPr>
                <w:rFonts w:eastAsia="標楷體"/>
                <w:kern w:val="0"/>
              </w:rPr>
              <w:t>項目</w:t>
            </w:r>
          </w:p>
        </w:tc>
        <w:tc>
          <w:tcPr>
            <w:tcW w:w="1521" w:type="dxa"/>
            <w:vMerge w:val="restart"/>
            <w:tcBorders>
              <w:top w:val="single" w:sz="4" w:space="0" w:color="auto"/>
              <w:left w:val="single" w:sz="8" w:space="0" w:color="auto"/>
              <w:bottom w:val="single" w:sz="8" w:space="0" w:color="000000"/>
              <w:right w:val="single" w:sz="8" w:space="0" w:color="auto"/>
            </w:tcBorders>
          </w:tcPr>
          <w:p w:rsidR="00036C80" w:rsidRPr="004D451D" w:rsidRDefault="00036C80" w:rsidP="007B2B07">
            <w:pPr>
              <w:widowControl/>
              <w:jc w:val="center"/>
              <w:rPr>
                <w:rFonts w:eastAsia="標楷體"/>
                <w:kern w:val="0"/>
              </w:rPr>
            </w:pPr>
            <w:r w:rsidRPr="004D451D">
              <w:rPr>
                <w:rFonts w:eastAsia="標楷體"/>
                <w:kern w:val="0"/>
              </w:rPr>
              <w:t>財務報表之帳面價值</w:t>
            </w:r>
          </w:p>
        </w:tc>
        <w:tc>
          <w:tcPr>
            <w:tcW w:w="1417" w:type="dxa"/>
            <w:vMerge w:val="restart"/>
            <w:tcBorders>
              <w:top w:val="single" w:sz="4" w:space="0" w:color="auto"/>
              <w:left w:val="single" w:sz="8" w:space="0" w:color="auto"/>
              <w:bottom w:val="single" w:sz="8" w:space="0" w:color="000000"/>
              <w:right w:val="single" w:sz="8" w:space="0" w:color="auto"/>
            </w:tcBorders>
          </w:tcPr>
          <w:p w:rsidR="00036C80" w:rsidRPr="004D451D" w:rsidRDefault="00036C80" w:rsidP="007B2B07">
            <w:pPr>
              <w:widowControl/>
              <w:jc w:val="center"/>
              <w:rPr>
                <w:rFonts w:eastAsia="標楷體"/>
                <w:kern w:val="0"/>
              </w:rPr>
            </w:pPr>
            <w:r w:rsidRPr="004D451D">
              <w:rPr>
                <w:rFonts w:eastAsia="標楷體"/>
                <w:kern w:val="0"/>
              </w:rPr>
              <w:t>納入法定資本計提範圍之帳面價值</w:t>
            </w:r>
          </w:p>
        </w:tc>
        <w:tc>
          <w:tcPr>
            <w:tcW w:w="5954" w:type="dxa"/>
            <w:gridSpan w:val="5"/>
            <w:tcBorders>
              <w:top w:val="single" w:sz="4" w:space="0" w:color="auto"/>
              <w:left w:val="nil"/>
              <w:bottom w:val="single" w:sz="8" w:space="0" w:color="auto"/>
              <w:right w:val="single" w:sz="4" w:space="0" w:color="auto"/>
            </w:tcBorders>
          </w:tcPr>
          <w:p w:rsidR="00036C80" w:rsidRPr="004D451D" w:rsidRDefault="00036C80" w:rsidP="007B2B07">
            <w:pPr>
              <w:widowControl/>
              <w:jc w:val="center"/>
              <w:rPr>
                <w:rFonts w:eastAsia="標楷體"/>
                <w:kern w:val="0"/>
              </w:rPr>
            </w:pPr>
            <w:r w:rsidRPr="004D451D">
              <w:rPr>
                <w:rFonts w:eastAsia="標楷體"/>
                <w:kern w:val="0"/>
              </w:rPr>
              <w:t>各項目之帳面價值</w:t>
            </w:r>
          </w:p>
        </w:tc>
      </w:tr>
      <w:tr w:rsidR="004D451D" w:rsidRPr="004D451D" w:rsidTr="00AA110A">
        <w:trPr>
          <w:trHeight w:val="456"/>
          <w:tblHeader/>
        </w:trPr>
        <w:tc>
          <w:tcPr>
            <w:tcW w:w="2449" w:type="dxa"/>
            <w:gridSpan w:val="2"/>
            <w:vMerge/>
            <w:tcBorders>
              <w:left w:val="single" w:sz="4" w:space="0" w:color="auto"/>
              <w:bottom w:val="single" w:sz="4" w:space="0" w:color="auto"/>
              <w:right w:val="single" w:sz="8" w:space="0" w:color="auto"/>
            </w:tcBorders>
          </w:tcPr>
          <w:p w:rsidR="00036C80" w:rsidRPr="004D451D" w:rsidRDefault="00036C80" w:rsidP="00D81DDA">
            <w:pPr>
              <w:widowControl/>
              <w:rPr>
                <w:rFonts w:eastAsia="標楷體"/>
                <w:kern w:val="0"/>
              </w:rPr>
            </w:pPr>
          </w:p>
        </w:tc>
        <w:tc>
          <w:tcPr>
            <w:tcW w:w="1521" w:type="dxa"/>
            <w:vMerge/>
            <w:tcBorders>
              <w:top w:val="nil"/>
              <w:left w:val="single" w:sz="8" w:space="0" w:color="auto"/>
              <w:bottom w:val="single" w:sz="4" w:space="0" w:color="auto"/>
              <w:right w:val="single" w:sz="8" w:space="0" w:color="auto"/>
            </w:tcBorders>
            <w:vAlign w:val="center"/>
          </w:tcPr>
          <w:p w:rsidR="00036C80" w:rsidRPr="004D451D" w:rsidRDefault="00036C80" w:rsidP="007B2B07">
            <w:pPr>
              <w:widowControl/>
              <w:jc w:val="center"/>
              <w:rPr>
                <w:rFonts w:eastAsia="標楷體"/>
                <w:kern w:val="0"/>
              </w:rPr>
            </w:pPr>
          </w:p>
        </w:tc>
        <w:tc>
          <w:tcPr>
            <w:tcW w:w="1417" w:type="dxa"/>
            <w:vMerge/>
            <w:tcBorders>
              <w:top w:val="nil"/>
              <w:left w:val="single" w:sz="8" w:space="0" w:color="auto"/>
              <w:bottom w:val="single" w:sz="4" w:space="0" w:color="auto"/>
              <w:right w:val="single" w:sz="8" w:space="0" w:color="auto"/>
            </w:tcBorders>
            <w:vAlign w:val="center"/>
          </w:tcPr>
          <w:p w:rsidR="00036C80" w:rsidRPr="004D451D" w:rsidRDefault="00036C80" w:rsidP="007B2B07">
            <w:pPr>
              <w:widowControl/>
              <w:jc w:val="center"/>
              <w:rPr>
                <w:rFonts w:eastAsia="標楷體"/>
                <w:kern w:val="0"/>
              </w:rPr>
            </w:pPr>
          </w:p>
        </w:tc>
        <w:tc>
          <w:tcPr>
            <w:tcW w:w="1418" w:type="dxa"/>
            <w:tcBorders>
              <w:top w:val="nil"/>
              <w:left w:val="nil"/>
              <w:bottom w:val="single" w:sz="4" w:space="0" w:color="auto"/>
              <w:right w:val="single" w:sz="8" w:space="0" w:color="auto"/>
            </w:tcBorders>
          </w:tcPr>
          <w:p w:rsidR="00036C80" w:rsidRPr="004D451D" w:rsidRDefault="00036C80" w:rsidP="007B2B07">
            <w:pPr>
              <w:widowControl/>
              <w:jc w:val="center"/>
              <w:rPr>
                <w:rFonts w:eastAsia="標楷體"/>
                <w:kern w:val="0"/>
              </w:rPr>
            </w:pPr>
            <w:r w:rsidRPr="004D451D">
              <w:rPr>
                <w:rFonts w:eastAsia="標楷體"/>
                <w:kern w:val="0"/>
              </w:rPr>
              <w:t>信用風險架構</w:t>
            </w:r>
            <w:r w:rsidRPr="004D451D">
              <w:rPr>
                <w:rFonts w:eastAsia="標楷體" w:hint="eastAsia"/>
                <w:kern w:val="0"/>
              </w:rPr>
              <w:t>A</w:t>
            </w:r>
          </w:p>
        </w:tc>
        <w:tc>
          <w:tcPr>
            <w:tcW w:w="1276" w:type="dxa"/>
            <w:tcBorders>
              <w:top w:val="nil"/>
              <w:left w:val="nil"/>
              <w:bottom w:val="single" w:sz="4" w:space="0" w:color="auto"/>
              <w:right w:val="single" w:sz="8" w:space="0" w:color="auto"/>
            </w:tcBorders>
          </w:tcPr>
          <w:p w:rsidR="00036C80" w:rsidRPr="004D451D" w:rsidRDefault="00036C80" w:rsidP="007B2B07">
            <w:pPr>
              <w:widowControl/>
              <w:jc w:val="center"/>
              <w:rPr>
                <w:rFonts w:eastAsia="標楷體"/>
                <w:kern w:val="0"/>
              </w:rPr>
            </w:pPr>
            <w:r w:rsidRPr="004D451D">
              <w:rPr>
                <w:rFonts w:eastAsia="標楷體"/>
                <w:kern w:val="0"/>
              </w:rPr>
              <w:t>交易對手信用風險架構</w:t>
            </w:r>
            <w:r w:rsidRPr="004D451D">
              <w:rPr>
                <w:rFonts w:eastAsia="標楷體" w:hint="eastAsia"/>
                <w:kern w:val="0"/>
              </w:rPr>
              <w:t>B</w:t>
            </w:r>
          </w:p>
        </w:tc>
        <w:tc>
          <w:tcPr>
            <w:tcW w:w="567" w:type="dxa"/>
            <w:tcBorders>
              <w:top w:val="nil"/>
              <w:left w:val="nil"/>
              <w:bottom w:val="single" w:sz="4" w:space="0" w:color="auto"/>
              <w:right w:val="single" w:sz="8" w:space="0" w:color="auto"/>
            </w:tcBorders>
          </w:tcPr>
          <w:p w:rsidR="00036C80" w:rsidRPr="004D451D" w:rsidRDefault="00036C80" w:rsidP="007B2B07">
            <w:pPr>
              <w:widowControl/>
              <w:jc w:val="center"/>
              <w:rPr>
                <w:rFonts w:eastAsia="標楷體"/>
                <w:kern w:val="0"/>
              </w:rPr>
            </w:pPr>
            <w:r w:rsidRPr="004D451D">
              <w:rPr>
                <w:rFonts w:eastAsia="標楷體"/>
                <w:kern w:val="0"/>
              </w:rPr>
              <w:t>證券化架構</w:t>
            </w:r>
            <w:r w:rsidRPr="004D451D">
              <w:rPr>
                <w:rFonts w:eastAsia="標楷體" w:hint="eastAsia"/>
                <w:kern w:val="0"/>
              </w:rPr>
              <w:t>C</w:t>
            </w:r>
          </w:p>
        </w:tc>
        <w:tc>
          <w:tcPr>
            <w:tcW w:w="1275" w:type="dxa"/>
            <w:tcBorders>
              <w:top w:val="nil"/>
              <w:left w:val="nil"/>
              <w:bottom w:val="single" w:sz="4" w:space="0" w:color="auto"/>
              <w:right w:val="single" w:sz="8" w:space="0" w:color="auto"/>
            </w:tcBorders>
          </w:tcPr>
          <w:p w:rsidR="00036C80" w:rsidRPr="004D451D" w:rsidRDefault="00036C80" w:rsidP="007B2B07">
            <w:pPr>
              <w:widowControl/>
              <w:jc w:val="center"/>
              <w:rPr>
                <w:rFonts w:eastAsia="標楷體"/>
                <w:kern w:val="0"/>
              </w:rPr>
            </w:pPr>
            <w:r w:rsidRPr="004D451D">
              <w:rPr>
                <w:rFonts w:eastAsia="標楷體"/>
                <w:kern w:val="0"/>
              </w:rPr>
              <w:t>市場風險架構</w:t>
            </w:r>
            <w:r w:rsidRPr="004D451D">
              <w:rPr>
                <w:rFonts w:eastAsia="標楷體" w:hint="eastAsia"/>
                <w:kern w:val="0"/>
              </w:rPr>
              <w:t>D</w:t>
            </w:r>
          </w:p>
        </w:tc>
        <w:tc>
          <w:tcPr>
            <w:tcW w:w="1418" w:type="dxa"/>
            <w:tcBorders>
              <w:top w:val="nil"/>
              <w:left w:val="nil"/>
              <w:bottom w:val="single" w:sz="4" w:space="0" w:color="auto"/>
              <w:right w:val="single" w:sz="4" w:space="0" w:color="auto"/>
            </w:tcBorders>
          </w:tcPr>
          <w:p w:rsidR="00036C80" w:rsidRPr="004D451D" w:rsidRDefault="00036C80" w:rsidP="007B2B07">
            <w:pPr>
              <w:widowControl/>
              <w:jc w:val="center"/>
              <w:rPr>
                <w:rFonts w:eastAsia="標楷體"/>
                <w:kern w:val="0"/>
              </w:rPr>
            </w:pPr>
            <w:r w:rsidRPr="004D451D">
              <w:rPr>
                <w:rFonts w:eastAsia="標楷體"/>
                <w:kern w:val="0"/>
              </w:rPr>
              <w:t>非資本要求或資本調整項</w:t>
            </w:r>
            <w:r w:rsidRPr="004D451D">
              <w:rPr>
                <w:rFonts w:eastAsia="標楷體" w:hint="eastAsia"/>
                <w:kern w:val="0"/>
              </w:rPr>
              <w:t>E</w:t>
            </w:r>
          </w:p>
        </w:tc>
      </w:tr>
      <w:tr w:rsidR="004D451D" w:rsidRPr="004D451D" w:rsidTr="00AA110A">
        <w:trPr>
          <w:trHeight w:val="180"/>
        </w:trPr>
        <w:tc>
          <w:tcPr>
            <w:tcW w:w="11341" w:type="dxa"/>
            <w:gridSpan w:val="9"/>
            <w:tcBorders>
              <w:top w:val="single" w:sz="4" w:space="0" w:color="auto"/>
              <w:left w:val="single" w:sz="8" w:space="0" w:color="auto"/>
              <w:bottom w:val="single" w:sz="8" w:space="0" w:color="auto"/>
              <w:right w:val="single" w:sz="8" w:space="0" w:color="auto"/>
            </w:tcBorders>
            <w:shd w:val="clear" w:color="auto" w:fill="A6A6A6"/>
          </w:tcPr>
          <w:p w:rsidR="00FC41D9" w:rsidRPr="004D451D" w:rsidRDefault="00FC41D9" w:rsidP="00D81DDA">
            <w:pPr>
              <w:widowControl/>
              <w:jc w:val="both"/>
              <w:rPr>
                <w:rFonts w:eastAsia="標楷體"/>
                <w:kern w:val="0"/>
              </w:rPr>
            </w:pPr>
            <w:r w:rsidRPr="004D451D">
              <w:rPr>
                <w:rFonts w:eastAsia="標楷體"/>
                <w:b/>
                <w:bCs/>
                <w:kern w:val="0"/>
              </w:rPr>
              <w:t>資產</w:t>
            </w:r>
          </w:p>
        </w:tc>
      </w:tr>
      <w:tr w:rsidR="004D451D" w:rsidRPr="004D451D" w:rsidTr="001F240C">
        <w:trPr>
          <w:trHeight w:val="392"/>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現金及約當現金</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4,680,598</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4,680,598</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4,680,598</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584"/>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存放央行及拆借銀行同業</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10,571,028</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10,571,028</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10,571,028</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648"/>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透過損益按公允價值衡量之金融資產</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24,707,418</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24,707,418</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79,570</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24,617,122</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10,725</w:t>
            </w:r>
          </w:p>
        </w:tc>
      </w:tr>
      <w:tr w:rsidR="004D451D" w:rsidRPr="004D451D" w:rsidTr="001F240C">
        <w:trPr>
          <w:trHeight w:val="551"/>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4</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透過其他綜合損益按公允價值衡量之金融資產</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57,325,963</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57,325,963</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56,617,090</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121,200</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587,673</w:t>
            </w:r>
          </w:p>
        </w:tc>
      </w:tr>
      <w:tr w:rsidR="004D451D" w:rsidRPr="004D451D" w:rsidTr="001F240C">
        <w:trPr>
          <w:trHeight w:val="573"/>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5</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按攤銷後成本衡量之債務工具投資</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17,398,019</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17,398,019</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17,398,019</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360"/>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6</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避險之金融資產</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418"/>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kern w:val="0"/>
              </w:rPr>
              <w:t>7</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附賣回票券及債券投資</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72,004</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72,004</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72,004</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72,010</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364"/>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kern w:val="0"/>
              </w:rPr>
              <w:t>8</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應收款項</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1,086,737</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1,086,737</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1,044,381</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90,184</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-47,827</w:t>
            </w:r>
          </w:p>
        </w:tc>
      </w:tr>
      <w:tr w:rsidR="004D451D" w:rsidRPr="004D451D" w:rsidTr="001F240C">
        <w:trPr>
          <w:trHeight w:val="415"/>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kern w:val="0"/>
              </w:rPr>
              <w:t>9</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本期所得稅資產</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435"/>
        </w:trPr>
        <w:tc>
          <w:tcPr>
            <w:tcW w:w="462" w:type="dxa"/>
            <w:tcBorders>
              <w:top w:val="nil"/>
              <w:left w:val="single" w:sz="8"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kern w:val="0"/>
              </w:rPr>
              <w:t>10</w:t>
            </w:r>
          </w:p>
        </w:tc>
        <w:tc>
          <w:tcPr>
            <w:tcW w:w="1987" w:type="dxa"/>
            <w:tcBorders>
              <w:top w:val="nil"/>
              <w:left w:val="single" w:sz="8"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待出售資產</w:t>
            </w:r>
            <w:r w:rsidRPr="004D451D">
              <w:rPr>
                <w:rFonts w:eastAsia="標楷體"/>
                <w:kern w:val="0"/>
              </w:rPr>
              <w:t>-</w:t>
            </w:r>
            <w:r w:rsidRPr="004D451D">
              <w:rPr>
                <w:rFonts w:eastAsia="標楷體"/>
                <w:kern w:val="0"/>
              </w:rPr>
              <w:t>淨額</w:t>
            </w:r>
          </w:p>
        </w:tc>
        <w:tc>
          <w:tcPr>
            <w:tcW w:w="1521"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7"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6"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567"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275"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c>
          <w:tcPr>
            <w:tcW w:w="1418"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 xml:space="preserve">　</w:t>
            </w:r>
          </w:p>
        </w:tc>
      </w:tr>
      <w:tr w:rsidR="004D451D" w:rsidRPr="004D451D" w:rsidTr="001F240C">
        <w:trPr>
          <w:trHeight w:val="558"/>
        </w:trPr>
        <w:tc>
          <w:tcPr>
            <w:tcW w:w="462"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w:t>
            </w:r>
            <w:r w:rsidRPr="004D451D">
              <w:rPr>
                <w:rFonts w:eastAsia="標楷體"/>
                <w:kern w:val="0"/>
              </w:rPr>
              <w:t>1</w:t>
            </w:r>
          </w:p>
        </w:tc>
        <w:tc>
          <w:tcPr>
            <w:tcW w:w="1987"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待分配予業主之資產</w:t>
            </w:r>
            <w:r w:rsidRPr="004D451D">
              <w:rPr>
                <w:rFonts w:eastAsia="標楷體" w:hint="eastAsia"/>
                <w:kern w:val="0"/>
              </w:rPr>
              <w:t>-</w:t>
            </w:r>
            <w:r w:rsidRPr="004D451D">
              <w:rPr>
                <w:rFonts w:eastAsia="標楷體" w:hint="eastAsia"/>
                <w:kern w:val="0"/>
              </w:rPr>
              <w:t>淨額</w:t>
            </w:r>
            <w:r w:rsidRPr="004D451D">
              <w:rPr>
                <w:rFonts w:eastAsia="標楷體" w:hint="eastAsia"/>
                <w:kern w:val="0"/>
              </w:rPr>
              <w:t xml:space="preserve">         </w:t>
            </w:r>
          </w:p>
        </w:tc>
        <w:tc>
          <w:tcPr>
            <w:tcW w:w="1521"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507"/>
        </w:trPr>
        <w:tc>
          <w:tcPr>
            <w:tcW w:w="462"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kern w:val="0"/>
              </w:rPr>
              <w:t>12</w:t>
            </w:r>
          </w:p>
        </w:tc>
        <w:tc>
          <w:tcPr>
            <w:tcW w:w="1987"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貼現及放款</w:t>
            </w:r>
            <w:r w:rsidRPr="004D451D">
              <w:rPr>
                <w:rFonts w:eastAsia="標楷體"/>
                <w:kern w:val="0"/>
              </w:rPr>
              <w:t>-</w:t>
            </w:r>
            <w:r w:rsidRPr="004D451D">
              <w:rPr>
                <w:rFonts w:eastAsia="標楷體"/>
                <w:kern w:val="0"/>
              </w:rPr>
              <w:t>淨額</w:t>
            </w:r>
          </w:p>
        </w:tc>
        <w:tc>
          <w:tcPr>
            <w:tcW w:w="1521"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155,045,855</w:t>
            </w:r>
          </w:p>
        </w:tc>
        <w:tc>
          <w:tcPr>
            <w:tcW w:w="141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155,045,855</w:t>
            </w: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155,378,236</w:t>
            </w:r>
          </w:p>
        </w:tc>
        <w:tc>
          <w:tcPr>
            <w:tcW w:w="1276"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-332,382</w:t>
            </w:r>
          </w:p>
        </w:tc>
      </w:tr>
      <w:tr w:rsidR="004D451D" w:rsidRPr="004D451D" w:rsidTr="001F240C">
        <w:trPr>
          <w:trHeight w:val="458"/>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13</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採用權益法之投資</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1,176,492</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1,176,492</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1,176,492</w:t>
            </w:r>
          </w:p>
        </w:tc>
      </w:tr>
      <w:tr w:rsidR="004D451D" w:rsidRPr="004D451D" w:rsidTr="001F240C">
        <w:trPr>
          <w:trHeight w:val="428"/>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14</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受限制資產</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434"/>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15</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其他金融資產</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564</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564</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564</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433"/>
        </w:trPr>
        <w:tc>
          <w:tcPr>
            <w:tcW w:w="462" w:type="dxa"/>
            <w:tcBorders>
              <w:top w:val="nil"/>
              <w:left w:val="single" w:sz="8" w:space="0" w:color="auto"/>
              <w:bottom w:val="single" w:sz="8" w:space="0" w:color="auto"/>
              <w:right w:val="single" w:sz="8" w:space="0" w:color="auto"/>
            </w:tcBorders>
            <w:vAlign w:val="center"/>
          </w:tcPr>
          <w:p w:rsidR="001F240C" w:rsidRPr="004D451D" w:rsidDel="00205F39" w:rsidRDefault="001F240C" w:rsidP="001F240C">
            <w:pPr>
              <w:widowControl/>
              <w:jc w:val="center"/>
              <w:rPr>
                <w:rFonts w:eastAsia="標楷體"/>
                <w:kern w:val="0"/>
              </w:rPr>
            </w:pPr>
            <w:r w:rsidRPr="004D451D">
              <w:rPr>
                <w:rFonts w:eastAsia="標楷體" w:hint="eastAsia"/>
                <w:kern w:val="0"/>
              </w:rPr>
              <w:t>16</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不動產及設備</w:t>
            </w:r>
            <w:r w:rsidRPr="004D451D">
              <w:rPr>
                <w:rFonts w:eastAsia="標楷體" w:hint="eastAsia"/>
                <w:kern w:val="0"/>
              </w:rPr>
              <w:t>-</w:t>
            </w:r>
            <w:r w:rsidRPr="004D451D">
              <w:rPr>
                <w:rFonts w:eastAsia="標楷體" w:hint="eastAsia"/>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2,388,293</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2,388,293</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2,388,293</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358"/>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17</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投資性不動產</w:t>
            </w:r>
            <w:r w:rsidRPr="004D451D">
              <w:rPr>
                <w:rFonts w:eastAsia="標楷體" w:hint="eastAsia"/>
                <w:kern w:val="0"/>
              </w:rPr>
              <w:t>-</w:t>
            </w:r>
            <w:r w:rsidRPr="004D451D">
              <w:rPr>
                <w:rFonts w:eastAsia="標楷體" w:hint="eastAsia"/>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556"/>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18</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無形資產</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431"/>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19</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遞延所得稅資產</w:t>
            </w:r>
            <w:r w:rsidRPr="004D451D">
              <w:rPr>
                <w:rFonts w:eastAsia="標楷體"/>
                <w:kern w:val="0"/>
              </w:rPr>
              <w:t>-</w:t>
            </w:r>
            <w:r w:rsidRPr="004D451D">
              <w:rPr>
                <w:rFonts w:eastAsia="標楷體"/>
                <w:kern w:val="0"/>
              </w:rPr>
              <w:t>淨額</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287,606</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287,606</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287,606</w:t>
            </w: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292"/>
        </w:trPr>
        <w:tc>
          <w:tcPr>
            <w:tcW w:w="462" w:type="dxa"/>
            <w:tcBorders>
              <w:top w:val="nil"/>
              <w:left w:val="single" w:sz="8" w:space="0" w:color="auto"/>
              <w:bottom w:val="single" w:sz="4" w:space="0" w:color="auto"/>
              <w:right w:val="single" w:sz="8" w:space="0" w:color="auto"/>
            </w:tcBorders>
            <w:vAlign w:val="center"/>
          </w:tcPr>
          <w:p w:rsidR="001F240C" w:rsidRPr="004D451D" w:rsidRDefault="001F240C" w:rsidP="001F240C">
            <w:pPr>
              <w:widowControl/>
              <w:autoSpaceDE w:val="0"/>
              <w:autoSpaceDN w:val="0"/>
              <w:adjustRightInd w:val="0"/>
              <w:spacing w:after="50"/>
              <w:jc w:val="center"/>
              <w:rPr>
                <w:rFonts w:eastAsia="標楷體"/>
                <w:kern w:val="0"/>
              </w:rPr>
            </w:pPr>
            <w:r w:rsidRPr="004D451D">
              <w:rPr>
                <w:rFonts w:eastAsia="標楷體" w:hint="eastAsia"/>
                <w:kern w:val="0"/>
              </w:rPr>
              <w:t>20</w:t>
            </w:r>
          </w:p>
        </w:tc>
        <w:tc>
          <w:tcPr>
            <w:tcW w:w="1987" w:type="dxa"/>
            <w:tcBorders>
              <w:top w:val="nil"/>
              <w:left w:val="single" w:sz="8"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其他資產</w:t>
            </w:r>
            <w:r w:rsidRPr="004D451D">
              <w:rPr>
                <w:rFonts w:eastAsia="標楷體"/>
                <w:kern w:val="0"/>
              </w:rPr>
              <w:t>-</w:t>
            </w:r>
            <w:r w:rsidRPr="004D451D">
              <w:rPr>
                <w:rFonts w:eastAsia="標楷體"/>
                <w:kern w:val="0"/>
              </w:rPr>
              <w:t>淨額</w:t>
            </w:r>
          </w:p>
        </w:tc>
        <w:tc>
          <w:tcPr>
            <w:tcW w:w="1521"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497,224</w:t>
            </w:r>
          </w:p>
        </w:tc>
        <w:tc>
          <w:tcPr>
            <w:tcW w:w="1417"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497,224</w:t>
            </w:r>
          </w:p>
        </w:tc>
        <w:tc>
          <w:tcPr>
            <w:tcW w:w="1418"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497,224</w:t>
            </w:r>
          </w:p>
        </w:tc>
        <w:tc>
          <w:tcPr>
            <w:tcW w:w="1276"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103"/>
        </w:trPr>
        <w:tc>
          <w:tcPr>
            <w:tcW w:w="462"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21</w:t>
            </w:r>
          </w:p>
        </w:tc>
        <w:tc>
          <w:tcPr>
            <w:tcW w:w="1987"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總資產</w:t>
            </w:r>
          </w:p>
        </w:tc>
        <w:tc>
          <w:tcPr>
            <w:tcW w:w="1521"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275,237,799</w:t>
            </w:r>
          </w:p>
        </w:tc>
        <w:tc>
          <w:tcPr>
            <w:tcW w:w="141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275,237,799</w:t>
            </w: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248,863,037</w:t>
            </w:r>
          </w:p>
        </w:tc>
        <w:tc>
          <w:tcPr>
            <w:tcW w:w="1276"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151,575</w:t>
            </w:r>
          </w:p>
        </w:tc>
        <w:tc>
          <w:tcPr>
            <w:tcW w:w="56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24,900,515</w:t>
            </w: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1,394,682</w:t>
            </w:r>
          </w:p>
        </w:tc>
      </w:tr>
      <w:tr w:rsidR="004D451D" w:rsidRPr="004D451D" w:rsidTr="00AA110A">
        <w:trPr>
          <w:trHeight w:val="175"/>
        </w:trPr>
        <w:tc>
          <w:tcPr>
            <w:tcW w:w="11341" w:type="dxa"/>
            <w:gridSpan w:val="9"/>
            <w:tcBorders>
              <w:top w:val="nil"/>
              <w:left w:val="single" w:sz="8" w:space="0" w:color="auto"/>
              <w:bottom w:val="single" w:sz="4" w:space="0" w:color="auto"/>
              <w:right w:val="single" w:sz="8" w:space="0" w:color="auto"/>
            </w:tcBorders>
            <w:shd w:val="clear" w:color="auto" w:fill="A6A6A6"/>
            <w:vAlign w:val="center"/>
          </w:tcPr>
          <w:p w:rsidR="0035557A" w:rsidRPr="004D451D" w:rsidRDefault="0035557A" w:rsidP="0035557A">
            <w:pPr>
              <w:rPr>
                <w:rFonts w:ascii="標楷體" w:eastAsia="標楷體" w:hAnsi="標楷體" w:cs="Arial"/>
                <w:b/>
              </w:rPr>
            </w:pPr>
            <w:r w:rsidRPr="004D451D">
              <w:rPr>
                <w:rFonts w:ascii="標楷體" w:eastAsia="標楷體" w:hAnsi="標楷體" w:cs="Arial"/>
                <w:b/>
              </w:rPr>
              <w:t>負債</w:t>
            </w:r>
          </w:p>
        </w:tc>
      </w:tr>
      <w:tr w:rsidR="004D451D" w:rsidRPr="004D451D" w:rsidTr="001F240C">
        <w:trPr>
          <w:trHeight w:val="531"/>
        </w:trPr>
        <w:tc>
          <w:tcPr>
            <w:tcW w:w="462"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22</w:t>
            </w:r>
          </w:p>
        </w:tc>
        <w:tc>
          <w:tcPr>
            <w:tcW w:w="1987"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央行及銀行同業存款</w:t>
            </w:r>
          </w:p>
        </w:tc>
        <w:tc>
          <w:tcPr>
            <w:tcW w:w="1521"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22,455,293</w:t>
            </w:r>
          </w:p>
        </w:tc>
        <w:tc>
          <w:tcPr>
            <w:tcW w:w="141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22,455,293</w:t>
            </w:r>
          </w:p>
        </w:tc>
        <w:tc>
          <w:tcPr>
            <w:tcW w:w="1418"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-1,312,656</w:t>
            </w:r>
          </w:p>
        </w:tc>
        <w:tc>
          <w:tcPr>
            <w:tcW w:w="56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19,405,293</w:t>
            </w:r>
          </w:p>
        </w:tc>
      </w:tr>
      <w:tr w:rsidR="004D451D" w:rsidRPr="004D451D" w:rsidTr="001F240C">
        <w:trPr>
          <w:trHeight w:val="408"/>
        </w:trPr>
        <w:tc>
          <w:tcPr>
            <w:tcW w:w="462" w:type="dxa"/>
            <w:tcBorders>
              <w:top w:val="single" w:sz="4" w:space="0" w:color="auto"/>
              <w:left w:val="single" w:sz="8"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23</w:t>
            </w:r>
          </w:p>
        </w:tc>
        <w:tc>
          <w:tcPr>
            <w:tcW w:w="1987" w:type="dxa"/>
            <w:tcBorders>
              <w:top w:val="single" w:sz="4" w:space="0" w:color="auto"/>
              <w:left w:val="single" w:sz="8"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央行及同業融資</w:t>
            </w:r>
          </w:p>
        </w:tc>
        <w:tc>
          <w:tcPr>
            <w:tcW w:w="1521"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2,897,500</w:t>
            </w:r>
          </w:p>
        </w:tc>
        <w:tc>
          <w:tcPr>
            <w:tcW w:w="141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2,897,500</w:t>
            </w:r>
          </w:p>
        </w:tc>
        <w:tc>
          <w:tcPr>
            <w:tcW w:w="1418"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-8,557,539</w:t>
            </w:r>
          </w:p>
        </w:tc>
        <w:tc>
          <w:tcPr>
            <w:tcW w:w="56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648"/>
        </w:trPr>
        <w:tc>
          <w:tcPr>
            <w:tcW w:w="462"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24</w:t>
            </w:r>
          </w:p>
        </w:tc>
        <w:tc>
          <w:tcPr>
            <w:tcW w:w="1987"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透過損益按公允價值衡量之金融負債</w:t>
            </w:r>
          </w:p>
        </w:tc>
        <w:tc>
          <w:tcPr>
            <w:tcW w:w="1521"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12,381</w:t>
            </w:r>
          </w:p>
        </w:tc>
        <w:tc>
          <w:tcPr>
            <w:tcW w:w="141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12,381</w:t>
            </w:r>
          </w:p>
        </w:tc>
        <w:tc>
          <w:tcPr>
            <w:tcW w:w="1418"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12,381</w:t>
            </w:r>
          </w:p>
        </w:tc>
      </w:tr>
      <w:tr w:rsidR="004D451D" w:rsidRPr="004D451D" w:rsidTr="001F240C">
        <w:trPr>
          <w:trHeight w:val="558"/>
        </w:trPr>
        <w:tc>
          <w:tcPr>
            <w:tcW w:w="462"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25</w:t>
            </w:r>
          </w:p>
        </w:tc>
        <w:tc>
          <w:tcPr>
            <w:tcW w:w="1987"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避險之金融負債</w:t>
            </w:r>
            <w:r w:rsidRPr="004D451D">
              <w:rPr>
                <w:rFonts w:eastAsia="標楷體"/>
                <w:kern w:val="0"/>
              </w:rPr>
              <w:t>-</w:t>
            </w:r>
            <w:r w:rsidRPr="004D451D">
              <w:rPr>
                <w:rFonts w:eastAsia="標楷體"/>
                <w:kern w:val="0"/>
              </w:rPr>
              <w:t>淨額</w:t>
            </w:r>
          </w:p>
        </w:tc>
        <w:tc>
          <w:tcPr>
            <w:tcW w:w="1521"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576"/>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26</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附買回票券及債券負債</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27,359,218</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27,359,218</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-30,190,556</w:t>
            </w: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27,382,705</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281"/>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27</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應付款項</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2,402,068</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2,402,068</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2,402,068</w:t>
            </w:r>
          </w:p>
        </w:tc>
      </w:tr>
      <w:tr w:rsidR="004D451D" w:rsidRPr="004D451D" w:rsidTr="001F240C">
        <w:trPr>
          <w:trHeight w:val="285"/>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28</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本期所得稅負債</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498,168</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498,168</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498,168</w:t>
            </w:r>
          </w:p>
        </w:tc>
      </w:tr>
      <w:tr w:rsidR="004D451D" w:rsidRPr="004D451D" w:rsidTr="001F240C">
        <w:trPr>
          <w:trHeight w:val="719"/>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29</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與待出售資產直接相關之負債</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399"/>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30</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存款及匯款</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182,614,501</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182,614,501</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182,614,501</w:t>
            </w:r>
          </w:p>
        </w:tc>
      </w:tr>
      <w:tr w:rsidR="004D451D" w:rsidRPr="004D451D" w:rsidTr="001F240C">
        <w:trPr>
          <w:trHeight w:val="359"/>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31</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應付金融債券</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343"/>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32</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特別股負債</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327"/>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33</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其他金融負債</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r>
      <w:tr w:rsidR="004D451D" w:rsidRPr="004D451D" w:rsidTr="001F240C">
        <w:trPr>
          <w:trHeight w:val="310"/>
        </w:trPr>
        <w:tc>
          <w:tcPr>
            <w:tcW w:w="462"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34</w:t>
            </w:r>
          </w:p>
        </w:tc>
        <w:tc>
          <w:tcPr>
            <w:tcW w:w="1987" w:type="dxa"/>
            <w:tcBorders>
              <w:top w:val="nil"/>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hint="eastAsia"/>
                <w:kern w:val="0"/>
              </w:rPr>
              <w:t>負債準備</w:t>
            </w:r>
          </w:p>
        </w:tc>
        <w:tc>
          <w:tcPr>
            <w:tcW w:w="152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435,295</w:t>
            </w:r>
          </w:p>
        </w:tc>
        <w:tc>
          <w:tcPr>
            <w:tcW w:w="141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435,295</w:t>
            </w: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435,295</w:t>
            </w:r>
          </w:p>
        </w:tc>
      </w:tr>
      <w:tr w:rsidR="004D451D" w:rsidRPr="004D451D" w:rsidTr="001F240C">
        <w:trPr>
          <w:trHeight w:val="365"/>
        </w:trPr>
        <w:tc>
          <w:tcPr>
            <w:tcW w:w="462" w:type="dxa"/>
            <w:tcBorders>
              <w:top w:val="nil"/>
              <w:left w:val="single" w:sz="8"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35</w:t>
            </w:r>
          </w:p>
        </w:tc>
        <w:tc>
          <w:tcPr>
            <w:tcW w:w="1987" w:type="dxa"/>
            <w:tcBorders>
              <w:top w:val="nil"/>
              <w:left w:val="single" w:sz="8"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遞延所得稅負債</w:t>
            </w:r>
          </w:p>
        </w:tc>
        <w:tc>
          <w:tcPr>
            <w:tcW w:w="1521"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74,774</w:t>
            </w:r>
          </w:p>
        </w:tc>
        <w:tc>
          <w:tcPr>
            <w:tcW w:w="1417"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74,774</w:t>
            </w:r>
          </w:p>
        </w:tc>
        <w:tc>
          <w:tcPr>
            <w:tcW w:w="1418"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74,774</w:t>
            </w:r>
          </w:p>
        </w:tc>
      </w:tr>
      <w:tr w:rsidR="004D451D" w:rsidRPr="004D451D" w:rsidTr="001F240C">
        <w:trPr>
          <w:trHeight w:val="325"/>
        </w:trPr>
        <w:tc>
          <w:tcPr>
            <w:tcW w:w="462"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36</w:t>
            </w:r>
          </w:p>
        </w:tc>
        <w:tc>
          <w:tcPr>
            <w:tcW w:w="1987" w:type="dxa"/>
            <w:tcBorders>
              <w:top w:val="single" w:sz="4" w:space="0" w:color="auto"/>
              <w:left w:val="single" w:sz="4" w:space="0" w:color="auto"/>
              <w:bottom w:val="single" w:sz="4"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其他負債</w:t>
            </w:r>
          </w:p>
        </w:tc>
        <w:tc>
          <w:tcPr>
            <w:tcW w:w="1521"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282,901</w:t>
            </w:r>
          </w:p>
        </w:tc>
        <w:tc>
          <w:tcPr>
            <w:tcW w:w="141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282,901</w:t>
            </w:r>
          </w:p>
        </w:tc>
        <w:tc>
          <w:tcPr>
            <w:tcW w:w="1418"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567"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4"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418" w:type="dxa"/>
            <w:tcBorders>
              <w:top w:val="single" w:sz="4" w:space="0" w:color="auto"/>
              <w:left w:val="nil"/>
              <w:bottom w:val="single" w:sz="4" w:space="0" w:color="auto"/>
              <w:right w:val="single" w:sz="4"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282,901</w:t>
            </w:r>
          </w:p>
        </w:tc>
      </w:tr>
      <w:tr w:rsidR="004D451D" w:rsidRPr="004D451D" w:rsidTr="001F240C">
        <w:trPr>
          <w:trHeight w:val="372"/>
        </w:trPr>
        <w:tc>
          <w:tcPr>
            <w:tcW w:w="462"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jc w:val="center"/>
              <w:rPr>
                <w:rFonts w:eastAsia="標楷體"/>
                <w:kern w:val="0"/>
              </w:rPr>
            </w:pPr>
            <w:r w:rsidRPr="004D451D">
              <w:rPr>
                <w:rFonts w:eastAsia="標楷體" w:hint="eastAsia"/>
                <w:kern w:val="0"/>
              </w:rPr>
              <w:t>37</w:t>
            </w:r>
          </w:p>
        </w:tc>
        <w:tc>
          <w:tcPr>
            <w:tcW w:w="1987" w:type="dxa"/>
            <w:tcBorders>
              <w:top w:val="single" w:sz="4" w:space="0" w:color="auto"/>
              <w:left w:val="single" w:sz="8" w:space="0" w:color="auto"/>
              <w:bottom w:val="single" w:sz="8" w:space="0" w:color="auto"/>
              <w:right w:val="single" w:sz="8" w:space="0" w:color="auto"/>
            </w:tcBorders>
            <w:vAlign w:val="center"/>
          </w:tcPr>
          <w:p w:rsidR="001F240C" w:rsidRPr="004D451D" w:rsidRDefault="001F240C" w:rsidP="001F240C">
            <w:pPr>
              <w:widowControl/>
              <w:rPr>
                <w:rFonts w:eastAsia="標楷體"/>
                <w:kern w:val="0"/>
              </w:rPr>
            </w:pPr>
            <w:r w:rsidRPr="004D451D">
              <w:rPr>
                <w:rFonts w:eastAsia="標楷體"/>
                <w:kern w:val="0"/>
              </w:rPr>
              <w:t>總負債</w:t>
            </w:r>
          </w:p>
        </w:tc>
        <w:tc>
          <w:tcPr>
            <w:tcW w:w="1521"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239,032,100</w:t>
            </w:r>
          </w:p>
        </w:tc>
        <w:tc>
          <w:tcPr>
            <w:tcW w:w="141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239,032,100</w:t>
            </w: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6"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-40,060,751</w:t>
            </w:r>
          </w:p>
        </w:tc>
        <w:tc>
          <w:tcPr>
            <w:tcW w:w="567"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p>
        </w:tc>
        <w:tc>
          <w:tcPr>
            <w:tcW w:w="1275"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27,382,705</w:t>
            </w:r>
          </w:p>
        </w:tc>
        <w:tc>
          <w:tcPr>
            <w:tcW w:w="1418" w:type="dxa"/>
            <w:tcBorders>
              <w:top w:val="single" w:sz="4" w:space="0" w:color="auto"/>
              <w:left w:val="nil"/>
              <w:bottom w:val="single" w:sz="8" w:space="0" w:color="auto"/>
              <w:right w:val="single" w:sz="8" w:space="0" w:color="auto"/>
            </w:tcBorders>
            <w:vAlign w:val="center"/>
          </w:tcPr>
          <w:p w:rsidR="001F240C" w:rsidRPr="004D451D" w:rsidRDefault="001F240C" w:rsidP="001F240C">
            <w:pPr>
              <w:jc w:val="right"/>
              <w:rPr>
                <w:rFonts w:ascii="Arial" w:hAnsi="Arial" w:cs="Arial"/>
                <w:sz w:val="22"/>
                <w:szCs w:val="22"/>
              </w:rPr>
            </w:pPr>
            <w:r w:rsidRPr="004D451D">
              <w:rPr>
                <w:rFonts w:ascii="Arial" w:hAnsi="Arial" w:cs="Arial"/>
                <w:sz w:val="22"/>
                <w:szCs w:val="22"/>
              </w:rPr>
              <w:t>205,725,382</w:t>
            </w:r>
          </w:p>
        </w:tc>
      </w:tr>
    </w:tbl>
    <w:p w:rsidR="00E03BBD" w:rsidRPr="004D451D" w:rsidRDefault="00E03BBD" w:rsidP="004F6663">
      <w:pPr>
        <w:pStyle w:val="ad"/>
        <w:tabs>
          <w:tab w:val="left" w:pos="9360"/>
        </w:tabs>
        <w:spacing w:line="240" w:lineRule="auto"/>
        <w:ind w:leftChars="221" w:left="530" w:right="28" w:firstLine="0"/>
        <w:jc w:val="center"/>
        <w:rPr>
          <w:rFonts w:ascii="Times New Roman" w:hAnsi="Times New Roman"/>
          <w:b/>
          <w:szCs w:val="32"/>
        </w:rPr>
      </w:pPr>
    </w:p>
    <w:p w:rsidR="00E03BBD" w:rsidRPr="004D451D" w:rsidRDefault="00E03BBD" w:rsidP="001934E3">
      <w:pPr>
        <w:pStyle w:val="ad"/>
        <w:spacing w:line="240" w:lineRule="atLeast"/>
        <w:ind w:leftChars="23" w:left="1013" w:right="556"/>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E03BBD" w:rsidRPr="004D451D" w:rsidRDefault="00E03BBD" w:rsidP="00EF4134">
      <w:pPr>
        <w:numPr>
          <w:ilvl w:val="0"/>
          <w:numId w:val="21"/>
        </w:numPr>
        <w:spacing w:line="240" w:lineRule="atLeast"/>
        <w:ind w:leftChars="150" w:left="720" w:hangingChars="150"/>
        <w:rPr>
          <w:rFonts w:eastAsia="標楷體"/>
        </w:rPr>
      </w:pPr>
      <w:r w:rsidRPr="004D451D">
        <w:rPr>
          <w:rFonts w:eastAsia="標楷體"/>
        </w:rPr>
        <w:t>本表更新頻率：年。</w:t>
      </w:r>
    </w:p>
    <w:p w:rsidR="009D3066" w:rsidRPr="004D451D" w:rsidRDefault="009D3066" w:rsidP="00EF4134">
      <w:pPr>
        <w:numPr>
          <w:ilvl w:val="0"/>
          <w:numId w:val="21"/>
        </w:numPr>
        <w:spacing w:line="240" w:lineRule="atLeast"/>
        <w:ind w:leftChars="150" w:left="720" w:hangingChars="150"/>
        <w:rPr>
          <w:rFonts w:eastAsia="標楷體"/>
        </w:rPr>
      </w:pPr>
      <w:r w:rsidRPr="004D451D">
        <w:rPr>
          <w:rFonts w:eastAsia="標楷體"/>
        </w:rPr>
        <w:t>本表採個體基礎填報。</w:t>
      </w:r>
    </w:p>
    <w:p w:rsidR="00BC2C16" w:rsidRPr="004D451D" w:rsidRDefault="009D3066" w:rsidP="00EF4134">
      <w:pPr>
        <w:numPr>
          <w:ilvl w:val="0"/>
          <w:numId w:val="21"/>
        </w:numPr>
        <w:spacing w:line="240" w:lineRule="atLeast"/>
        <w:ind w:leftChars="150" w:left="720" w:hangingChars="150"/>
        <w:jc w:val="both"/>
        <w:rPr>
          <w:rFonts w:eastAsia="標楷體"/>
        </w:rPr>
      </w:pPr>
      <w:r w:rsidRPr="004D451D">
        <w:rPr>
          <w:rFonts w:eastAsia="標楷體"/>
        </w:rPr>
        <w:t>本表「</w:t>
      </w:r>
      <w:r w:rsidRPr="004D451D">
        <w:rPr>
          <w:rFonts w:eastAsia="標楷體"/>
          <w:kern w:val="0"/>
        </w:rPr>
        <w:t>財務報表之帳面價值」</w:t>
      </w:r>
      <w:r w:rsidRPr="004D451D">
        <w:rPr>
          <w:rFonts w:eastAsia="標楷體"/>
        </w:rPr>
        <w:t>應填載銀行資產負債表中各會計項目對應之帳面價值，「納入法定資本計提範圍之帳面價值」則應填載各會計項目下，有納入法定資本計提範圍部位之帳面價值</w:t>
      </w:r>
      <w:r w:rsidRPr="004D451D">
        <w:rPr>
          <w:rFonts w:eastAsia="標楷體"/>
        </w:rPr>
        <w:t>(</w:t>
      </w:r>
      <w:r w:rsidRPr="004D451D">
        <w:rPr>
          <w:rFonts w:eastAsia="標楷體"/>
        </w:rPr>
        <w:t>排除帳列表內資產惟屬於表外風險者，例如應收承兌票款則不需填寫於本表「納入法定資本計提範圍之帳面價值」、「信用風險架構」、「交易對手信用風險架構」、「證券化架構」、「市場風險架構」與「非資本要求或資本調整項」中</w:t>
      </w:r>
      <w:r w:rsidRPr="004D451D">
        <w:rPr>
          <w:rFonts w:eastAsia="標楷體"/>
        </w:rPr>
        <w:t>)</w:t>
      </w:r>
      <w:r w:rsidRPr="004D451D">
        <w:rPr>
          <w:rFonts w:eastAsia="標楷體"/>
        </w:rPr>
        <w:t>。</w:t>
      </w:r>
    </w:p>
    <w:p w:rsidR="00BC2C16" w:rsidRPr="004D451D" w:rsidRDefault="00BC2C16" w:rsidP="00EF4134">
      <w:pPr>
        <w:numPr>
          <w:ilvl w:val="0"/>
          <w:numId w:val="21"/>
        </w:numPr>
        <w:spacing w:line="240" w:lineRule="atLeast"/>
        <w:ind w:leftChars="150" w:left="720" w:hangingChars="150"/>
        <w:jc w:val="both"/>
        <w:rPr>
          <w:rFonts w:eastAsia="標楷體"/>
        </w:rPr>
      </w:pPr>
      <w:r w:rsidRPr="004D451D">
        <w:rPr>
          <w:rFonts w:eastAsia="標楷體" w:hint="eastAsia"/>
        </w:rPr>
        <w:t>「信用風險架構」、「交易對手信用風險架構」、「證券化架構」、「市場風險架構」之帳面價值</w:t>
      </w:r>
      <w:r w:rsidRPr="004D451D">
        <w:rPr>
          <w:rFonts w:eastAsia="標楷體" w:hint="eastAsia"/>
        </w:rPr>
        <w:t>(A~D</w:t>
      </w:r>
      <w:r w:rsidRPr="004D451D">
        <w:rPr>
          <w:rFonts w:eastAsia="標楷體" w:hint="eastAsia"/>
        </w:rPr>
        <w:t>欄</w:t>
      </w:r>
      <w:r w:rsidRPr="004D451D">
        <w:rPr>
          <w:rFonts w:eastAsia="標楷體" w:hint="eastAsia"/>
        </w:rPr>
        <w:t>)</w:t>
      </w:r>
      <w:r w:rsidRPr="004D451D">
        <w:rPr>
          <w:rFonts w:eastAsia="標楷體" w:hint="eastAsia"/>
        </w:rPr>
        <w:t>可視為「納入法定資本計提範圍之帳面價值」之展開，應就納入資本計算之範圍，依資產</w:t>
      </w:r>
      <w:r w:rsidRPr="004D451D">
        <w:rPr>
          <w:rFonts w:eastAsia="標楷體" w:hint="eastAsia"/>
        </w:rPr>
        <w:t>/</w:t>
      </w:r>
      <w:r w:rsidRPr="004D451D">
        <w:rPr>
          <w:rFonts w:eastAsia="標楷體" w:hint="eastAsia"/>
        </w:rPr>
        <w:t>負債各會計項目，填入對應之帳面價值：</w:t>
      </w:r>
    </w:p>
    <w:p w:rsidR="00BC2C16" w:rsidRPr="004D451D" w:rsidRDefault="00BC2C16" w:rsidP="00482E54">
      <w:pPr>
        <w:numPr>
          <w:ilvl w:val="0"/>
          <w:numId w:val="84"/>
        </w:numPr>
        <w:spacing w:line="240" w:lineRule="atLeast"/>
        <w:ind w:leftChars="250" w:left="1080" w:hangingChars="200" w:hanging="480"/>
        <w:jc w:val="both"/>
        <w:rPr>
          <w:rFonts w:eastAsia="標楷體"/>
        </w:rPr>
      </w:pPr>
      <w:r w:rsidRPr="004D451D">
        <w:rPr>
          <w:rFonts w:eastAsia="標楷體" w:hint="eastAsia"/>
        </w:rPr>
        <w:t>「信用風險架構」</w:t>
      </w:r>
      <w:r w:rsidRPr="004D451D">
        <w:rPr>
          <w:rFonts w:eastAsia="標楷體" w:hint="eastAsia"/>
        </w:rPr>
        <w:t>(A</w:t>
      </w:r>
      <w:r w:rsidRPr="004D451D">
        <w:rPr>
          <w:rFonts w:eastAsia="標楷體" w:hint="eastAsia"/>
        </w:rPr>
        <w:t>欄</w:t>
      </w:r>
      <w:r w:rsidRPr="004D451D">
        <w:rPr>
          <w:rFonts w:eastAsia="標楷體" w:hint="eastAsia"/>
        </w:rPr>
        <w:t>)</w:t>
      </w:r>
      <w:r w:rsidRPr="004D451D">
        <w:rPr>
          <w:rFonts w:eastAsia="標楷體" w:hint="eastAsia"/>
        </w:rPr>
        <w:t>下，帳列備抵呆帳如大於預期損失，將納入預期損失作為法定資本計提，則「信用風險架構」將填列預期損失，「非資本要求或資本調整項」</w:t>
      </w:r>
      <w:r w:rsidRPr="004D451D">
        <w:rPr>
          <w:rFonts w:eastAsia="標楷體" w:hint="eastAsia"/>
        </w:rPr>
        <w:t>(E</w:t>
      </w:r>
      <w:r w:rsidRPr="004D451D">
        <w:rPr>
          <w:rFonts w:eastAsia="標楷體" w:hint="eastAsia"/>
        </w:rPr>
        <w:t>欄</w:t>
      </w:r>
      <w:r w:rsidRPr="004D451D">
        <w:rPr>
          <w:rFonts w:eastAsia="標楷體" w:hint="eastAsia"/>
        </w:rPr>
        <w:t>)</w:t>
      </w:r>
      <w:r w:rsidRPr="004D451D">
        <w:rPr>
          <w:rFonts w:eastAsia="標楷體" w:hint="eastAsia"/>
        </w:rPr>
        <w:t>將填列備抵呆帳得計入第二類資本之金額。</w:t>
      </w:r>
    </w:p>
    <w:p w:rsidR="00BC2C16" w:rsidRPr="004D451D" w:rsidRDefault="00BC2C16" w:rsidP="00482E54">
      <w:pPr>
        <w:numPr>
          <w:ilvl w:val="0"/>
          <w:numId w:val="84"/>
        </w:numPr>
        <w:spacing w:line="240" w:lineRule="atLeast"/>
        <w:ind w:leftChars="250" w:left="1080" w:hangingChars="200" w:hanging="480"/>
        <w:jc w:val="both"/>
        <w:rPr>
          <w:rFonts w:eastAsia="標楷體"/>
        </w:rPr>
      </w:pPr>
      <w:r w:rsidRPr="004D451D">
        <w:rPr>
          <w:rFonts w:eastAsia="標楷體" w:hint="eastAsia"/>
        </w:rPr>
        <w:t>「市場風險架構」</w:t>
      </w:r>
      <w:r w:rsidRPr="004D451D">
        <w:rPr>
          <w:rFonts w:eastAsia="標楷體" w:hint="eastAsia"/>
        </w:rPr>
        <w:t>(D</w:t>
      </w:r>
      <w:r w:rsidRPr="004D451D">
        <w:rPr>
          <w:rFonts w:eastAsia="標楷體" w:hint="eastAsia"/>
        </w:rPr>
        <w:t>欄</w:t>
      </w:r>
      <w:r w:rsidRPr="004D451D">
        <w:rPr>
          <w:rFonts w:eastAsia="標楷體" w:hint="eastAsia"/>
        </w:rPr>
        <w:t>)</w:t>
      </w:r>
      <w:r w:rsidR="0051118F" w:rsidRPr="004D451D">
        <w:rPr>
          <w:rFonts w:eastAsia="標楷體" w:hint="eastAsia"/>
        </w:rPr>
        <w:t>下，採名目本金、</w:t>
      </w:r>
      <w:r w:rsidRPr="004D451D">
        <w:rPr>
          <w:rFonts w:eastAsia="標楷體" w:hint="eastAsia"/>
        </w:rPr>
        <w:t>Delta-plus</w:t>
      </w:r>
      <w:r w:rsidR="003E7B3A" w:rsidRPr="004D451D">
        <w:rPr>
          <w:rFonts w:eastAsia="標楷體" w:hint="eastAsia"/>
        </w:rPr>
        <w:t>及</w:t>
      </w:r>
      <w:r w:rsidR="00464738" w:rsidRPr="004D451D">
        <w:rPr>
          <w:rFonts w:eastAsia="標楷體" w:hint="eastAsia"/>
        </w:rPr>
        <w:t>選擇權採</w:t>
      </w:r>
      <w:r w:rsidR="0051118F" w:rsidRPr="004D451D">
        <w:rPr>
          <w:rFonts w:eastAsia="標楷體" w:hint="eastAsia"/>
        </w:rPr>
        <w:t>簡易法</w:t>
      </w:r>
      <w:r w:rsidRPr="004D451D">
        <w:rPr>
          <w:rFonts w:eastAsia="標楷體" w:hint="eastAsia"/>
        </w:rPr>
        <w:t>計算資本計提之產品，因非以帳面價值作計算，故無須填列。計提利率風險或權益證券風險資本時，若交易標的同時計提個別風險與一般市場風險資本，其帳面價值僅需計算一次。</w:t>
      </w:r>
    </w:p>
    <w:p w:rsidR="00BC2C16" w:rsidRPr="004D451D" w:rsidRDefault="00BC2C16" w:rsidP="00EF4134">
      <w:pPr>
        <w:numPr>
          <w:ilvl w:val="0"/>
          <w:numId w:val="21"/>
        </w:numPr>
        <w:spacing w:line="240" w:lineRule="atLeast"/>
        <w:ind w:leftChars="150" w:left="720" w:hangingChars="150"/>
        <w:jc w:val="both"/>
        <w:rPr>
          <w:rFonts w:eastAsia="標楷體"/>
        </w:rPr>
      </w:pPr>
      <w:r w:rsidRPr="004D451D">
        <w:rPr>
          <w:rFonts w:eastAsia="標楷體" w:hint="eastAsia"/>
        </w:rPr>
        <w:t>「非資本要求或資本調整項」包括於第一支柱申報報表中之可歸類至資產</w:t>
      </w:r>
      <w:r w:rsidRPr="004D451D">
        <w:rPr>
          <w:rFonts w:eastAsia="標楷體" w:hint="eastAsia"/>
        </w:rPr>
        <w:t>/</w:t>
      </w:r>
      <w:r w:rsidRPr="004D451D">
        <w:rPr>
          <w:rFonts w:eastAsia="標楷體" w:hint="eastAsia"/>
        </w:rPr>
        <w:t>負債項目之各類資本扣除項，以及資產</w:t>
      </w:r>
      <w:r w:rsidRPr="004D451D">
        <w:rPr>
          <w:rFonts w:eastAsia="標楷體" w:hint="eastAsia"/>
        </w:rPr>
        <w:t>/</w:t>
      </w:r>
      <w:r w:rsidRPr="004D451D">
        <w:rPr>
          <w:rFonts w:eastAsia="標楷體" w:hint="eastAsia"/>
        </w:rPr>
        <w:t>負債項中，未納入資本計提的部分。</w:t>
      </w:r>
    </w:p>
    <w:p w:rsidR="00BC2C16" w:rsidRPr="004D451D" w:rsidRDefault="00BC2C16" w:rsidP="00EF4134">
      <w:pPr>
        <w:numPr>
          <w:ilvl w:val="0"/>
          <w:numId w:val="21"/>
        </w:numPr>
        <w:spacing w:line="240" w:lineRule="atLeast"/>
        <w:ind w:leftChars="150" w:left="720" w:hangingChars="150"/>
        <w:jc w:val="both"/>
        <w:rPr>
          <w:rFonts w:eastAsia="標楷體"/>
        </w:rPr>
      </w:pPr>
      <w:r w:rsidRPr="004D451D">
        <w:rPr>
          <w:rFonts w:eastAsia="標楷體" w:hint="eastAsia"/>
        </w:rPr>
        <w:t>若某一會計項目對應之資本計提係依據多個風險類別架構，則於其對應之各個風險架構項下皆應有記錄。此外，依據填表說明</w:t>
      </w:r>
      <w:r w:rsidRPr="004D451D">
        <w:rPr>
          <w:rFonts w:eastAsia="標楷體" w:hint="eastAsia"/>
        </w:rPr>
        <w:t>4</w:t>
      </w:r>
      <w:r w:rsidRPr="004D451D">
        <w:rPr>
          <w:rFonts w:eastAsia="標楷體" w:hint="eastAsia"/>
        </w:rPr>
        <w:t>，「市場風險架構」下若非以帳面價值衡量之部位不會納入本表，因此</w:t>
      </w:r>
      <w:r w:rsidRPr="004D451D">
        <w:rPr>
          <w:rFonts w:eastAsia="標楷體" w:hint="eastAsia"/>
        </w:rPr>
        <w:t>A</w:t>
      </w:r>
      <w:r w:rsidRPr="004D451D">
        <w:rPr>
          <w:rFonts w:eastAsia="標楷體" w:hint="eastAsia"/>
        </w:rPr>
        <w:t>至</w:t>
      </w:r>
      <w:r w:rsidRPr="004D451D">
        <w:rPr>
          <w:rFonts w:eastAsia="標楷體" w:hint="eastAsia"/>
        </w:rPr>
        <w:t>E</w:t>
      </w:r>
      <w:r w:rsidRPr="004D451D">
        <w:rPr>
          <w:rFonts w:eastAsia="標楷體" w:hint="eastAsia"/>
        </w:rPr>
        <w:t>欄之總和不一定會等於「納入法定資本計提範圍之帳面價值」之金額。</w:t>
      </w:r>
    </w:p>
    <w:p w:rsidR="009D3066" w:rsidRPr="004D451D" w:rsidRDefault="009D3066" w:rsidP="009D3066">
      <w:pPr>
        <w:jc w:val="both"/>
        <w:rPr>
          <w:rFonts w:eastAsia="標楷體"/>
        </w:rPr>
      </w:pPr>
    </w:p>
    <w:p w:rsidR="009D3066" w:rsidRPr="004D451D" w:rsidRDefault="009D3066" w:rsidP="009D3066">
      <w:pPr>
        <w:jc w:val="both"/>
        <w:rPr>
          <w:rFonts w:eastAsia="標楷體"/>
        </w:rPr>
      </w:pPr>
    </w:p>
    <w:p w:rsidR="00E03BBD" w:rsidRPr="004D451D" w:rsidRDefault="00E03BBD" w:rsidP="007B2B07">
      <w:pPr>
        <w:widowControl/>
        <w:rPr>
          <w:rFonts w:eastAsia="標楷體"/>
          <w:sz w:val="32"/>
          <w:szCs w:val="32"/>
        </w:rPr>
      </w:pPr>
      <w:r w:rsidRPr="004D451D">
        <w:rPr>
          <w:rFonts w:ascii="Arial" w:eastAsia="標楷體" w:hAnsi="Arial" w:cs="Arial"/>
          <w:sz w:val="28"/>
          <w:szCs w:val="28"/>
        </w:rPr>
        <w:br w:type="page"/>
      </w:r>
      <w:r w:rsidRPr="004D451D">
        <w:rPr>
          <w:rFonts w:eastAsia="標楷體"/>
          <w:b/>
          <w:sz w:val="32"/>
          <w:szCs w:val="32"/>
        </w:rPr>
        <w:t>【附表十</w:t>
      </w:r>
      <w:r w:rsidR="00F91654" w:rsidRPr="004D451D">
        <w:rPr>
          <w:rFonts w:eastAsia="標楷體" w:hint="eastAsia"/>
          <w:b/>
          <w:sz w:val="32"/>
          <w:szCs w:val="32"/>
        </w:rPr>
        <w:t>一</w:t>
      </w:r>
      <w:r w:rsidRPr="004D451D">
        <w:rPr>
          <w:rFonts w:eastAsia="標楷體"/>
          <w:b/>
          <w:sz w:val="32"/>
          <w:szCs w:val="32"/>
        </w:rPr>
        <w:t>】</w:t>
      </w:r>
    </w:p>
    <w:p w:rsidR="00E03BBD" w:rsidRPr="004D451D" w:rsidRDefault="00E03BBD" w:rsidP="00156CEA">
      <w:pPr>
        <w:jc w:val="center"/>
        <w:rPr>
          <w:rFonts w:eastAsia="標楷體"/>
          <w:b/>
          <w:bCs/>
          <w:sz w:val="32"/>
          <w:szCs w:val="32"/>
        </w:rPr>
      </w:pPr>
      <w:r w:rsidRPr="004D451D">
        <w:rPr>
          <w:rFonts w:eastAsia="標楷體"/>
          <w:b/>
          <w:bCs/>
          <w:sz w:val="32"/>
          <w:szCs w:val="32"/>
        </w:rPr>
        <w:t>法定暴險額與財務報表帳面價值主要差異表</w:t>
      </w:r>
    </w:p>
    <w:p w:rsidR="00E03BBD" w:rsidRPr="004D451D" w:rsidRDefault="00E03BBD" w:rsidP="00DC421E">
      <w:pPr>
        <w:wordWrap w:val="0"/>
        <w:jc w:val="right"/>
        <w:rPr>
          <w:rFonts w:eastAsia="標楷體"/>
          <w:b/>
          <w:bCs/>
        </w:rPr>
      </w:pPr>
      <w:r w:rsidRPr="004D451D">
        <w:rPr>
          <w:rFonts w:eastAsia="標楷體"/>
          <w:b/>
          <w:bCs/>
          <w:sz w:val="32"/>
          <w:szCs w:val="32"/>
        </w:rPr>
        <w:t xml:space="preserve"> </w:t>
      </w:r>
      <w:r w:rsidRPr="004D451D">
        <w:rPr>
          <w:rFonts w:eastAsia="標楷體"/>
          <w:bCs/>
          <w:sz w:val="32"/>
          <w:szCs w:val="32"/>
        </w:rPr>
        <w:t xml:space="preserve">   </w:t>
      </w:r>
      <w:r w:rsidR="00AA110A" w:rsidRPr="004D451D">
        <w:rPr>
          <w:rFonts w:eastAsia="標楷體" w:hint="eastAsia"/>
          <w:bCs/>
          <w:sz w:val="32"/>
          <w:szCs w:val="32"/>
        </w:rPr>
        <w:t>10</w:t>
      </w:r>
      <w:r w:rsidR="001F240C" w:rsidRPr="004D451D">
        <w:rPr>
          <w:rFonts w:eastAsia="標楷體" w:hint="eastAsia"/>
          <w:bCs/>
          <w:sz w:val="32"/>
          <w:szCs w:val="32"/>
        </w:rPr>
        <w:t>7</w:t>
      </w:r>
      <w:r w:rsidRPr="004D451D">
        <w:rPr>
          <w:rFonts w:eastAsia="標楷體"/>
          <w:bCs/>
          <w:sz w:val="32"/>
          <w:szCs w:val="32"/>
        </w:rPr>
        <w:t>年</w:t>
      </w:r>
      <w:r w:rsidR="001F240C" w:rsidRPr="004D451D">
        <w:rPr>
          <w:rFonts w:eastAsia="標楷體" w:hint="eastAsia"/>
          <w:bCs/>
          <w:sz w:val="32"/>
          <w:szCs w:val="32"/>
        </w:rPr>
        <w:t>06</w:t>
      </w:r>
      <w:r w:rsidRPr="004D451D">
        <w:rPr>
          <w:rFonts w:eastAsia="標楷體"/>
          <w:bCs/>
          <w:sz w:val="32"/>
          <w:szCs w:val="32"/>
        </w:rPr>
        <w:t>月</w:t>
      </w:r>
      <w:r w:rsidR="00AA110A" w:rsidRPr="004D451D">
        <w:rPr>
          <w:rFonts w:eastAsia="標楷體" w:hint="eastAsia"/>
          <w:bCs/>
          <w:sz w:val="32"/>
          <w:szCs w:val="32"/>
        </w:rPr>
        <w:t>3</w:t>
      </w:r>
      <w:r w:rsidR="001F240C" w:rsidRPr="004D451D">
        <w:rPr>
          <w:rFonts w:eastAsia="標楷體" w:hint="eastAsia"/>
          <w:bCs/>
          <w:sz w:val="32"/>
          <w:szCs w:val="32"/>
        </w:rPr>
        <w:t>0</w:t>
      </w:r>
      <w:r w:rsidRPr="004D451D">
        <w:rPr>
          <w:rFonts w:eastAsia="標楷體"/>
          <w:bCs/>
          <w:sz w:val="32"/>
          <w:szCs w:val="32"/>
        </w:rPr>
        <w:t>日</w:t>
      </w:r>
      <w:r w:rsidR="00EB11E8" w:rsidRPr="004D451D">
        <w:rPr>
          <w:rFonts w:eastAsia="標楷體" w:hint="eastAsia"/>
          <w:bCs/>
          <w:sz w:val="32"/>
          <w:szCs w:val="32"/>
        </w:rPr>
        <w:t xml:space="preserve">　　　　</w:t>
      </w:r>
      <w:r w:rsidR="00531C88" w:rsidRPr="004D451D">
        <w:rPr>
          <w:rFonts w:eastAsia="標楷體" w:hint="eastAsia"/>
          <w:bCs/>
          <w:szCs w:val="32"/>
        </w:rPr>
        <w:t>（</w:t>
      </w:r>
      <w:r w:rsidRPr="004D451D">
        <w:rPr>
          <w:rFonts w:eastAsia="標楷體"/>
          <w:bCs/>
        </w:rPr>
        <w:t>單位</w:t>
      </w:r>
      <w:r w:rsidR="00D72BA3" w:rsidRPr="004D451D">
        <w:rPr>
          <w:rFonts w:eastAsia="標楷體" w:hint="eastAsia"/>
          <w:bCs/>
        </w:rPr>
        <w:t>：</w:t>
      </w:r>
      <w:r w:rsidRPr="004D451D">
        <w:rPr>
          <w:rFonts w:eastAsia="標楷體"/>
          <w:bCs/>
        </w:rPr>
        <w:t>新臺幣千元</w:t>
      </w:r>
      <w:r w:rsidR="00531C88" w:rsidRPr="004D451D">
        <w:rPr>
          <w:rFonts w:eastAsia="標楷體" w:hint="eastAsia"/>
          <w:bCs/>
        </w:rPr>
        <w:t>）</w:t>
      </w:r>
    </w:p>
    <w:tbl>
      <w:tblPr>
        <w:tblW w:w="9880" w:type="dxa"/>
        <w:tblInd w:w="13" w:type="dxa"/>
        <w:tblCellMar>
          <w:left w:w="28" w:type="dxa"/>
          <w:right w:w="28" w:type="dxa"/>
        </w:tblCellMar>
        <w:tblLook w:val="0000" w:firstRow="0" w:lastRow="0" w:firstColumn="0" w:lastColumn="0" w:noHBand="0" w:noVBand="0"/>
      </w:tblPr>
      <w:tblGrid>
        <w:gridCol w:w="415"/>
        <w:gridCol w:w="2484"/>
        <w:gridCol w:w="1391"/>
        <w:gridCol w:w="1403"/>
        <w:gridCol w:w="1401"/>
        <w:gridCol w:w="1385"/>
        <w:gridCol w:w="1401"/>
      </w:tblGrid>
      <w:tr w:rsidR="004D451D" w:rsidRPr="004D451D" w:rsidTr="001F240C">
        <w:trPr>
          <w:trHeight w:val="345"/>
        </w:trPr>
        <w:tc>
          <w:tcPr>
            <w:tcW w:w="2899" w:type="dxa"/>
            <w:gridSpan w:val="2"/>
            <w:vMerge w:val="restart"/>
            <w:tcBorders>
              <w:top w:val="single" w:sz="4" w:space="0" w:color="auto"/>
              <w:left w:val="single" w:sz="4" w:space="0" w:color="auto"/>
              <w:right w:val="single" w:sz="8" w:space="0" w:color="auto"/>
            </w:tcBorders>
            <w:vAlign w:val="center"/>
          </w:tcPr>
          <w:p w:rsidR="00AF60E0" w:rsidRPr="004D451D" w:rsidRDefault="00AF60E0" w:rsidP="00C57753">
            <w:pPr>
              <w:widowControl/>
              <w:jc w:val="center"/>
              <w:rPr>
                <w:rFonts w:eastAsia="標楷體"/>
                <w:kern w:val="0"/>
              </w:rPr>
            </w:pPr>
            <w:r w:rsidRPr="004D451D">
              <w:rPr>
                <w:rFonts w:eastAsia="標楷體"/>
                <w:kern w:val="0"/>
              </w:rPr>
              <w:t>項目</w:t>
            </w:r>
          </w:p>
        </w:tc>
        <w:tc>
          <w:tcPr>
            <w:tcW w:w="1391" w:type="dxa"/>
            <w:vMerge w:val="restart"/>
            <w:tcBorders>
              <w:top w:val="single" w:sz="4" w:space="0" w:color="auto"/>
              <w:left w:val="single" w:sz="8" w:space="0" w:color="auto"/>
              <w:bottom w:val="single" w:sz="8" w:space="0" w:color="000000"/>
              <w:right w:val="single" w:sz="8" w:space="0" w:color="auto"/>
            </w:tcBorders>
            <w:vAlign w:val="center"/>
          </w:tcPr>
          <w:p w:rsidR="00AF60E0" w:rsidRPr="004D451D" w:rsidRDefault="00AF60E0" w:rsidP="00EA41F8">
            <w:pPr>
              <w:widowControl/>
              <w:jc w:val="center"/>
              <w:rPr>
                <w:rFonts w:eastAsia="標楷體"/>
                <w:kern w:val="0"/>
              </w:rPr>
            </w:pPr>
            <w:r w:rsidRPr="004D451D">
              <w:rPr>
                <w:rFonts w:eastAsia="標楷體"/>
                <w:kern w:val="0"/>
              </w:rPr>
              <w:t>總和</w:t>
            </w:r>
          </w:p>
        </w:tc>
        <w:tc>
          <w:tcPr>
            <w:tcW w:w="5590" w:type="dxa"/>
            <w:gridSpan w:val="4"/>
            <w:tcBorders>
              <w:top w:val="single" w:sz="4" w:space="0" w:color="auto"/>
              <w:left w:val="nil"/>
              <w:bottom w:val="single" w:sz="8" w:space="0" w:color="auto"/>
              <w:right w:val="single" w:sz="4" w:space="0" w:color="auto"/>
            </w:tcBorders>
            <w:vAlign w:val="center"/>
          </w:tcPr>
          <w:p w:rsidR="00AF60E0" w:rsidRPr="004D451D" w:rsidRDefault="00AF60E0" w:rsidP="00EA41F8">
            <w:pPr>
              <w:widowControl/>
              <w:jc w:val="center"/>
              <w:rPr>
                <w:rFonts w:eastAsia="標楷體"/>
                <w:kern w:val="0"/>
              </w:rPr>
            </w:pPr>
            <w:r w:rsidRPr="004D451D">
              <w:rPr>
                <w:rFonts w:eastAsia="標楷體"/>
                <w:kern w:val="0"/>
              </w:rPr>
              <w:t>項目</w:t>
            </w:r>
          </w:p>
        </w:tc>
      </w:tr>
      <w:tr w:rsidR="004D451D" w:rsidRPr="004D451D" w:rsidTr="001F240C">
        <w:trPr>
          <w:trHeight w:val="890"/>
        </w:trPr>
        <w:tc>
          <w:tcPr>
            <w:tcW w:w="2899" w:type="dxa"/>
            <w:gridSpan w:val="2"/>
            <w:vMerge/>
            <w:tcBorders>
              <w:left w:val="single" w:sz="4" w:space="0" w:color="auto"/>
              <w:bottom w:val="single" w:sz="8" w:space="0" w:color="000000"/>
              <w:right w:val="single" w:sz="8" w:space="0" w:color="auto"/>
            </w:tcBorders>
            <w:vAlign w:val="center"/>
          </w:tcPr>
          <w:p w:rsidR="00AF60E0" w:rsidRPr="004D451D" w:rsidRDefault="00AF60E0" w:rsidP="00EA41F8">
            <w:pPr>
              <w:widowControl/>
              <w:rPr>
                <w:rFonts w:eastAsia="標楷體"/>
                <w:kern w:val="0"/>
              </w:rPr>
            </w:pPr>
          </w:p>
        </w:tc>
        <w:tc>
          <w:tcPr>
            <w:tcW w:w="1391" w:type="dxa"/>
            <w:vMerge/>
            <w:tcBorders>
              <w:top w:val="nil"/>
              <w:left w:val="single" w:sz="8" w:space="0" w:color="auto"/>
              <w:bottom w:val="single" w:sz="8" w:space="0" w:color="000000"/>
              <w:right w:val="single" w:sz="8" w:space="0" w:color="auto"/>
            </w:tcBorders>
            <w:vAlign w:val="center"/>
          </w:tcPr>
          <w:p w:rsidR="00AF60E0" w:rsidRPr="004D451D" w:rsidRDefault="00AF60E0" w:rsidP="00EA41F8">
            <w:pPr>
              <w:widowControl/>
              <w:rPr>
                <w:rFonts w:eastAsia="標楷體"/>
                <w:kern w:val="0"/>
              </w:rPr>
            </w:pPr>
          </w:p>
        </w:tc>
        <w:tc>
          <w:tcPr>
            <w:tcW w:w="1403" w:type="dxa"/>
            <w:tcBorders>
              <w:top w:val="nil"/>
              <w:left w:val="single" w:sz="8" w:space="0" w:color="auto"/>
              <w:bottom w:val="single" w:sz="8" w:space="0" w:color="000000"/>
              <w:right w:val="single" w:sz="8" w:space="0" w:color="auto"/>
            </w:tcBorders>
            <w:vAlign w:val="center"/>
          </w:tcPr>
          <w:p w:rsidR="00AF60E0" w:rsidRPr="004D451D" w:rsidRDefault="00AF60E0" w:rsidP="00EA41F8">
            <w:pPr>
              <w:widowControl/>
              <w:jc w:val="center"/>
              <w:rPr>
                <w:rFonts w:eastAsia="標楷體"/>
                <w:kern w:val="0"/>
              </w:rPr>
            </w:pPr>
            <w:r w:rsidRPr="004D451D">
              <w:rPr>
                <w:rFonts w:eastAsia="標楷體"/>
                <w:kern w:val="0"/>
              </w:rPr>
              <w:t>信用風險架構</w:t>
            </w:r>
            <w:r w:rsidR="00D72BA3" w:rsidRPr="004D451D">
              <w:rPr>
                <w:rFonts w:eastAsia="標楷體" w:hint="eastAsia"/>
                <w:kern w:val="0"/>
              </w:rPr>
              <w:t>A</w:t>
            </w:r>
          </w:p>
        </w:tc>
        <w:tc>
          <w:tcPr>
            <w:tcW w:w="1401" w:type="dxa"/>
            <w:tcBorders>
              <w:top w:val="nil"/>
              <w:left w:val="single" w:sz="8" w:space="0" w:color="auto"/>
              <w:bottom w:val="single" w:sz="8" w:space="0" w:color="000000"/>
              <w:right w:val="single" w:sz="8" w:space="0" w:color="auto"/>
            </w:tcBorders>
            <w:vAlign w:val="center"/>
          </w:tcPr>
          <w:p w:rsidR="00AF60E0" w:rsidRPr="004D451D" w:rsidRDefault="00AF60E0" w:rsidP="00EA41F8">
            <w:pPr>
              <w:widowControl/>
              <w:jc w:val="center"/>
              <w:rPr>
                <w:rFonts w:eastAsia="標楷體"/>
                <w:kern w:val="0"/>
              </w:rPr>
            </w:pPr>
            <w:r w:rsidRPr="004D451D">
              <w:rPr>
                <w:rFonts w:eastAsia="標楷體"/>
                <w:kern w:val="0"/>
              </w:rPr>
              <w:t>交易對手信用風險架構</w:t>
            </w:r>
            <w:r w:rsidR="00D72BA3" w:rsidRPr="004D451D">
              <w:rPr>
                <w:rFonts w:eastAsia="標楷體" w:hint="eastAsia"/>
                <w:kern w:val="0"/>
              </w:rPr>
              <w:t>B</w:t>
            </w:r>
          </w:p>
        </w:tc>
        <w:tc>
          <w:tcPr>
            <w:tcW w:w="1385" w:type="dxa"/>
            <w:tcBorders>
              <w:top w:val="single" w:sz="8" w:space="0" w:color="auto"/>
              <w:left w:val="single" w:sz="8" w:space="0" w:color="auto"/>
              <w:bottom w:val="single" w:sz="8" w:space="0" w:color="000000"/>
              <w:right w:val="single" w:sz="8" w:space="0" w:color="000000"/>
            </w:tcBorders>
            <w:vAlign w:val="center"/>
          </w:tcPr>
          <w:p w:rsidR="00AF60E0" w:rsidRPr="004D451D" w:rsidRDefault="00AF60E0" w:rsidP="00EA41F8">
            <w:pPr>
              <w:widowControl/>
              <w:jc w:val="center"/>
              <w:rPr>
                <w:rFonts w:eastAsia="標楷體"/>
                <w:kern w:val="0"/>
              </w:rPr>
            </w:pPr>
            <w:r w:rsidRPr="004D451D">
              <w:rPr>
                <w:rFonts w:eastAsia="標楷體"/>
                <w:kern w:val="0"/>
              </w:rPr>
              <w:t>證券化架構</w:t>
            </w:r>
            <w:r w:rsidR="00D72BA3" w:rsidRPr="004D451D">
              <w:rPr>
                <w:rFonts w:eastAsia="標楷體" w:hint="eastAsia"/>
                <w:kern w:val="0"/>
              </w:rPr>
              <w:t>C</w:t>
            </w:r>
          </w:p>
        </w:tc>
        <w:tc>
          <w:tcPr>
            <w:tcW w:w="1401" w:type="dxa"/>
            <w:tcBorders>
              <w:top w:val="nil"/>
              <w:left w:val="single" w:sz="8" w:space="0" w:color="auto"/>
              <w:bottom w:val="single" w:sz="8" w:space="0" w:color="000000"/>
              <w:right w:val="single" w:sz="4" w:space="0" w:color="auto"/>
            </w:tcBorders>
            <w:vAlign w:val="center"/>
          </w:tcPr>
          <w:p w:rsidR="00AF60E0" w:rsidRPr="004D451D" w:rsidRDefault="00AF60E0" w:rsidP="00EA41F8">
            <w:pPr>
              <w:widowControl/>
              <w:jc w:val="center"/>
              <w:rPr>
                <w:rFonts w:eastAsia="標楷體"/>
                <w:kern w:val="0"/>
              </w:rPr>
            </w:pPr>
            <w:r w:rsidRPr="004D451D">
              <w:rPr>
                <w:rFonts w:eastAsia="標楷體"/>
                <w:kern w:val="0"/>
              </w:rPr>
              <w:t>市場風險架構</w:t>
            </w:r>
            <w:r w:rsidR="00D72BA3" w:rsidRPr="004D451D">
              <w:rPr>
                <w:rFonts w:eastAsia="標楷體" w:hint="eastAsia"/>
                <w:kern w:val="0"/>
              </w:rPr>
              <w:t>D</w:t>
            </w:r>
          </w:p>
        </w:tc>
      </w:tr>
      <w:tr w:rsidR="004D451D" w:rsidRPr="004D451D" w:rsidTr="001F240C">
        <w:trPr>
          <w:trHeight w:val="870"/>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bCs/>
                <w:kern w:val="0"/>
              </w:rPr>
            </w:pPr>
            <w:r w:rsidRPr="004D451D">
              <w:rPr>
                <w:rFonts w:eastAsia="標楷體"/>
                <w:bCs/>
                <w:kern w:val="0"/>
              </w:rPr>
              <w:t>1</w:t>
            </w:r>
          </w:p>
        </w:tc>
        <w:tc>
          <w:tcPr>
            <w:tcW w:w="2484" w:type="dxa"/>
            <w:tcBorders>
              <w:top w:val="nil"/>
              <w:left w:val="nil"/>
              <w:bottom w:val="single" w:sz="8" w:space="0" w:color="auto"/>
              <w:right w:val="single" w:sz="8" w:space="0" w:color="auto"/>
            </w:tcBorders>
            <w:vAlign w:val="center"/>
          </w:tcPr>
          <w:p w:rsidR="001F240C" w:rsidRPr="004D451D" w:rsidRDefault="001F240C" w:rsidP="00811D5D">
            <w:pPr>
              <w:widowControl/>
              <w:rPr>
                <w:rFonts w:eastAsia="標楷體"/>
                <w:b/>
                <w:bCs/>
                <w:kern w:val="0"/>
              </w:rPr>
            </w:pPr>
            <w:r w:rsidRPr="004D451D">
              <w:rPr>
                <w:rFonts w:eastAsia="標楷體"/>
                <w:b/>
                <w:bCs/>
                <w:kern w:val="0"/>
              </w:rPr>
              <w:t>納入法定資本計提範圍之資產帳面價值</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273,915,127</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248,863,037</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151,575</w:t>
            </w:r>
          </w:p>
        </w:tc>
        <w:tc>
          <w:tcPr>
            <w:tcW w:w="1385" w:type="dxa"/>
            <w:tcBorders>
              <w:top w:val="single" w:sz="8" w:space="0" w:color="auto"/>
              <w:left w:val="nil"/>
              <w:bottom w:val="single" w:sz="8" w:space="0" w:color="auto"/>
              <w:right w:val="nil"/>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single" w:sz="8" w:space="0" w:color="auto"/>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24,900,515</w:t>
            </w:r>
          </w:p>
        </w:tc>
      </w:tr>
      <w:tr w:rsidR="004D451D" w:rsidRPr="004D451D" w:rsidTr="001F240C">
        <w:trPr>
          <w:trHeight w:val="930"/>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kern w:val="0"/>
              </w:rPr>
            </w:pPr>
            <w:r w:rsidRPr="004D451D">
              <w:rPr>
                <w:rFonts w:eastAsia="標楷體"/>
                <w:kern w:val="0"/>
              </w:rPr>
              <w:t>2</w:t>
            </w:r>
          </w:p>
        </w:tc>
        <w:tc>
          <w:tcPr>
            <w:tcW w:w="2484" w:type="dxa"/>
            <w:tcBorders>
              <w:top w:val="nil"/>
              <w:left w:val="nil"/>
              <w:bottom w:val="single" w:sz="8" w:space="0" w:color="auto"/>
              <w:right w:val="single" w:sz="8" w:space="0" w:color="auto"/>
            </w:tcBorders>
            <w:vAlign w:val="center"/>
          </w:tcPr>
          <w:p w:rsidR="001F240C" w:rsidRPr="004D451D" w:rsidRDefault="001F240C" w:rsidP="00811D5D">
            <w:pPr>
              <w:widowControl/>
              <w:rPr>
                <w:rFonts w:eastAsia="標楷體"/>
                <w:b/>
                <w:bCs/>
                <w:kern w:val="0"/>
              </w:rPr>
            </w:pPr>
            <w:r w:rsidRPr="004D451D">
              <w:rPr>
                <w:rFonts w:eastAsia="標楷體"/>
                <w:b/>
                <w:bCs/>
                <w:kern w:val="0"/>
              </w:rPr>
              <w:t>納入法定資本計提範圍下之負債帳面價值</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-12,678,047</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-40,060,751</w:t>
            </w:r>
          </w:p>
        </w:tc>
        <w:tc>
          <w:tcPr>
            <w:tcW w:w="1385" w:type="dxa"/>
            <w:tcBorders>
              <w:top w:val="single" w:sz="8" w:space="0" w:color="auto"/>
              <w:left w:val="nil"/>
              <w:bottom w:val="single" w:sz="8" w:space="0" w:color="auto"/>
              <w:right w:val="single" w:sz="8" w:space="0" w:color="000000"/>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27,382,705</w:t>
            </w:r>
          </w:p>
        </w:tc>
      </w:tr>
      <w:tr w:rsidR="004D451D" w:rsidRPr="004D451D" w:rsidTr="001F240C">
        <w:trPr>
          <w:trHeight w:val="874"/>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kern w:val="0"/>
              </w:rPr>
            </w:pPr>
            <w:r w:rsidRPr="004D451D">
              <w:rPr>
                <w:rFonts w:eastAsia="標楷體"/>
                <w:kern w:val="0"/>
              </w:rPr>
              <w:t>3</w:t>
            </w:r>
          </w:p>
        </w:tc>
        <w:tc>
          <w:tcPr>
            <w:tcW w:w="2484" w:type="dxa"/>
            <w:tcBorders>
              <w:top w:val="nil"/>
              <w:left w:val="nil"/>
              <w:bottom w:val="single" w:sz="8" w:space="0" w:color="auto"/>
              <w:right w:val="single" w:sz="8" w:space="0" w:color="auto"/>
            </w:tcBorders>
            <w:vAlign w:val="center"/>
          </w:tcPr>
          <w:p w:rsidR="001F240C" w:rsidRPr="004D451D" w:rsidRDefault="001F240C" w:rsidP="00EA41F8">
            <w:pPr>
              <w:widowControl/>
              <w:rPr>
                <w:rFonts w:eastAsia="標楷體"/>
                <w:kern w:val="0"/>
              </w:rPr>
            </w:pPr>
            <w:r w:rsidRPr="004D451D">
              <w:rPr>
                <w:rFonts w:eastAsia="標楷體"/>
                <w:kern w:val="0"/>
              </w:rPr>
              <w:t>納入法定資本計提範圍下之淨額</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286,593,173</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248,863,037</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40,212,326</w:t>
            </w:r>
          </w:p>
        </w:tc>
        <w:tc>
          <w:tcPr>
            <w:tcW w:w="1385" w:type="dxa"/>
            <w:tcBorders>
              <w:top w:val="single" w:sz="8" w:space="0" w:color="auto"/>
              <w:left w:val="nil"/>
              <w:bottom w:val="single" w:sz="8" w:space="0" w:color="auto"/>
              <w:right w:val="nil"/>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single" w:sz="8" w:space="0" w:color="auto"/>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-2,482,190</w:t>
            </w:r>
          </w:p>
        </w:tc>
      </w:tr>
      <w:tr w:rsidR="004D451D" w:rsidRPr="004D451D" w:rsidTr="001F240C">
        <w:trPr>
          <w:trHeight w:val="560"/>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kern w:val="0"/>
              </w:rPr>
            </w:pPr>
            <w:r w:rsidRPr="004D451D">
              <w:rPr>
                <w:rFonts w:eastAsia="標楷體"/>
                <w:kern w:val="0"/>
              </w:rPr>
              <w:t>4</w:t>
            </w:r>
          </w:p>
        </w:tc>
        <w:tc>
          <w:tcPr>
            <w:tcW w:w="2484" w:type="dxa"/>
            <w:tcBorders>
              <w:top w:val="nil"/>
              <w:left w:val="nil"/>
              <w:bottom w:val="single" w:sz="8" w:space="0" w:color="auto"/>
              <w:right w:val="single" w:sz="8" w:space="0" w:color="auto"/>
            </w:tcBorders>
            <w:vAlign w:val="center"/>
          </w:tcPr>
          <w:p w:rsidR="001F240C" w:rsidRPr="004D451D" w:rsidRDefault="001F240C" w:rsidP="00EA41F8">
            <w:pPr>
              <w:widowControl/>
              <w:rPr>
                <w:rFonts w:eastAsia="標楷體"/>
                <w:kern w:val="0"/>
              </w:rPr>
            </w:pPr>
            <w:r w:rsidRPr="004D451D">
              <w:rPr>
                <w:rFonts w:eastAsia="標楷體"/>
                <w:kern w:val="0"/>
              </w:rPr>
              <w:t>資產負債表表外金額</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8,158,401</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8,158,401</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385" w:type="dxa"/>
            <w:tcBorders>
              <w:top w:val="single" w:sz="8" w:space="0" w:color="auto"/>
              <w:left w:val="nil"/>
              <w:bottom w:val="single" w:sz="8" w:space="0" w:color="auto"/>
              <w:right w:val="nil"/>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single" w:sz="8" w:space="0" w:color="auto"/>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r>
      <w:tr w:rsidR="004D451D" w:rsidRPr="004D451D" w:rsidTr="001F240C">
        <w:trPr>
          <w:trHeight w:val="526"/>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kern w:val="0"/>
              </w:rPr>
            </w:pPr>
            <w:r w:rsidRPr="004D451D">
              <w:rPr>
                <w:rFonts w:eastAsia="標楷體"/>
                <w:kern w:val="0"/>
              </w:rPr>
              <w:t>5</w:t>
            </w:r>
          </w:p>
        </w:tc>
        <w:tc>
          <w:tcPr>
            <w:tcW w:w="2484" w:type="dxa"/>
            <w:tcBorders>
              <w:top w:val="nil"/>
              <w:left w:val="nil"/>
              <w:bottom w:val="single" w:sz="8" w:space="0" w:color="auto"/>
              <w:right w:val="single" w:sz="8" w:space="0" w:color="auto"/>
            </w:tcBorders>
            <w:vAlign w:val="center"/>
          </w:tcPr>
          <w:p w:rsidR="001F240C" w:rsidRPr="004D451D" w:rsidRDefault="001F240C" w:rsidP="00EA41F8">
            <w:pPr>
              <w:widowControl/>
              <w:rPr>
                <w:rFonts w:eastAsia="標楷體"/>
                <w:kern w:val="0"/>
              </w:rPr>
            </w:pPr>
            <w:r w:rsidRPr="004D451D">
              <w:rPr>
                <w:rFonts w:eastAsia="標楷體"/>
                <w:kern w:val="0"/>
              </w:rPr>
              <w:t>考量計提方法之差異</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26,179,928</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385" w:type="dxa"/>
            <w:tcBorders>
              <w:top w:val="single" w:sz="8" w:space="0" w:color="auto"/>
              <w:left w:val="nil"/>
              <w:bottom w:val="single" w:sz="8" w:space="0" w:color="auto"/>
              <w:right w:val="single" w:sz="8" w:space="0" w:color="000000"/>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26,179,928</w:t>
            </w:r>
          </w:p>
        </w:tc>
      </w:tr>
      <w:tr w:rsidR="004D451D" w:rsidRPr="004D451D" w:rsidTr="001F240C">
        <w:trPr>
          <w:trHeight w:val="831"/>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kern w:val="0"/>
              </w:rPr>
            </w:pPr>
            <w:r w:rsidRPr="004D451D">
              <w:rPr>
                <w:rFonts w:eastAsia="標楷體"/>
                <w:kern w:val="0"/>
              </w:rPr>
              <w:t>6</w:t>
            </w:r>
          </w:p>
        </w:tc>
        <w:tc>
          <w:tcPr>
            <w:tcW w:w="2484" w:type="dxa"/>
            <w:tcBorders>
              <w:top w:val="nil"/>
              <w:left w:val="nil"/>
              <w:bottom w:val="single" w:sz="8" w:space="0" w:color="auto"/>
              <w:right w:val="single" w:sz="8" w:space="0" w:color="auto"/>
            </w:tcBorders>
            <w:vAlign w:val="center"/>
          </w:tcPr>
          <w:p w:rsidR="001F240C" w:rsidRPr="004D451D" w:rsidRDefault="001F240C" w:rsidP="00A53D7C">
            <w:pPr>
              <w:widowControl/>
              <w:rPr>
                <w:rFonts w:eastAsia="標楷體"/>
                <w:kern w:val="0"/>
              </w:rPr>
            </w:pPr>
            <w:r w:rsidRPr="004D451D">
              <w:rPr>
                <w:rFonts w:eastAsia="標楷體"/>
                <w:kern w:val="0"/>
              </w:rPr>
              <w:t>交易對手信用相當額與</w:t>
            </w:r>
            <w:r w:rsidRPr="004D451D">
              <w:rPr>
                <w:rFonts w:eastAsia="標楷體" w:hint="eastAsia"/>
                <w:kern w:val="0"/>
              </w:rPr>
              <w:t>帳面價值</w:t>
            </w:r>
            <w:r w:rsidRPr="004D451D">
              <w:rPr>
                <w:rFonts w:eastAsia="標楷體"/>
                <w:kern w:val="0"/>
              </w:rPr>
              <w:t>差異</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47,892</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47,892</w:t>
            </w:r>
          </w:p>
        </w:tc>
        <w:tc>
          <w:tcPr>
            <w:tcW w:w="1385" w:type="dxa"/>
            <w:tcBorders>
              <w:top w:val="single" w:sz="8" w:space="0" w:color="auto"/>
              <w:left w:val="nil"/>
              <w:bottom w:val="single" w:sz="8" w:space="0" w:color="auto"/>
              <w:right w:val="single" w:sz="8" w:space="0" w:color="000000"/>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r>
      <w:tr w:rsidR="004D451D" w:rsidRPr="004D451D" w:rsidTr="001F240C">
        <w:trPr>
          <w:trHeight w:val="585"/>
        </w:trPr>
        <w:tc>
          <w:tcPr>
            <w:tcW w:w="415" w:type="dxa"/>
            <w:tcBorders>
              <w:top w:val="nil"/>
              <w:left w:val="single" w:sz="4" w:space="0" w:color="auto"/>
              <w:bottom w:val="single" w:sz="8" w:space="0" w:color="auto"/>
              <w:right w:val="single" w:sz="8" w:space="0" w:color="auto"/>
            </w:tcBorders>
            <w:vAlign w:val="center"/>
          </w:tcPr>
          <w:p w:rsidR="001F240C" w:rsidRPr="004D451D" w:rsidRDefault="001F240C" w:rsidP="00EA41F8">
            <w:pPr>
              <w:widowControl/>
              <w:jc w:val="center"/>
              <w:rPr>
                <w:rFonts w:eastAsia="標楷體"/>
                <w:kern w:val="0"/>
              </w:rPr>
            </w:pPr>
            <w:r w:rsidRPr="004D451D">
              <w:rPr>
                <w:rFonts w:eastAsia="標楷體"/>
                <w:kern w:val="0"/>
              </w:rPr>
              <w:t>7</w:t>
            </w:r>
          </w:p>
        </w:tc>
        <w:tc>
          <w:tcPr>
            <w:tcW w:w="2484" w:type="dxa"/>
            <w:tcBorders>
              <w:top w:val="nil"/>
              <w:left w:val="nil"/>
              <w:bottom w:val="single" w:sz="8" w:space="0" w:color="auto"/>
              <w:right w:val="single" w:sz="8" w:space="0" w:color="auto"/>
            </w:tcBorders>
            <w:vAlign w:val="center"/>
          </w:tcPr>
          <w:p w:rsidR="001F240C" w:rsidRPr="004D451D" w:rsidRDefault="001F240C" w:rsidP="00EA41F8">
            <w:pPr>
              <w:widowControl/>
              <w:rPr>
                <w:rFonts w:eastAsia="標楷體"/>
                <w:kern w:val="0"/>
              </w:rPr>
            </w:pPr>
            <w:r w:rsidRPr="004D451D">
              <w:rPr>
                <w:rFonts w:eastAsia="標楷體"/>
                <w:kern w:val="0"/>
              </w:rPr>
              <w:t>評價差異</w:t>
            </w:r>
          </w:p>
        </w:tc>
        <w:tc>
          <w:tcPr>
            <w:tcW w:w="139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111,590</w:t>
            </w:r>
          </w:p>
        </w:tc>
        <w:tc>
          <w:tcPr>
            <w:tcW w:w="1403"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111,590</w:t>
            </w:r>
          </w:p>
        </w:tc>
        <w:tc>
          <w:tcPr>
            <w:tcW w:w="1385" w:type="dxa"/>
            <w:tcBorders>
              <w:top w:val="single" w:sz="8" w:space="0" w:color="auto"/>
              <w:left w:val="nil"/>
              <w:bottom w:val="single" w:sz="8" w:space="0" w:color="auto"/>
              <w:right w:val="single" w:sz="8" w:space="0" w:color="000000"/>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nil"/>
              <w:bottom w:val="single" w:sz="8"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r>
      <w:tr w:rsidR="004D451D" w:rsidRPr="004D451D" w:rsidTr="001F240C">
        <w:trPr>
          <w:trHeight w:val="654"/>
        </w:trPr>
        <w:tc>
          <w:tcPr>
            <w:tcW w:w="415" w:type="dxa"/>
            <w:tcBorders>
              <w:top w:val="nil"/>
              <w:left w:val="single" w:sz="4" w:space="0" w:color="auto"/>
              <w:bottom w:val="single" w:sz="4" w:space="0" w:color="auto"/>
              <w:right w:val="single" w:sz="8" w:space="0" w:color="auto"/>
            </w:tcBorders>
            <w:vAlign w:val="center"/>
          </w:tcPr>
          <w:p w:rsidR="001F240C" w:rsidRPr="004D451D" w:rsidRDefault="001F240C" w:rsidP="00EA41F8">
            <w:pPr>
              <w:widowControl/>
              <w:jc w:val="center"/>
              <w:rPr>
                <w:rFonts w:eastAsia="標楷體"/>
                <w:b/>
                <w:bCs/>
                <w:kern w:val="0"/>
              </w:rPr>
            </w:pPr>
            <w:r w:rsidRPr="004D451D">
              <w:rPr>
                <w:rFonts w:eastAsia="標楷體"/>
                <w:b/>
                <w:bCs/>
                <w:kern w:val="0"/>
              </w:rPr>
              <w:t>8</w:t>
            </w:r>
          </w:p>
        </w:tc>
        <w:tc>
          <w:tcPr>
            <w:tcW w:w="2484" w:type="dxa"/>
            <w:tcBorders>
              <w:top w:val="nil"/>
              <w:left w:val="nil"/>
              <w:bottom w:val="single" w:sz="4" w:space="0" w:color="auto"/>
              <w:right w:val="single" w:sz="8" w:space="0" w:color="auto"/>
            </w:tcBorders>
            <w:vAlign w:val="center"/>
          </w:tcPr>
          <w:p w:rsidR="001F240C" w:rsidRPr="004D451D" w:rsidRDefault="001F240C" w:rsidP="00EA41F8">
            <w:pPr>
              <w:widowControl/>
              <w:rPr>
                <w:rFonts w:eastAsia="標楷體"/>
                <w:b/>
                <w:bCs/>
                <w:kern w:val="0"/>
              </w:rPr>
            </w:pPr>
            <w:r w:rsidRPr="004D451D">
              <w:rPr>
                <w:rFonts w:eastAsia="標楷體"/>
                <w:b/>
                <w:bCs/>
                <w:kern w:val="0"/>
              </w:rPr>
              <w:t>法定目的之暴險額</w:t>
            </w:r>
          </w:p>
        </w:tc>
        <w:tc>
          <w:tcPr>
            <w:tcW w:w="1391" w:type="dxa"/>
            <w:tcBorders>
              <w:top w:val="nil"/>
              <w:left w:val="nil"/>
              <w:bottom w:val="single" w:sz="4" w:space="0" w:color="auto"/>
              <w:right w:val="single" w:sz="8" w:space="0" w:color="auto"/>
            </w:tcBorders>
            <w:shd w:val="clear" w:color="auto" w:fill="A6A6A6"/>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3"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257,021,438</w:t>
            </w:r>
          </w:p>
        </w:tc>
        <w:tc>
          <w:tcPr>
            <w:tcW w:w="1401" w:type="dxa"/>
            <w:tcBorders>
              <w:top w:val="nil"/>
              <w:left w:val="nil"/>
              <w:bottom w:val="single" w:sz="4" w:space="0" w:color="auto"/>
              <w:right w:val="single" w:sz="8" w:space="0" w:color="auto"/>
            </w:tcBorders>
            <w:vAlign w:val="center"/>
          </w:tcPr>
          <w:p w:rsidR="001F240C" w:rsidRPr="004D451D" w:rsidRDefault="001F240C" w:rsidP="001F240C">
            <w:pPr>
              <w:jc w:val="right"/>
              <w:rPr>
                <w:rFonts w:ascii="Arial" w:hAnsi="Arial" w:cs="Arial"/>
              </w:rPr>
            </w:pPr>
            <w:r w:rsidRPr="004D451D">
              <w:rPr>
                <w:rFonts w:ascii="Arial" w:hAnsi="Arial" w:cs="Arial"/>
              </w:rPr>
              <w:t>40,371,807</w:t>
            </w:r>
          </w:p>
        </w:tc>
        <w:tc>
          <w:tcPr>
            <w:tcW w:w="1385" w:type="dxa"/>
            <w:tcBorders>
              <w:top w:val="nil"/>
              <w:left w:val="nil"/>
              <w:bottom w:val="single" w:sz="4" w:space="0" w:color="auto"/>
              <w:right w:val="nil"/>
            </w:tcBorders>
            <w:vAlign w:val="center"/>
          </w:tcPr>
          <w:p w:rsidR="001F240C" w:rsidRPr="004D451D" w:rsidRDefault="001F240C" w:rsidP="001F240C">
            <w:pPr>
              <w:jc w:val="right"/>
              <w:rPr>
                <w:rFonts w:ascii="Arial" w:hAnsi="Arial" w:cs="Arial"/>
              </w:rPr>
            </w:pPr>
            <w:r w:rsidRPr="004D451D">
              <w:rPr>
                <w:rFonts w:ascii="Arial" w:hAnsi="Arial" w:cs="Arial"/>
              </w:rPr>
              <w:t xml:space="preserve">　</w:t>
            </w:r>
          </w:p>
        </w:tc>
        <w:tc>
          <w:tcPr>
            <w:tcW w:w="1401" w:type="dxa"/>
            <w:tcBorders>
              <w:top w:val="nil"/>
              <w:left w:val="single" w:sz="8" w:space="0" w:color="auto"/>
              <w:bottom w:val="single" w:sz="4" w:space="0" w:color="auto"/>
              <w:right w:val="single" w:sz="4" w:space="0" w:color="auto"/>
            </w:tcBorders>
            <w:vAlign w:val="center"/>
          </w:tcPr>
          <w:p w:rsidR="001F240C" w:rsidRPr="004D451D" w:rsidRDefault="001F240C" w:rsidP="001F240C">
            <w:pPr>
              <w:jc w:val="right"/>
              <w:rPr>
                <w:rFonts w:ascii="Arial" w:hAnsi="Arial" w:cs="Arial"/>
              </w:rPr>
            </w:pPr>
            <w:r w:rsidRPr="004D451D">
              <w:rPr>
                <w:rFonts w:ascii="Arial" w:hAnsi="Arial" w:cs="Arial"/>
              </w:rPr>
              <w:t>23,697,738</w:t>
            </w:r>
          </w:p>
        </w:tc>
      </w:tr>
    </w:tbl>
    <w:p w:rsidR="00E03BBD" w:rsidRPr="004D451D" w:rsidRDefault="00E03BBD" w:rsidP="00156CEA">
      <w:pPr>
        <w:rPr>
          <w:rFonts w:eastAsia="標楷體"/>
          <w:kern w:val="0"/>
          <w:sz w:val="20"/>
          <w:szCs w:val="20"/>
        </w:rPr>
      </w:pPr>
    </w:p>
    <w:p w:rsidR="00E03BBD" w:rsidRPr="004D451D" w:rsidRDefault="00E03BBD" w:rsidP="00156CEA">
      <w:pPr>
        <w:rPr>
          <w:rFonts w:eastAsia="標楷體"/>
          <w:b/>
          <w:kern w:val="0"/>
        </w:rPr>
      </w:pPr>
      <w:r w:rsidRPr="004D451D">
        <w:rPr>
          <w:rFonts w:eastAsia="標楷體"/>
          <w:b/>
          <w:kern w:val="0"/>
        </w:rPr>
        <w:t>填表說明：</w:t>
      </w:r>
    </w:p>
    <w:p w:rsidR="00E03BBD" w:rsidRPr="004D451D" w:rsidRDefault="00E03BBD" w:rsidP="00EF4134">
      <w:pPr>
        <w:numPr>
          <w:ilvl w:val="0"/>
          <w:numId w:val="22"/>
        </w:numPr>
        <w:spacing w:line="240" w:lineRule="atLeast"/>
        <w:ind w:leftChars="150" w:left="720" w:hangingChars="150"/>
        <w:jc w:val="both"/>
        <w:rPr>
          <w:rFonts w:eastAsia="標楷體"/>
        </w:rPr>
      </w:pPr>
      <w:r w:rsidRPr="004D451D">
        <w:rPr>
          <w:rFonts w:eastAsia="標楷體"/>
        </w:rPr>
        <w:t>本表更新頻率：年。</w:t>
      </w:r>
    </w:p>
    <w:p w:rsidR="00D72BA3" w:rsidRPr="004D451D" w:rsidRDefault="00D72BA3" w:rsidP="00EF4134">
      <w:pPr>
        <w:numPr>
          <w:ilvl w:val="0"/>
          <w:numId w:val="22"/>
        </w:numPr>
        <w:spacing w:line="240" w:lineRule="atLeast"/>
        <w:ind w:leftChars="150" w:left="720" w:hangingChars="150"/>
        <w:jc w:val="both"/>
        <w:rPr>
          <w:rFonts w:eastAsia="標楷體"/>
        </w:rPr>
      </w:pPr>
      <w:r w:rsidRPr="004D451D">
        <w:rPr>
          <w:rFonts w:eastAsia="標楷體"/>
        </w:rPr>
        <w:t>本表採個體基礎填報。</w:t>
      </w:r>
    </w:p>
    <w:p w:rsidR="00D72BA3" w:rsidRPr="004D451D" w:rsidRDefault="00D72BA3" w:rsidP="00EF4134">
      <w:pPr>
        <w:numPr>
          <w:ilvl w:val="0"/>
          <w:numId w:val="22"/>
        </w:numPr>
        <w:spacing w:line="240" w:lineRule="atLeast"/>
        <w:ind w:leftChars="150" w:left="720" w:hangingChars="150"/>
        <w:jc w:val="both"/>
        <w:rPr>
          <w:rFonts w:eastAsia="標楷體"/>
        </w:rPr>
      </w:pPr>
      <w:r w:rsidRPr="004D451D">
        <w:rPr>
          <w:rFonts w:eastAsia="標楷體"/>
          <w:szCs w:val="28"/>
        </w:rPr>
        <w:t>「信用風險架構」、「交易對手信用風險架構」及「證券化架構」之暴險額需填列</w:t>
      </w:r>
      <w:r w:rsidR="00535B6C" w:rsidRPr="004D451D">
        <w:rPr>
          <w:rFonts w:eastAsia="標楷體" w:hint="eastAsia"/>
          <w:szCs w:val="28"/>
        </w:rPr>
        <w:t>考慮淨額結算效果惟未考慮其他風險抵減效果之</w:t>
      </w:r>
      <w:r w:rsidRPr="004D451D">
        <w:rPr>
          <w:rFonts w:eastAsia="標楷體"/>
          <w:szCs w:val="28"/>
        </w:rPr>
        <w:t>暴險額</w:t>
      </w:r>
      <w:r w:rsidRPr="004D451D">
        <w:rPr>
          <w:rFonts w:eastAsia="標楷體"/>
          <w:szCs w:val="28"/>
        </w:rPr>
        <w:t>(</w:t>
      </w:r>
      <w:r w:rsidRPr="004D451D">
        <w:rPr>
          <w:rFonts w:eastAsia="標楷體"/>
          <w:szCs w:val="28"/>
        </w:rPr>
        <w:t>包含信用相當額</w:t>
      </w:r>
      <w:r w:rsidRPr="004D451D">
        <w:rPr>
          <w:rFonts w:eastAsia="標楷體"/>
          <w:szCs w:val="28"/>
        </w:rPr>
        <w:t>)</w:t>
      </w:r>
      <w:r w:rsidRPr="004D451D">
        <w:rPr>
          <w:rFonts w:eastAsia="標楷體"/>
          <w:szCs w:val="28"/>
        </w:rPr>
        <w:t>。</w:t>
      </w:r>
    </w:p>
    <w:p w:rsidR="00D72BA3" w:rsidRPr="004D451D" w:rsidRDefault="00D72BA3" w:rsidP="00EF4134">
      <w:pPr>
        <w:numPr>
          <w:ilvl w:val="0"/>
          <w:numId w:val="22"/>
        </w:numPr>
        <w:spacing w:line="240" w:lineRule="atLeast"/>
        <w:ind w:leftChars="150" w:left="720" w:hangingChars="150"/>
        <w:jc w:val="both"/>
        <w:rPr>
          <w:rFonts w:eastAsia="標楷體"/>
        </w:rPr>
      </w:pPr>
      <w:r w:rsidRPr="004D451D">
        <w:rPr>
          <w:rFonts w:eastAsia="標楷體"/>
          <w:szCs w:val="28"/>
        </w:rPr>
        <w:t>「市場風險架構」下之暴險額為資本計提數乘以</w:t>
      </w:r>
      <w:r w:rsidRPr="004D451D">
        <w:rPr>
          <w:rFonts w:eastAsia="標楷體"/>
          <w:szCs w:val="28"/>
        </w:rPr>
        <w:t>12.5</w:t>
      </w:r>
      <w:r w:rsidRPr="004D451D">
        <w:rPr>
          <w:rFonts w:eastAsia="標楷體"/>
          <w:szCs w:val="28"/>
        </w:rPr>
        <w:t>求得。</w:t>
      </w:r>
    </w:p>
    <w:p w:rsidR="004073B7" w:rsidRPr="004D451D" w:rsidRDefault="004073B7" w:rsidP="00EF4134">
      <w:pPr>
        <w:numPr>
          <w:ilvl w:val="0"/>
          <w:numId w:val="22"/>
        </w:numPr>
        <w:spacing w:line="240" w:lineRule="atLeast"/>
        <w:ind w:leftChars="150" w:left="720" w:hangingChars="150"/>
        <w:jc w:val="both"/>
        <w:rPr>
          <w:rFonts w:eastAsia="標楷體"/>
        </w:rPr>
      </w:pPr>
      <w:r w:rsidRPr="004D451D">
        <w:rPr>
          <w:rFonts w:eastAsia="標楷體" w:hint="eastAsia"/>
        </w:rPr>
        <w:t>表格第四至第七列目的在於說明納入法定目的暴險額</w:t>
      </w:r>
      <w:r w:rsidRPr="004D451D">
        <w:rPr>
          <w:rFonts w:eastAsia="標楷體" w:hint="eastAsia"/>
        </w:rPr>
        <w:t>(</w:t>
      </w:r>
      <w:r w:rsidRPr="004D451D">
        <w:rPr>
          <w:rFonts w:eastAsia="標楷體" w:hint="eastAsia"/>
        </w:rPr>
        <w:t>本表第八列</w:t>
      </w:r>
      <w:r w:rsidRPr="004D451D">
        <w:rPr>
          <w:rFonts w:eastAsia="標楷體" w:hint="eastAsia"/>
        </w:rPr>
        <w:t>)</w:t>
      </w:r>
      <w:r w:rsidRPr="004D451D">
        <w:rPr>
          <w:rFonts w:eastAsia="標楷體" w:hint="eastAsia"/>
        </w:rPr>
        <w:t>與財報帳面價值間</w:t>
      </w:r>
      <w:r w:rsidRPr="004D451D">
        <w:rPr>
          <w:rFonts w:eastAsia="標楷體" w:hint="eastAsia"/>
        </w:rPr>
        <w:t>(</w:t>
      </w:r>
      <w:r w:rsidRPr="004D451D">
        <w:rPr>
          <w:rFonts w:eastAsia="標楷體" w:hint="eastAsia"/>
        </w:rPr>
        <w:t>本表第一至三列</w:t>
      </w:r>
      <w:r w:rsidRPr="004D451D">
        <w:rPr>
          <w:rFonts w:eastAsia="標楷體" w:hint="eastAsia"/>
        </w:rPr>
        <w:t>)</w:t>
      </w:r>
      <w:r w:rsidRPr="004D451D">
        <w:rPr>
          <w:rFonts w:eastAsia="標楷體" w:hint="eastAsia"/>
        </w:rPr>
        <w:t>之差異。各銀行得依本身需求於本表第七列以下增列項目。各列說明如下：</w:t>
      </w:r>
    </w:p>
    <w:p w:rsidR="004073B7" w:rsidRPr="004D451D" w:rsidRDefault="004073B7" w:rsidP="00482E54">
      <w:pPr>
        <w:numPr>
          <w:ilvl w:val="0"/>
          <w:numId w:val="85"/>
        </w:numPr>
        <w:spacing w:line="240" w:lineRule="atLeast"/>
        <w:ind w:leftChars="250" w:left="1080" w:hangingChars="200" w:hanging="480"/>
        <w:jc w:val="both"/>
        <w:rPr>
          <w:rFonts w:eastAsia="標楷體"/>
        </w:rPr>
      </w:pPr>
      <w:r w:rsidRPr="004D451D">
        <w:rPr>
          <w:rFonts w:eastAsia="標楷體" w:hint="eastAsia"/>
        </w:rPr>
        <w:t>「資產負債表表外金額」</w:t>
      </w:r>
      <w:r w:rsidR="00373807" w:rsidRPr="004D451D">
        <w:rPr>
          <w:rFonts w:eastAsia="標楷體" w:hint="eastAsia"/>
        </w:rPr>
        <w:t>：</w:t>
      </w:r>
      <w:r w:rsidRPr="004D451D">
        <w:rPr>
          <w:rFonts w:eastAsia="標楷體" w:hint="eastAsia"/>
        </w:rPr>
        <w:t>於信用風險架構下，係指考量信用轉換係數</w:t>
      </w:r>
      <w:r w:rsidRPr="004D451D">
        <w:rPr>
          <w:rFonts w:eastAsia="標楷體" w:hint="eastAsia"/>
        </w:rPr>
        <w:t>(CCFs)</w:t>
      </w:r>
      <w:r w:rsidRPr="004D451D">
        <w:rPr>
          <w:rFonts w:eastAsia="標楷體" w:hint="eastAsia"/>
        </w:rPr>
        <w:t>後金額，於「證券化架構」下係指計入表外之金額。</w:t>
      </w:r>
    </w:p>
    <w:p w:rsidR="004073B7" w:rsidRPr="004D451D" w:rsidRDefault="004073B7" w:rsidP="00482E54">
      <w:pPr>
        <w:numPr>
          <w:ilvl w:val="0"/>
          <w:numId w:val="85"/>
        </w:numPr>
        <w:spacing w:line="240" w:lineRule="atLeast"/>
        <w:ind w:leftChars="250" w:left="1080" w:hangingChars="200" w:hanging="480"/>
        <w:jc w:val="both"/>
        <w:rPr>
          <w:rFonts w:eastAsia="標楷體"/>
        </w:rPr>
      </w:pPr>
      <w:r w:rsidRPr="004D451D">
        <w:rPr>
          <w:rFonts w:eastAsia="標楷體" w:hint="eastAsia"/>
        </w:rPr>
        <w:t>「考量計提方式之差異」</w:t>
      </w:r>
      <w:r w:rsidR="00373807" w:rsidRPr="004D451D">
        <w:rPr>
          <w:rFonts w:eastAsia="標楷體" w:hint="eastAsia"/>
        </w:rPr>
        <w:t>：</w:t>
      </w:r>
      <w:r w:rsidRPr="004D451D">
        <w:rPr>
          <w:rFonts w:eastAsia="標楷體" w:hint="eastAsia"/>
        </w:rPr>
        <w:t>係指因資本計提方式影響。</w:t>
      </w:r>
      <w:r w:rsidRPr="004D451D">
        <w:rPr>
          <w:rFonts w:eastAsia="標楷體" w:hint="eastAsia"/>
        </w:rPr>
        <w:t>(</w:t>
      </w:r>
      <w:r w:rsidR="002C27F5" w:rsidRPr="004D451D">
        <w:rPr>
          <w:rFonts w:eastAsia="標楷體" w:hint="eastAsia"/>
        </w:rPr>
        <w:t>例如市場風險架構下，採名目本金、</w:t>
      </w:r>
      <w:r w:rsidRPr="004D451D">
        <w:rPr>
          <w:rFonts w:eastAsia="標楷體" w:hint="eastAsia"/>
        </w:rPr>
        <w:t>Delta-plus</w:t>
      </w:r>
      <w:r w:rsidR="002C27F5" w:rsidRPr="004D451D">
        <w:rPr>
          <w:rFonts w:eastAsia="標楷體" w:hint="eastAsia"/>
        </w:rPr>
        <w:t>及</w:t>
      </w:r>
      <w:r w:rsidR="00F7787C" w:rsidRPr="004D451D">
        <w:rPr>
          <w:rFonts w:eastAsia="標楷體" w:hint="eastAsia"/>
        </w:rPr>
        <w:t>選擇權採</w:t>
      </w:r>
      <w:r w:rsidR="002C27F5" w:rsidRPr="004D451D">
        <w:rPr>
          <w:rFonts w:eastAsia="標楷體" w:hint="eastAsia"/>
        </w:rPr>
        <w:t>簡易法</w:t>
      </w:r>
      <w:r w:rsidRPr="004D451D">
        <w:rPr>
          <w:rFonts w:eastAsia="標楷體" w:hint="eastAsia"/>
        </w:rPr>
        <w:t>計算資本計提之產品無法以帳面價值反應於【附表</w:t>
      </w:r>
      <w:r w:rsidR="00F91654" w:rsidRPr="004D451D">
        <w:rPr>
          <w:rFonts w:eastAsia="標楷體" w:hint="eastAsia"/>
        </w:rPr>
        <w:t>十</w:t>
      </w:r>
      <w:r w:rsidRPr="004D451D">
        <w:rPr>
          <w:rFonts w:eastAsia="標楷體" w:hint="eastAsia"/>
        </w:rPr>
        <w:t>】之暴險等</w:t>
      </w:r>
      <w:r w:rsidRPr="004D451D">
        <w:rPr>
          <w:rFonts w:eastAsia="標楷體" w:hint="eastAsia"/>
        </w:rPr>
        <w:t>)</w:t>
      </w:r>
      <w:r w:rsidRPr="004D451D">
        <w:rPr>
          <w:rFonts w:eastAsia="標楷體" w:hint="eastAsia"/>
        </w:rPr>
        <w:t>。</w:t>
      </w:r>
    </w:p>
    <w:p w:rsidR="004073B7" w:rsidRPr="004D451D" w:rsidRDefault="004073B7" w:rsidP="00482E54">
      <w:pPr>
        <w:numPr>
          <w:ilvl w:val="0"/>
          <w:numId w:val="85"/>
        </w:numPr>
        <w:spacing w:line="240" w:lineRule="atLeast"/>
        <w:ind w:leftChars="250" w:left="1080" w:hangingChars="200" w:hanging="480"/>
        <w:jc w:val="both"/>
        <w:rPr>
          <w:rFonts w:eastAsia="標楷體"/>
        </w:rPr>
      </w:pPr>
      <w:r w:rsidRPr="004D451D">
        <w:rPr>
          <w:rFonts w:eastAsia="標楷體" w:hint="eastAsia"/>
        </w:rPr>
        <w:t>「交易對手信用相當額與帳面價值差異」：於交易對手信用風險架構下，信用相當額與已於【附表</w:t>
      </w:r>
      <w:r w:rsidR="00F91654" w:rsidRPr="004D451D">
        <w:rPr>
          <w:rFonts w:eastAsia="標楷體" w:hint="eastAsia"/>
        </w:rPr>
        <w:t>十</w:t>
      </w:r>
      <w:r w:rsidRPr="004D451D">
        <w:rPr>
          <w:rFonts w:eastAsia="標楷體" w:hint="eastAsia"/>
        </w:rPr>
        <w:t>】反應之帳面價值之差異。</w:t>
      </w:r>
    </w:p>
    <w:p w:rsidR="004073B7" w:rsidRPr="004D451D" w:rsidRDefault="004073B7" w:rsidP="00482E54">
      <w:pPr>
        <w:numPr>
          <w:ilvl w:val="0"/>
          <w:numId w:val="85"/>
        </w:numPr>
        <w:spacing w:line="240" w:lineRule="atLeast"/>
        <w:ind w:leftChars="250" w:left="1080" w:hangingChars="200" w:hanging="480"/>
        <w:jc w:val="both"/>
        <w:rPr>
          <w:rFonts w:eastAsia="標楷體"/>
        </w:rPr>
      </w:pPr>
      <w:r w:rsidRPr="004D451D">
        <w:rPr>
          <w:rFonts w:eastAsia="標楷體" w:hint="eastAsia"/>
        </w:rPr>
        <w:t>「評價差異」</w:t>
      </w:r>
      <w:r w:rsidR="003E3169" w:rsidRPr="004D451D">
        <w:rPr>
          <w:rFonts w:eastAsia="標楷體" w:hint="eastAsia"/>
        </w:rPr>
        <w:t>：</w:t>
      </w:r>
      <w:r w:rsidRPr="004D451D">
        <w:rPr>
          <w:rFonts w:eastAsia="標楷體" w:hint="eastAsia"/>
        </w:rPr>
        <w:t>係指交易對手信用風險架構下，信用風險評價調整</w:t>
      </w:r>
      <w:r w:rsidRPr="004D451D">
        <w:rPr>
          <w:rFonts w:eastAsia="標楷體" w:hint="eastAsia"/>
        </w:rPr>
        <w:t>(CVA)</w:t>
      </w:r>
      <w:r w:rsidRPr="004D451D">
        <w:rPr>
          <w:rFonts w:eastAsia="標楷體" w:hint="eastAsia"/>
        </w:rPr>
        <w:t>。</w:t>
      </w:r>
    </w:p>
    <w:p w:rsidR="004073B7" w:rsidRPr="004D451D" w:rsidRDefault="004073B7" w:rsidP="00EF4134">
      <w:pPr>
        <w:numPr>
          <w:ilvl w:val="0"/>
          <w:numId w:val="22"/>
        </w:numPr>
        <w:spacing w:line="240" w:lineRule="atLeast"/>
        <w:ind w:leftChars="150" w:left="720" w:hangingChars="150"/>
        <w:jc w:val="both"/>
        <w:rPr>
          <w:rFonts w:eastAsia="標楷體"/>
        </w:rPr>
      </w:pPr>
      <w:r w:rsidRPr="004D451D">
        <w:rPr>
          <w:rFonts w:eastAsia="標楷體" w:hint="eastAsia"/>
        </w:rPr>
        <w:t>「總和」欄位填寫定義如下</w:t>
      </w:r>
      <w:r w:rsidR="003E3169" w:rsidRPr="004D451D">
        <w:rPr>
          <w:rFonts w:eastAsia="標楷體" w:hint="eastAsia"/>
        </w:rPr>
        <w:t>：</w:t>
      </w:r>
    </w:p>
    <w:p w:rsidR="004073B7" w:rsidRPr="004D451D" w:rsidRDefault="004073B7" w:rsidP="00482E54">
      <w:pPr>
        <w:numPr>
          <w:ilvl w:val="0"/>
          <w:numId w:val="86"/>
        </w:numPr>
        <w:spacing w:line="240" w:lineRule="atLeast"/>
        <w:ind w:leftChars="250" w:left="1080" w:hangingChars="200" w:hanging="480"/>
        <w:jc w:val="both"/>
        <w:rPr>
          <w:rFonts w:eastAsia="標楷體"/>
        </w:rPr>
      </w:pPr>
      <w:r w:rsidRPr="004D451D">
        <w:rPr>
          <w:rFonts w:eastAsia="標楷體" w:hint="eastAsia"/>
        </w:rPr>
        <w:t>第四列「資產負債表表外金額」之「總和」欄位係指「未考量信用轉換係數前之暴險額」，故第八列「法定目的之暴險額」之「總和」無意義，不需填寫。</w:t>
      </w:r>
    </w:p>
    <w:p w:rsidR="004073B7" w:rsidRPr="004D451D" w:rsidRDefault="004073B7" w:rsidP="00482E54">
      <w:pPr>
        <w:numPr>
          <w:ilvl w:val="0"/>
          <w:numId w:val="86"/>
        </w:numPr>
        <w:spacing w:line="240" w:lineRule="atLeast"/>
        <w:ind w:leftChars="250" w:left="1080" w:hangingChars="200" w:hanging="480"/>
        <w:jc w:val="both"/>
        <w:rPr>
          <w:rFonts w:eastAsia="標楷體"/>
        </w:rPr>
      </w:pPr>
      <w:r w:rsidRPr="004D451D">
        <w:rPr>
          <w:rFonts w:eastAsia="標楷體" w:hint="eastAsia"/>
        </w:rPr>
        <w:t>其餘項目之「總和」欄位係指各風險架構</w:t>
      </w:r>
      <w:r w:rsidRPr="004D451D">
        <w:rPr>
          <w:rFonts w:eastAsia="標楷體" w:hint="eastAsia"/>
        </w:rPr>
        <w:t>(A~D</w:t>
      </w:r>
      <w:r w:rsidRPr="004D451D">
        <w:rPr>
          <w:rFonts w:eastAsia="標楷體" w:hint="eastAsia"/>
        </w:rPr>
        <w:t>欄</w:t>
      </w:r>
      <w:r w:rsidRPr="004D451D">
        <w:rPr>
          <w:rFonts w:eastAsia="標楷體" w:hint="eastAsia"/>
        </w:rPr>
        <w:t>)</w:t>
      </w:r>
      <w:r w:rsidRPr="004D451D">
        <w:rPr>
          <w:rFonts w:eastAsia="標楷體" w:hint="eastAsia"/>
        </w:rPr>
        <w:t>下之金額加總。</w:t>
      </w:r>
    </w:p>
    <w:p w:rsidR="004073B7" w:rsidRPr="004D451D" w:rsidRDefault="004073B7" w:rsidP="00610923">
      <w:pPr>
        <w:spacing w:line="240" w:lineRule="atLeast"/>
        <w:rPr>
          <w:rFonts w:eastAsia="標楷體"/>
        </w:rPr>
      </w:pPr>
    </w:p>
    <w:p w:rsidR="00F351CE" w:rsidRPr="004D451D" w:rsidRDefault="00F351CE" w:rsidP="00566A6A">
      <w:pPr>
        <w:spacing w:line="360" w:lineRule="auto"/>
        <w:ind w:left="180" w:hangingChars="75" w:hanging="180"/>
        <w:rPr>
          <w:rFonts w:eastAsia="標楷體"/>
        </w:rPr>
      </w:pPr>
    </w:p>
    <w:p w:rsidR="00F351CE" w:rsidRPr="004D451D" w:rsidRDefault="00F351CE" w:rsidP="00F351CE">
      <w:pPr>
        <w:spacing w:line="360" w:lineRule="auto"/>
        <w:ind w:left="180" w:hangingChars="75" w:hanging="180"/>
        <w:rPr>
          <w:rFonts w:eastAsia="標楷體"/>
          <w:b/>
        </w:rPr>
      </w:pPr>
      <w:r w:rsidRPr="004D451D">
        <w:rPr>
          <w:rFonts w:eastAsia="標楷體"/>
          <w:b/>
        </w:rPr>
        <w:t>跨表檢核：</w:t>
      </w:r>
    </w:p>
    <w:p w:rsidR="00951B2A" w:rsidRPr="004D451D" w:rsidRDefault="00F351CE"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1</w:t>
      </w:r>
      <w:r w:rsidR="00B66543" w:rsidRPr="004D451D">
        <w:rPr>
          <w:rFonts w:eastAsia="標楷體" w:hint="eastAsia"/>
        </w:rPr>
        <w:t>A</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00B66543" w:rsidRPr="004D451D">
        <w:rPr>
          <w:rFonts w:eastAsia="標楷體" w:hint="eastAsia"/>
        </w:rPr>
        <w:t>2</w:t>
      </w:r>
      <w:r w:rsidR="001F240C" w:rsidRPr="004D451D">
        <w:rPr>
          <w:rFonts w:eastAsia="標楷體" w:hint="eastAsia"/>
        </w:rPr>
        <w:t>1</w:t>
      </w:r>
      <w:r w:rsidR="00B66543" w:rsidRPr="004D451D">
        <w:rPr>
          <w:rFonts w:eastAsia="標楷體" w:hint="eastAsia"/>
        </w:rPr>
        <w:t>A</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1</w:t>
      </w:r>
      <w:r w:rsidRPr="004D451D">
        <w:rPr>
          <w:rFonts w:eastAsia="標楷體" w:hint="eastAsia"/>
        </w:rPr>
        <w:t>B</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2</w:t>
      </w:r>
      <w:r w:rsidR="001F240C" w:rsidRPr="004D451D">
        <w:rPr>
          <w:rFonts w:eastAsia="標楷體" w:hint="eastAsia"/>
        </w:rPr>
        <w:t>1</w:t>
      </w:r>
      <w:r w:rsidRPr="004D451D">
        <w:rPr>
          <w:rFonts w:eastAsia="標楷體" w:hint="eastAsia"/>
        </w:rPr>
        <w:t>B</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1</w:t>
      </w:r>
      <w:r w:rsidRPr="004D451D">
        <w:rPr>
          <w:rFonts w:eastAsia="標楷體" w:hint="eastAsia"/>
        </w:rPr>
        <w:t>C</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2</w:t>
      </w:r>
      <w:r w:rsidR="001F240C" w:rsidRPr="004D451D">
        <w:rPr>
          <w:rFonts w:eastAsia="標楷體" w:hint="eastAsia"/>
        </w:rPr>
        <w:t>1</w:t>
      </w:r>
      <w:r w:rsidRPr="004D451D">
        <w:rPr>
          <w:rFonts w:eastAsia="標楷體" w:hint="eastAsia"/>
        </w:rPr>
        <w:t>C</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1</w:t>
      </w:r>
      <w:r w:rsidRPr="004D451D">
        <w:rPr>
          <w:rFonts w:eastAsia="標楷體" w:hint="eastAsia"/>
        </w:rPr>
        <w:t>D</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2</w:t>
      </w:r>
      <w:r w:rsidR="001F240C" w:rsidRPr="004D451D">
        <w:rPr>
          <w:rFonts w:eastAsia="標楷體" w:hint="eastAsia"/>
        </w:rPr>
        <w:t>1</w:t>
      </w:r>
      <w:r w:rsidRPr="004D451D">
        <w:rPr>
          <w:rFonts w:eastAsia="標楷體" w:hint="eastAsia"/>
        </w:rPr>
        <w:t>D</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2</w:t>
      </w:r>
      <w:r w:rsidRPr="004D451D">
        <w:rPr>
          <w:rFonts w:eastAsia="標楷體" w:hint="eastAsia"/>
        </w:rPr>
        <w:t>A</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3</w:t>
      </w:r>
      <w:r w:rsidR="001F240C" w:rsidRPr="004D451D">
        <w:rPr>
          <w:rFonts w:eastAsia="標楷體" w:hint="eastAsia"/>
        </w:rPr>
        <w:t>7</w:t>
      </w:r>
      <w:r w:rsidRPr="004D451D">
        <w:rPr>
          <w:rFonts w:eastAsia="標楷體" w:hint="eastAsia"/>
        </w:rPr>
        <w:t>A</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2</w:t>
      </w:r>
      <w:r w:rsidRPr="004D451D">
        <w:rPr>
          <w:rFonts w:eastAsia="標楷體" w:hint="eastAsia"/>
        </w:rPr>
        <w:t>B</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3</w:t>
      </w:r>
      <w:r w:rsidR="001F240C" w:rsidRPr="004D451D">
        <w:rPr>
          <w:rFonts w:eastAsia="標楷體" w:hint="eastAsia"/>
        </w:rPr>
        <w:t>7</w:t>
      </w:r>
      <w:r w:rsidRPr="004D451D">
        <w:rPr>
          <w:rFonts w:eastAsia="標楷體" w:hint="eastAsia"/>
        </w:rPr>
        <w:t>B</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2</w:t>
      </w:r>
      <w:r w:rsidRPr="004D451D">
        <w:rPr>
          <w:rFonts w:eastAsia="標楷體" w:hint="eastAsia"/>
        </w:rPr>
        <w:t>C</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3</w:t>
      </w:r>
      <w:r w:rsidR="001F240C" w:rsidRPr="004D451D">
        <w:rPr>
          <w:rFonts w:eastAsia="標楷體" w:hint="eastAsia"/>
        </w:rPr>
        <w:t>7</w:t>
      </w:r>
      <w:r w:rsidRPr="004D451D">
        <w:rPr>
          <w:rFonts w:eastAsia="標楷體" w:hint="eastAsia"/>
        </w:rPr>
        <w:t>C</w:t>
      </w:r>
    </w:p>
    <w:p w:rsidR="00951B2A" w:rsidRPr="004D451D" w:rsidRDefault="00951B2A" w:rsidP="00EF4134">
      <w:pPr>
        <w:numPr>
          <w:ilvl w:val="0"/>
          <w:numId w:val="27"/>
        </w:numPr>
        <w:ind w:leftChars="150" w:left="720" w:hangingChars="150"/>
        <w:rPr>
          <w:rFonts w:eastAsia="標楷體"/>
        </w:rPr>
      </w:pPr>
      <w:r w:rsidRPr="004D451D">
        <w:rPr>
          <w:rFonts w:eastAsia="標楷體"/>
        </w:rPr>
        <w:t>【附表十</w:t>
      </w:r>
      <w:r w:rsidR="00922A86" w:rsidRPr="004D451D">
        <w:rPr>
          <w:rFonts w:eastAsia="標楷體" w:hint="eastAsia"/>
        </w:rPr>
        <w:t>一</w:t>
      </w:r>
      <w:r w:rsidRPr="004D451D">
        <w:rPr>
          <w:rFonts w:eastAsia="標楷體"/>
        </w:rPr>
        <w:t>】</w:t>
      </w:r>
      <w:r w:rsidRPr="004D451D">
        <w:rPr>
          <w:rFonts w:eastAsia="標楷體"/>
        </w:rPr>
        <w:t>2</w:t>
      </w:r>
      <w:r w:rsidRPr="004D451D">
        <w:rPr>
          <w:rFonts w:eastAsia="標楷體" w:hint="eastAsia"/>
        </w:rPr>
        <w:t>D</w:t>
      </w:r>
      <w:r w:rsidRPr="004D451D">
        <w:rPr>
          <w:rFonts w:eastAsia="標楷體"/>
        </w:rPr>
        <w:t>=</w:t>
      </w:r>
      <w:r w:rsidRPr="004D451D">
        <w:rPr>
          <w:rFonts w:eastAsia="標楷體"/>
        </w:rPr>
        <w:t>【附表</w:t>
      </w:r>
      <w:r w:rsidR="00922A86" w:rsidRPr="004D451D">
        <w:rPr>
          <w:rFonts w:eastAsia="標楷體" w:hint="eastAsia"/>
        </w:rPr>
        <w:t>十</w:t>
      </w:r>
      <w:r w:rsidRPr="004D451D">
        <w:rPr>
          <w:rFonts w:eastAsia="標楷體"/>
        </w:rPr>
        <w:t>】</w:t>
      </w:r>
      <w:r w:rsidRPr="004D451D">
        <w:rPr>
          <w:rFonts w:eastAsia="標楷體" w:hint="eastAsia"/>
        </w:rPr>
        <w:t>3</w:t>
      </w:r>
      <w:r w:rsidR="001F240C" w:rsidRPr="004D451D">
        <w:rPr>
          <w:rFonts w:eastAsia="標楷體" w:hint="eastAsia"/>
        </w:rPr>
        <w:t>7</w:t>
      </w:r>
      <w:r w:rsidRPr="004D451D">
        <w:rPr>
          <w:rFonts w:eastAsia="標楷體" w:hint="eastAsia"/>
        </w:rPr>
        <w:t>D</w:t>
      </w:r>
    </w:p>
    <w:p w:rsidR="00F351CE" w:rsidRPr="004D451D" w:rsidRDefault="00F351CE" w:rsidP="00F351CE">
      <w:pPr>
        <w:spacing w:line="360" w:lineRule="auto"/>
        <w:ind w:left="180" w:hangingChars="75" w:hanging="180"/>
        <w:rPr>
          <w:rFonts w:eastAsia="標楷體"/>
        </w:rPr>
      </w:pPr>
    </w:p>
    <w:p w:rsidR="00F351CE" w:rsidRPr="004D451D" w:rsidRDefault="00F351CE" w:rsidP="00566A6A">
      <w:pPr>
        <w:spacing w:line="360" w:lineRule="auto"/>
        <w:ind w:left="180" w:hangingChars="75" w:hanging="180"/>
        <w:rPr>
          <w:rFonts w:ascii="Arial" w:eastAsia="標楷體" w:hAnsi="Arial" w:cs="Arial"/>
        </w:rPr>
      </w:pPr>
    </w:p>
    <w:p w:rsidR="00F351CE" w:rsidRPr="004D451D" w:rsidRDefault="00F351CE" w:rsidP="00566A6A">
      <w:pPr>
        <w:spacing w:line="360" w:lineRule="auto"/>
        <w:ind w:left="180" w:hangingChars="75" w:hanging="180"/>
        <w:rPr>
          <w:rFonts w:ascii="Arial" w:eastAsia="標楷體" w:hAnsi="Arial" w:cs="Arial"/>
        </w:rPr>
      </w:pPr>
    </w:p>
    <w:p w:rsidR="00E03BBD" w:rsidRPr="004D451D" w:rsidRDefault="00E03BBD" w:rsidP="006C3B0D">
      <w:pPr>
        <w:widowControl/>
        <w:rPr>
          <w:rFonts w:eastAsia="標楷體"/>
          <w:sz w:val="32"/>
          <w:szCs w:val="32"/>
        </w:rPr>
      </w:pPr>
      <w:r w:rsidRPr="004D451D">
        <w:rPr>
          <w:rFonts w:ascii="Arial" w:eastAsia="標楷體" w:hAnsi="Arial" w:cs="Arial"/>
          <w:szCs w:val="28"/>
        </w:rPr>
        <w:br w:type="page"/>
      </w:r>
      <w:r w:rsidRPr="004D451D">
        <w:rPr>
          <w:rFonts w:eastAsia="標楷體"/>
          <w:b/>
          <w:sz w:val="32"/>
          <w:szCs w:val="32"/>
        </w:rPr>
        <w:t>【附表十</w:t>
      </w:r>
      <w:r w:rsidR="00134AEA" w:rsidRPr="004D451D">
        <w:rPr>
          <w:rFonts w:eastAsia="標楷體" w:hint="eastAsia"/>
          <w:b/>
          <w:sz w:val="32"/>
          <w:szCs w:val="32"/>
        </w:rPr>
        <w:t>二</w:t>
      </w:r>
      <w:r w:rsidRPr="004D451D">
        <w:rPr>
          <w:rFonts w:eastAsia="標楷體"/>
          <w:b/>
          <w:sz w:val="32"/>
          <w:szCs w:val="32"/>
        </w:rPr>
        <w:t>】</w:t>
      </w:r>
    </w:p>
    <w:p w:rsidR="00E03BBD" w:rsidRPr="004D451D" w:rsidRDefault="00E03BBD" w:rsidP="000E6CC8">
      <w:pPr>
        <w:jc w:val="center"/>
        <w:rPr>
          <w:rFonts w:eastAsia="標楷體"/>
          <w:b/>
          <w:bCs/>
          <w:sz w:val="32"/>
          <w:szCs w:val="32"/>
        </w:rPr>
      </w:pPr>
      <w:r w:rsidRPr="004D451D">
        <w:rPr>
          <w:rFonts w:eastAsia="標楷體"/>
          <w:b/>
          <w:bCs/>
          <w:sz w:val="32"/>
          <w:szCs w:val="32"/>
        </w:rPr>
        <w:t>會計與法定暴險額間之差異說明</w:t>
      </w:r>
    </w:p>
    <w:p w:rsidR="00E03BBD" w:rsidRPr="004D451D" w:rsidRDefault="000D2F56" w:rsidP="006C3B0D">
      <w:pPr>
        <w:spacing w:line="360" w:lineRule="auto"/>
        <w:jc w:val="center"/>
        <w:rPr>
          <w:rFonts w:eastAsia="標楷體"/>
          <w:bCs/>
          <w:sz w:val="32"/>
          <w:szCs w:val="32"/>
        </w:rPr>
      </w:pPr>
      <w:r w:rsidRPr="004D451D">
        <w:rPr>
          <w:rFonts w:eastAsia="標楷體" w:hint="eastAsia"/>
          <w:bCs/>
          <w:sz w:val="32"/>
          <w:szCs w:val="32"/>
        </w:rPr>
        <w:t>10</w:t>
      </w:r>
      <w:r w:rsidR="003F60B9" w:rsidRPr="004D451D">
        <w:rPr>
          <w:rFonts w:eastAsia="標楷體" w:hint="eastAsia"/>
          <w:bCs/>
          <w:sz w:val="32"/>
          <w:szCs w:val="32"/>
        </w:rPr>
        <w:t>7</w:t>
      </w:r>
      <w:r w:rsidR="00E03BBD" w:rsidRPr="004D451D">
        <w:rPr>
          <w:rFonts w:eastAsia="標楷體"/>
          <w:bCs/>
          <w:sz w:val="32"/>
          <w:szCs w:val="32"/>
        </w:rPr>
        <w:t>年</w:t>
      </w:r>
      <w:r w:rsidR="00624005" w:rsidRPr="004D451D">
        <w:rPr>
          <w:rFonts w:eastAsia="標楷體" w:hint="eastAsia"/>
          <w:bCs/>
          <w:sz w:val="32"/>
          <w:szCs w:val="32"/>
        </w:rPr>
        <w:t>06</w:t>
      </w:r>
      <w:r w:rsidR="00624005" w:rsidRPr="004D451D">
        <w:rPr>
          <w:rFonts w:eastAsia="標楷體" w:hint="eastAsia"/>
          <w:bCs/>
          <w:sz w:val="32"/>
          <w:szCs w:val="32"/>
        </w:rPr>
        <w:t>月</w:t>
      </w:r>
      <w:r w:rsidR="00624005" w:rsidRPr="004D451D">
        <w:rPr>
          <w:rFonts w:eastAsia="標楷體" w:hint="eastAsia"/>
          <w:bCs/>
          <w:sz w:val="32"/>
          <w:szCs w:val="32"/>
        </w:rPr>
        <w:t>30</w:t>
      </w:r>
      <w:r w:rsidR="00624005" w:rsidRPr="004D451D">
        <w:rPr>
          <w:rFonts w:eastAsia="標楷體" w:hint="eastAsia"/>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4D451D" w:rsidRPr="004D451D"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566A6A" w:rsidRPr="004D451D" w:rsidRDefault="00566A6A" w:rsidP="006C3B0D">
            <w:pPr>
              <w:widowControl/>
              <w:jc w:val="center"/>
              <w:rPr>
                <w:rFonts w:eastAsia="標楷體"/>
                <w:kern w:val="0"/>
              </w:rPr>
            </w:pPr>
            <w:r w:rsidRPr="004D451D">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566A6A" w:rsidRPr="004D451D" w:rsidRDefault="00566A6A" w:rsidP="006C3B0D">
            <w:pPr>
              <w:widowControl/>
              <w:jc w:val="center"/>
              <w:rPr>
                <w:rFonts w:eastAsia="標楷體"/>
                <w:kern w:val="0"/>
              </w:rPr>
            </w:pPr>
            <w:r w:rsidRPr="004D451D">
              <w:rPr>
                <w:rFonts w:eastAsia="標楷體"/>
                <w:kern w:val="0"/>
              </w:rPr>
              <w:t>內容</w:t>
            </w:r>
          </w:p>
        </w:tc>
      </w:tr>
      <w:tr w:rsidR="004D451D" w:rsidRPr="004D451D" w:rsidTr="00147DBB">
        <w:trPr>
          <w:trHeight w:val="105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6C3B0D">
            <w:pPr>
              <w:widowControl/>
              <w:jc w:val="center"/>
              <w:rPr>
                <w:rFonts w:eastAsia="標楷體"/>
                <w:kern w:val="0"/>
              </w:rPr>
            </w:pPr>
            <w:r w:rsidRPr="004D451D">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0D2F56" w:rsidRPr="004D451D" w:rsidRDefault="000D2F56" w:rsidP="00134AEA">
            <w:pPr>
              <w:widowControl/>
              <w:rPr>
                <w:rFonts w:eastAsia="標楷體"/>
                <w:kern w:val="0"/>
              </w:rPr>
            </w:pPr>
            <w:r w:rsidRPr="004D451D">
              <w:rPr>
                <w:rFonts w:eastAsia="標楷體"/>
                <w:kern w:val="0"/>
              </w:rPr>
              <w:t>附表</w:t>
            </w:r>
            <w:r w:rsidRPr="004D451D">
              <w:rPr>
                <w:rFonts w:eastAsia="標楷體" w:hint="eastAsia"/>
                <w:kern w:val="0"/>
              </w:rPr>
              <w:t>十</w:t>
            </w:r>
            <w:r w:rsidRPr="004D451D">
              <w:rPr>
                <w:rFonts w:eastAsia="標楷體"/>
                <w:kern w:val="0"/>
              </w:rPr>
              <w:t>中，財務報表與納入法定資本計提範圍之帳面價值間，主要差異說明</w:t>
            </w:r>
          </w:p>
        </w:tc>
        <w:tc>
          <w:tcPr>
            <w:tcW w:w="3755"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rPr>
                <w:rFonts w:ascii="Calibri" w:hAnsi="Calibri"/>
                <w:szCs w:val="22"/>
              </w:rPr>
            </w:pPr>
            <w:r w:rsidRPr="004D451D">
              <w:rPr>
                <w:rFonts w:eastAsia="標楷體"/>
                <w:kern w:val="0"/>
              </w:rPr>
              <w:t>「財務報表之帳面價值」與「納入法定資本計提範圍之帳面價值」無存在顯著差異。</w:t>
            </w:r>
          </w:p>
          <w:p w:rsidR="000D2F56" w:rsidRPr="004D451D" w:rsidRDefault="000D2F56" w:rsidP="000D2F56">
            <w:pPr>
              <w:widowControl/>
              <w:spacing w:line="280" w:lineRule="exact"/>
              <w:rPr>
                <w:rFonts w:eastAsia="標楷體"/>
                <w:kern w:val="0"/>
              </w:rPr>
            </w:pPr>
          </w:p>
        </w:tc>
      </w:tr>
      <w:tr w:rsidR="004D451D" w:rsidRPr="004D451D" w:rsidTr="00147DBB">
        <w:trPr>
          <w:trHeight w:val="1069"/>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6C3B0D">
            <w:pPr>
              <w:widowControl/>
              <w:jc w:val="center"/>
              <w:rPr>
                <w:rFonts w:eastAsia="標楷體"/>
                <w:kern w:val="0"/>
              </w:rPr>
            </w:pPr>
            <w:r w:rsidRPr="004D451D">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0D2F56" w:rsidRPr="004D451D" w:rsidRDefault="000D2F56" w:rsidP="006C3B0D">
            <w:pPr>
              <w:widowControl/>
              <w:rPr>
                <w:rFonts w:eastAsia="標楷體"/>
                <w:kern w:val="0"/>
              </w:rPr>
            </w:pPr>
            <w:r w:rsidRPr="004D451D">
              <w:rPr>
                <w:rFonts w:eastAsia="標楷體"/>
                <w:kern w:val="0"/>
              </w:rPr>
              <w:t>附表十</w:t>
            </w:r>
            <w:r w:rsidRPr="004D451D">
              <w:rPr>
                <w:rFonts w:eastAsia="標楷體" w:hint="eastAsia"/>
                <w:kern w:val="0"/>
              </w:rPr>
              <w:t>一</w:t>
            </w:r>
            <w:r w:rsidRPr="004D451D">
              <w:rPr>
                <w:rFonts w:eastAsia="標楷體"/>
                <w:kern w:val="0"/>
              </w:rPr>
              <w:t>中，納入法定資本計提範圍之帳面價值與法定暴險額間之差異說明</w:t>
            </w:r>
          </w:p>
        </w:tc>
        <w:tc>
          <w:tcPr>
            <w:tcW w:w="3755"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rPr>
                <w:rFonts w:eastAsia="標楷體"/>
                <w:kern w:val="0"/>
              </w:rPr>
            </w:pPr>
            <w:r w:rsidRPr="004D451D">
              <w:rPr>
                <w:rFonts w:ascii="標楷體" w:eastAsia="標楷體" w:hAnsi="Calibri" w:cs="標楷體" w:hint="eastAsia"/>
                <w:kern w:val="0"/>
                <w:sz w:val="23"/>
                <w:szCs w:val="23"/>
              </w:rPr>
              <w:t>無法以帳面價值完全反應所有法定資本計提之暴險</w:t>
            </w:r>
            <w:r w:rsidRPr="004D451D">
              <w:rPr>
                <w:rFonts w:eastAsia="標楷體" w:hint="eastAsia"/>
                <w:kern w:val="0"/>
              </w:rPr>
              <w:t>。信用風險架構下表外項目法定資本計提之計算，係將帳面金額</w:t>
            </w:r>
            <w:r w:rsidRPr="004D451D">
              <w:rPr>
                <w:rFonts w:eastAsia="標楷體" w:hint="eastAsia"/>
                <w:kern w:val="0"/>
              </w:rPr>
              <w:t>(</w:t>
            </w:r>
            <w:r w:rsidRPr="004D451D">
              <w:rPr>
                <w:rFonts w:eastAsia="標楷體" w:hint="eastAsia"/>
                <w:kern w:val="0"/>
              </w:rPr>
              <w:t>包括保證、承兌、承諾及信用狀等</w:t>
            </w:r>
            <w:r w:rsidRPr="004D451D">
              <w:rPr>
                <w:rFonts w:eastAsia="標楷體" w:hint="eastAsia"/>
                <w:kern w:val="0"/>
              </w:rPr>
              <w:t>)</w:t>
            </w:r>
            <w:r w:rsidRPr="004D451D">
              <w:rPr>
                <w:rFonts w:eastAsia="標楷體" w:hint="eastAsia"/>
                <w:kern w:val="0"/>
              </w:rPr>
              <w:t>透過信用轉換係數</w:t>
            </w:r>
            <w:r w:rsidRPr="004D451D">
              <w:rPr>
                <w:rFonts w:eastAsia="標楷體" w:hint="eastAsia"/>
                <w:kern w:val="0"/>
              </w:rPr>
              <w:t>CCF</w:t>
            </w:r>
            <w:r w:rsidRPr="004D451D">
              <w:rPr>
                <w:rFonts w:eastAsia="標楷體" w:hint="eastAsia"/>
                <w:kern w:val="0"/>
              </w:rPr>
              <w:t>，轉換成信用相當額計算，因計提方法之差異，法定暴險額與帳面價值不同。市場風險架構下，資本計提中其風險性資產係以應計提資本乘</w:t>
            </w:r>
            <w:r w:rsidRPr="004D451D">
              <w:rPr>
                <w:rFonts w:eastAsia="標楷體" w:hint="eastAsia"/>
                <w:kern w:val="0"/>
              </w:rPr>
              <w:t>12.5</w:t>
            </w:r>
            <w:r w:rsidRPr="004D451D">
              <w:rPr>
                <w:rFonts w:eastAsia="標楷體" w:hint="eastAsia"/>
                <w:kern w:val="0"/>
              </w:rPr>
              <w:t>倍之計算，因此法定暴險額與帳面價值不同。</w:t>
            </w:r>
            <w:r w:rsidRPr="004D451D">
              <w:rPr>
                <w:rFonts w:eastAsia="標楷體"/>
                <w:kern w:val="0"/>
              </w:rPr>
              <w:t xml:space="preserve">　</w:t>
            </w:r>
          </w:p>
        </w:tc>
      </w:tr>
      <w:tr w:rsidR="000D2F56" w:rsidRPr="004D451D" w:rsidTr="00147DBB">
        <w:trPr>
          <w:trHeight w:val="105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6C3B0D">
            <w:pPr>
              <w:widowControl/>
              <w:jc w:val="center"/>
              <w:rPr>
                <w:rFonts w:eastAsia="標楷體"/>
                <w:kern w:val="0"/>
              </w:rPr>
            </w:pPr>
            <w:r w:rsidRPr="004D451D">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0D2F56" w:rsidRPr="004D451D" w:rsidRDefault="000D2F56" w:rsidP="006C3B0D">
            <w:pPr>
              <w:widowControl/>
              <w:rPr>
                <w:rFonts w:eastAsia="標楷體"/>
                <w:kern w:val="0"/>
              </w:rPr>
            </w:pPr>
            <w:r w:rsidRPr="004D451D">
              <w:rPr>
                <w:rFonts w:eastAsia="標楷體"/>
                <w:kern w:val="0"/>
              </w:rPr>
              <w:t>市場風險架構下，其評價方法、獨立價格驗證過程與評價調整或準備程序之說明</w:t>
            </w:r>
          </w:p>
        </w:tc>
        <w:tc>
          <w:tcPr>
            <w:tcW w:w="3755"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widowControl/>
              <w:spacing w:line="280" w:lineRule="exact"/>
              <w:jc w:val="both"/>
              <w:rPr>
                <w:rFonts w:eastAsia="標楷體"/>
                <w:kern w:val="0"/>
              </w:rPr>
            </w:pPr>
            <w:r w:rsidRPr="004D451D">
              <w:rPr>
                <w:rFonts w:eastAsia="標楷體" w:hint="eastAsia"/>
                <w:kern w:val="0"/>
              </w:rPr>
              <w:t>本行交易簿部位與銀行簿部位之評價機制，由獨立於交易前台之外的風險管理人員負責，其中交易簿部位應依「市價評估方法」每日或每週以有獨立來源且可容易取得之資訊進行評價，例如交易所價格、電子螢幕報價或來自獨立經紀商提供之報價；銀行簿部位肇因於銀行資金調度、投資及避險需求而發生之交易，除依會計公報規範進行評價及每日編製控管報表外，應定期與交易簿部位合併提董事會核備。</w:t>
            </w:r>
          </w:p>
          <w:p w:rsidR="000D2F56" w:rsidRPr="004D451D" w:rsidRDefault="000D2F56" w:rsidP="000D2F56">
            <w:pPr>
              <w:widowControl/>
              <w:spacing w:line="280" w:lineRule="exact"/>
              <w:jc w:val="both"/>
              <w:rPr>
                <w:rFonts w:eastAsia="標楷體"/>
                <w:kern w:val="0"/>
              </w:rPr>
            </w:pPr>
            <w:r w:rsidRPr="004D451D">
              <w:rPr>
                <w:rFonts w:eastAsia="標楷體" w:hint="eastAsia"/>
                <w:kern w:val="0"/>
              </w:rPr>
              <w:t>本行依所持有投資組合之規模與複雜程度，發展衡量整體部位風險暴露之方式，避免投資組合過度集中於某項風險因子。執行風險衡量時，應藉由評估交易標的物之波動性與相關性，考量交易標的物之個別風險以及可能之風險分散效果。並且對於流動性不佳或市場價格透明度不夠的部位應保守評估，以充分評估本行所面臨的市場風險。</w:t>
            </w:r>
          </w:p>
        </w:tc>
      </w:tr>
    </w:tbl>
    <w:p w:rsidR="00E03BBD" w:rsidRPr="004D451D" w:rsidRDefault="00E03BBD" w:rsidP="006C3B0D">
      <w:pPr>
        <w:spacing w:line="360" w:lineRule="auto"/>
        <w:rPr>
          <w:rFonts w:eastAsia="標楷體"/>
          <w:szCs w:val="28"/>
        </w:rPr>
      </w:pPr>
    </w:p>
    <w:p w:rsidR="00E03BBD" w:rsidRPr="004D451D" w:rsidRDefault="00E03BBD" w:rsidP="006C3B0D">
      <w:pPr>
        <w:rPr>
          <w:rFonts w:eastAsia="標楷體"/>
          <w:b/>
          <w:kern w:val="0"/>
        </w:rPr>
      </w:pPr>
      <w:r w:rsidRPr="004D451D">
        <w:rPr>
          <w:rFonts w:eastAsia="標楷體"/>
          <w:b/>
          <w:kern w:val="0"/>
        </w:rPr>
        <w:t>填表說明：</w:t>
      </w:r>
    </w:p>
    <w:p w:rsidR="00E03BBD" w:rsidRPr="004D451D" w:rsidRDefault="00E03BBD" w:rsidP="00EF4134">
      <w:pPr>
        <w:numPr>
          <w:ilvl w:val="0"/>
          <w:numId w:val="23"/>
        </w:numPr>
        <w:spacing w:line="240" w:lineRule="atLeast"/>
        <w:ind w:leftChars="150" w:left="720" w:hangingChars="150"/>
        <w:jc w:val="both"/>
        <w:rPr>
          <w:rFonts w:eastAsia="標楷體"/>
        </w:rPr>
      </w:pPr>
      <w:r w:rsidRPr="004D451D">
        <w:rPr>
          <w:rFonts w:eastAsia="標楷體"/>
        </w:rPr>
        <w:t>本表更新頻率：年。</w:t>
      </w:r>
    </w:p>
    <w:p w:rsidR="000E6CC8" w:rsidRPr="004D451D" w:rsidRDefault="000E6CC8" w:rsidP="00EF4134">
      <w:pPr>
        <w:numPr>
          <w:ilvl w:val="0"/>
          <w:numId w:val="23"/>
        </w:numPr>
        <w:spacing w:line="240" w:lineRule="atLeast"/>
        <w:ind w:leftChars="150" w:left="720" w:hangingChars="150"/>
        <w:jc w:val="both"/>
        <w:rPr>
          <w:rFonts w:eastAsia="標楷體"/>
        </w:rPr>
      </w:pPr>
      <w:r w:rsidRPr="004D451D">
        <w:rPr>
          <w:rFonts w:eastAsia="標楷體"/>
        </w:rPr>
        <w:t>本表採個體基礎填報。</w:t>
      </w:r>
    </w:p>
    <w:p w:rsidR="000E6CC8" w:rsidRPr="004D451D" w:rsidRDefault="000E6CC8" w:rsidP="00EF4134">
      <w:pPr>
        <w:numPr>
          <w:ilvl w:val="0"/>
          <w:numId w:val="23"/>
        </w:numPr>
        <w:spacing w:line="240" w:lineRule="atLeast"/>
        <w:ind w:leftChars="150" w:left="720" w:hangingChars="150"/>
        <w:jc w:val="both"/>
        <w:rPr>
          <w:rFonts w:eastAsia="標楷體"/>
        </w:rPr>
      </w:pPr>
      <w:r w:rsidRPr="004D451D">
        <w:rPr>
          <w:rFonts w:eastAsia="標楷體"/>
          <w:szCs w:val="28"/>
        </w:rPr>
        <w:t>第一列係指當</w:t>
      </w:r>
      <w:r w:rsidR="009A1E6E" w:rsidRPr="004D451D">
        <w:rPr>
          <w:rFonts w:eastAsia="標楷體" w:hint="eastAsia"/>
          <w:szCs w:val="28"/>
        </w:rPr>
        <w:t>【</w:t>
      </w:r>
      <w:r w:rsidRPr="004D451D">
        <w:rPr>
          <w:rFonts w:eastAsia="標楷體"/>
          <w:szCs w:val="28"/>
        </w:rPr>
        <w:t>附表</w:t>
      </w:r>
      <w:r w:rsidR="00134AEA" w:rsidRPr="004D451D">
        <w:rPr>
          <w:rFonts w:eastAsia="標楷體" w:hint="eastAsia"/>
          <w:szCs w:val="28"/>
        </w:rPr>
        <w:t>十</w:t>
      </w:r>
      <w:r w:rsidR="009A1E6E" w:rsidRPr="004D451D">
        <w:rPr>
          <w:rFonts w:eastAsia="標楷體" w:hint="eastAsia"/>
          <w:szCs w:val="28"/>
        </w:rPr>
        <w:t>】</w:t>
      </w:r>
      <w:r w:rsidRPr="004D451D">
        <w:rPr>
          <w:rFonts w:eastAsia="標楷體"/>
          <w:szCs w:val="28"/>
        </w:rPr>
        <w:t>之「財務報表之帳面價值」與「納入法定資本計提範圍之帳面價值」存在顯著差異時，需說明造成差異之主要原因</w:t>
      </w:r>
      <w:r w:rsidRPr="004D451D">
        <w:rPr>
          <w:rFonts w:eastAsia="標楷體" w:hint="eastAsia"/>
          <w:szCs w:val="28"/>
        </w:rPr>
        <w:t>。</w:t>
      </w:r>
    </w:p>
    <w:p w:rsidR="000E6CC8" w:rsidRPr="004D451D" w:rsidRDefault="000E6CC8" w:rsidP="00EF4134">
      <w:pPr>
        <w:numPr>
          <w:ilvl w:val="0"/>
          <w:numId w:val="23"/>
        </w:numPr>
        <w:spacing w:line="240" w:lineRule="atLeast"/>
        <w:ind w:leftChars="150" w:left="720" w:hangingChars="150"/>
        <w:jc w:val="both"/>
        <w:rPr>
          <w:rFonts w:eastAsia="標楷體"/>
        </w:rPr>
      </w:pPr>
      <w:r w:rsidRPr="004D451D">
        <w:rPr>
          <w:rFonts w:eastAsia="標楷體"/>
          <w:szCs w:val="28"/>
        </w:rPr>
        <w:t>第二列係需就</w:t>
      </w:r>
      <w:r w:rsidR="009A1E6E" w:rsidRPr="004D451D">
        <w:rPr>
          <w:rFonts w:eastAsia="標楷體" w:hint="eastAsia"/>
          <w:szCs w:val="28"/>
        </w:rPr>
        <w:t>【</w:t>
      </w:r>
      <w:r w:rsidRPr="004D451D">
        <w:rPr>
          <w:rFonts w:eastAsia="標楷體"/>
          <w:szCs w:val="28"/>
        </w:rPr>
        <w:t>附表十</w:t>
      </w:r>
      <w:r w:rsidR="00134AEA" w:rsidRPr="004D451D">
        <w:rPr>
          <w:rFonts w:eastAsia="標楷體" w:hint="eastAsia"/>
          <w:szCs w:val="28"/>
        </w:rPr>
        <w:t>一</w:t>
      </w:r>
      <w:r w:rsidR="009A1E6E" w:rsidRPr="004D451D">
        <w:rPr>
          <w:rFonts w:eastAsia="標楷體" w:hint="eastAsia"/>
          <w:szCs w:val="28"/>
        </w:rPr>
        <w:t>】</w:t>
      </w:r>
      <w:r w:rsidRPr="004D451D">
        <w:rPr>
          <w:rFonts w:eastAsia="標楷體"/>
          <w:szCs w:val="28"/>
        </w:rPr>
        <w:t>中的各差異項目內容進行定性說明。</w:t>
      </w:r>
    </w:p>
    <w:p w:rsidR="000E6CC8" w:rsidRPr="004D451D" w:rsidRDefault="000E6CC8" w:rsidP="00EF4134">
      <w:pPr>
        <w:numPr>
          <w:ilvl w:val="0"/>
          <w:numId w:val="23"/>
        </w:numPr>
        <w:spacing w:line="240" w:lineRule="atLeast"/>
        <w:ind w:leftChars="150" w:left="720" w:hangingChars="150"/>
        <w:jc w:val="both"/>
        <w:rPr>
          <w:rFonts w:eastAsia="標楷體"/>
        </w:rPr>
      </w:pPr>
      <w:r w:rsidRPr="004D451D">
        <w:rPr>
          <w:rFonts w:eastAsia="標楷體"/>
          <w:szCs w:val="28"/>
        </w:rPr>
        <w:t>第三列中所指之評價方法說明，包括說明如何使用以市價評估方法</w:t>
      </w:r>
      <w:r w:rsidRPr="004D451D">
        <w:rPr>
          <w:rFonts w:eastAsia="標楷體"/>
          <w:szCs w:val="28"/>
        </w:rPr>
        <w:t>(mark-to-market)</w:t>
      </w:r>
      <w:r w:rsidRPr="004D451D">
        <w:rPr>
          <w:rFonts w:eastAsia="標楷體"/>
          <w:szCs w:val="28"/>
        </w:rPr>
        <w:t>及以模型評價</w:t>
      </w:r>
      <w:r w:rsidRPr="004D451D">
        <w:rPr>
          <w:rFonts w:eastAsia="標楷體"/>
          <w:szCs w:val="28"/>
        </w:rPr>
        <w:t>(mark-to-model)</w:t>
      </w:r>
      <w:r w:rsidRPr="004D451D">
        <w:rPr>
          <w:rFonts w:eastAsia="標楷體"/>
          <w:szCs w:val="28"/>
        </w:rPr>
        <w:t>。此外，有關評價調整或準備之程序，係包括交易部位評價過程及方法之描述。</w:t>
      </w:r>
    </w:p>
    <w:p w:rsidR="00835262" w:rsidRPr="004D451D" w:rsidRDefault="00835262" w:rsidP="00E03BBD">
      <w:pPr>
        <w:spacing w:line="360" w:lineRule="auto"/>
        <w:ind w:left="180" w:hangingChars="75" w:hanging="180"/>
        <w:rPr>
          <w:rFonts w:ascii="Arial" w:eastAsia="標楷體" w:hAnsi="Arial" w:cs="Arial"/>
          <w:szCs w:val="28"/>
        </w:rPr>
      </w:pPr>
    </w:p>
    <w:p w:rsidR="00835262" w:rsidRPr="004D451D" w:rsidRDefault="00835262" w:rsidP="00E03BBD">
      <w:pPr>
        <w:spacing w:line="360" w:lineRule="auto"/>
        <w:ind w:left="180" w:hangingChars="75" w:hanging="180"/>
        <w:rPr>
          <w:rFonts w:ascii="Arial" w:eastAsia="標楷體" w:hAnsi="Arial" w:cs="Arial"/>
          <w:szCs w:val="28"/>
        </w:rPr>
      </w:pPr>
    </w:p>
    <w:p w:rsidR="00835262" w:rsidRPr="004D451D" w:rsidRDefault="000E6CC8" w:rsidP="00835262">
      <w:pPr>
        <w:widowControl/>
        <w:rPr>
          <w:rFonts w:eastAsia="標楷體"/>
          <w:sz w:val="32"/>
          <w:szCs w:val="32"/>
        </w:rPr>
      </w:pPr>
      <w:r w:rsidRPr="004D451D">
        <w:rPr>
          <w:rFonts w:ascii="Arial" w:eastAsia="標楷體" w:hAnsi="Arial" w:cs="Arial"/>
          <w:sz w:val="32"/>
          <w:szCs w:val="32"/>
        </w:rPr>
        <w:br w:type="page"/>
      </w:r>
      <w:r w:rsidR="00835262" w:rsidRPr="004D451D">
        <w:rPr>
          <w:rFonts w:eastAsia="標楷體"/>
          <w:b/>
          <w:sz w:val="32"/>
          <w:szCs w:val="32"/>
        </w:rPr>
        <w:t>【附表十</w:t>
      </w:r>
      <w:r w:rsidR="009620EA" w:rsidRPr="004D451D">
        <w:rPr>
          <w:rFonts w:eastAsia="標楷體" w:hint="eastAsia"/>
          <w:b/>
          <w:sz w:val="32"/>
          <w:szCs w:val="32"/>
        </w:rPr>
        <w:t>三</w:t>
      </w:r>
      <w:r w:rsidR="00835262" w:rsidRPr="004D451D">
        <w:rPr>
          <w:rFonts w:eastAsia="標楷體"/>
          <w:b/>
          <w:sz w:val="32"/>
          <w:szCs w:val="32"/>
        </w:rPr>
        <w:t>】</w:t>
      </w:r>
    </w:p>
    <w:p w:rsidR="00835262" w:rsidRPr="004D451D" w:rsidRDefault="00835262" w:rsidP="0084746C">
      <w:pPr>
        <w:jc w:val="center"/>
        <w:rPr>
          <w:rFonts w:eastAsia="標楷體"/>
          <w:b/>
          <w:bCs/>
          <w:sz w:val="32"/>
          <w:szCs w:val="32"/>
        </w:rPr>
      </w:pPr>
      <w:r w:rsidRPr="004D451D">
        <w:rPr>
          <w:rFonts w:eastAsia="標楷體"/>
          <w:b/>
          <w:bCs/>
          <w:sz w:val="32"/>
          <w:szCs w:val="32"/>
        </w:rPr>
        <w:t>信用風險的一般性資訊</w:t>
      </w:r>
    </w:p>
    <w:p w:rsidR="00835262" w:rsidRPr="004D451D" w:rsidRDefault="000D2F56" w:rsidP="00835262">
      <w:pPr>
        <w:spacing w:line="360" w:lineRule="auto"/>
        <w:jc w:val="center"/>
        <w:rPr>
          <w:rFonts w:eastAsia="標楷體"/>
          <w:bCs/>
          <w:sz w:val="32"/>
          <w:szCs w:val="32"/>
        </w:rPr>
      </w:pPr>
      <w:r w:rsidRPr="004D451D">
        <w:rPr>
          <w:rFonts w:eastAsia="標楷體" w:hint="eastAsia"/>
          <w:bCs/>
          <w:sz w:val="32"/>
          <w:szCs w:val="32"/>
        </w:rPr>
        <w:t>10</w:t>
      </w:r>
      <w:r w:rsidR="003F60B9" w:rsidRPr="004D451D">
        <w:rPr>
          <w:rFonts w:eastAsia="標楷體" w:hint="eastAsia"/>
          <w:bCs/>
          <w:sz w:val="32"/>
          <w:szCs w:val="32"/>
        </w:rPr>
        <w:t>7</w:t>
      </w:r>
      <w:r w:rsidR="00835262" w:rsidRPr="004D451D">
        <w:rPr>
          <w:rFonts w:eastAsia="標楷體"/>
          <w:bCs/>
          <w:sz w:val="32"/>
          <w:szCs w:val="32"/>
        </w:rPr>
        <w:t>年</w:t>
      </w:r>
      <w:r w:rsidR="00624005" w:rsidRPr="004D451D">
        <w:rPr>
          <w:rFonts w:eastAsia="標楷體" w:hint="eastAsia"/>
          <w:bCs/>
          <w:sz w:val="32"/>
          <w:szCs w:val="32"/>
        </w:rPr>
        <w:t>06</w:t>
      </w:r>
      <w:r w:rsidR="00624005" w:rsidRPr="004D451D">
        <w:rPr>
          <w:rFonts w:eastAsia="標楷體" w:hint="eastAsia"/>
          <w:bCs/>
          <w:sz w:val="32"/>
          <w:szCs w:val="32"/>
        </w:rPr>
        <w:t>月</w:t>
      </w:r>
      <w:r w:rsidR="00624005" w:rsidRPr="004D451D">
        <w:rPr>
          <w:rFonts w:eastAsia="標楷體" w:hint="eastAsia"/>
          <w:bCs/>
          <w:sz w:val="32"/>
          <w:szCs w:val="32"/>
        </w:rPr>
        <w:t>30</w:t>
      </w:r>
      <w:r w:rsidR="00624005" w:rsidRPr="004D451D">
        <w:rPr>
          <w:rFonts w:eastAsia="標楷體" w:hint="eastAsia"/>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3081"/>
        <w:gridCol w:w="6034"/>
      </w:tblGrid>
      <w:tr w:rsidR="004D451D" w:rsidRPr="004D451D" w:rsidTr="000D2F56">
        <w:trPr>
          <w:trHeight w:val="510"/>
        </w:trPr>
        <w:tc>
          <w:tcPr>
            <w:tcW w:w="3701" w:type="dxa"/>
            <w:gridSpan w:val="2"/>
            <w:tcBorders>
              <w:top w:val="single" w:sz="4" w:space="0" w:color="auto"/>
              <w:left w:val="single" w:sz="4" w:space="0" w:color="auto"/>
              <w:bottom w:val="single" w:sz="4" w:space="0" w:color="auto"/>
              <w:right w:val="single" w:sz="4" w:space="0" w:color="auto"/>
            </w:tcBorders>
            <w:noWrap/>
            <w:vAlign w:val="center"/>
          </w:tcPr>
          <w:p w:rsidR="006F79E8" w:rsidRPr="004D451D" w:rsidRDefault="006F79E8" w:rsidP="009D0AB7">
            <w:pPr>
              <w:widowControl/>
              <w:jc w:val="center"/>
              <w:rPr>
                <w:rFonts w:eastAsia="標楷體"/>
                <w:kern w:val="0"/>
              </w:rPr>
            </w:pPr>
            <w:r w:rsidRPr="004D451D">
              <w:rPr>
                <w:rFonts w:eastAsia="標楷體"/>
                <w:kern w:val="0"/>
              </w:rPr>
              <w:t>項目</w:t>
            </w:r>
          </w:p>
        </w:tc>
        <w:tc>
          <w:tcPr>
            <w:tcW w:w="6034" w:type="dxa"/>
            <w:tcBorders>
              <w:top w:val="single" w:sz="4" w:space="0" w:color="auto"/>
              <w:left w:val="nil"/>
              <w:bottom w:val="single" w:sz="4" w:space="0" w:color="auto"/>
              <w:right w:val="single" w:sz="4" w:space="0" w:color="auto"/>
            </w:tcBorders>
            <w:noWrap/>
            <w:vAlign w:val="center"/>
          </w:tcPr>
          <w:p w:rsidR="006F79E8" w:rsidRPr="004D451D" w:rsidRDefault="006F79E8" w:rsidP="009D0AB7">
            <w:pPr>
              <w:widowControl/>
              <w:jc w:val="center"/>
              <w:rPr>
                <w:rFonts w:eastAsia="標楷體"/>
                <w:kern w:val="0"/>
              </w:rPr>
            </w:pPr>
            <w:r w:rsidRPr="004D451D">
              <w:rPr>
                <w:rFonts w:eastAsia="標楷體"/>
                <w:kern w:val="0"/>
              </w:rPr>
              <w:t>內容</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1</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9D0AB7">
            <w:pPr>
              <w:widowControl/>
              <w:rPr>
                <w:rFonts w:eastAsia="標楷體"/>
                <w:kern w:val="0"/>
              </w:rPr>
            </w:pPr>
            <w:r w:rsidRPr="004D451D">
              <w:rPr>
                <w:rFonts w:eastAsia="標楷體"/>
                <w:kern w:val="0"/>
              </w:rPr>
              <w:t>業務模式如何轉換成銀行信用風險概況之組成項目</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9F53B0">
            <w:pPr>
              <w:widowControl/>
              <w:numPr>
                <w:ilvl w:val="1"/>
                <w:numId w:val="130"/>
              </w:numPr>
              <w:spacing w:line="280" w:lineRule="exact"/>
              <w:ind w:left="482" w:hangingChars="201" w:hanging="482"/>
              <w:rPr>
                <w:rFonts w:eastAsia="標楷體"/>
                <w:kern w:val="0"/>
              </w:rPr>
            </w:pPr>
            <w:r w:rsidRPr="004D451D">
              <w:rPr>
                <w:rFonts w:eastAsia="標楷體" w:hint="eastAsia"/>
                <w:kern w:val="0"/>
              </w:rPr>
              <w:t>本行將信用風險依對象及行為分為借貸風險或發行者風險與交易對手風險。</w:t>
            </w:r>
          </w:p>
          <w:p w:rsidR="000D2F56" w:rsidRPr="004D451D" w:rsidRDefault="000D2F56" w:rsidP="009F53B0">
            <w:pPr>
              <w:widowControl/>
              <w:numPr>
                <w:ilvl w:val="0"/>
                <w:numId w:val="126"/>
              </w:numPr>
              <w:spacing w:line="280" w:lineRule="exact"/>
              <w:rPr>
                <w:rFonts w:eastAsia="標楷體"/>
                <w:kern w:val="0"/>
              </w:rPr>
            </w:pPr>
            <w:r w:rsidRPr="004D451D">
              <w:rPr>
                <w:rFonts w:eastAsia="標楷體" w:hint="eastAsia"/>
                <w:kern w:val="0"/>
              </w:rPr>
              <w:t>借貸風險或發行者風險：</w:t>
            </w:r>
          </w:p>
          <w:p w:rsidR="000D2F56" w:rsidRPr="004D451D" w:rsidRDefault="000D2F56" w:rsidP="000D2F56">
            <w:pPr>
              <w:widowControl/>
              <w:spacing w:line="280" w:lineRule="exact"/>
              <w:ind w:left="480"/>
              <w:rPr>
                <w:rFonts w:eastAsia="標楷體"/>
                <w:kern w:val="0"/>
              </w:rPr>
            </w:pPr>
            <w:r w:rsidRPr="004D451D">
              <w:rPr>
                <w:rFonts w:eastAsia="標楷體" w:hint="eastAsia"/>
                <w:kern w:val="0"/>
              </w:rPr>
              <w:t>因借款人或債券發行者不償還其債務而產生之違約損失風險，或借款人或債券發行者信用惡化之風險。依借款人或債券發行者債信狀況及產品的風險敏感度以下列兩種型態呈現：</w:t>
            </w:r>
          </w:p>
          <w:p w:rsidR="000D2F56" w:rsidRPr="004D451D" w:rsidRDefault="000D2F56" w:rsidP="009F53B0">
            <w:pPr>
              <w:widowControl/>
              <w:numPr>
                <w:ilvl w:val="0"/>
                <w:numId w:val="127"/>
              </w:numPr>
              <w:spacing w:line="280" w:lineRule="exact"/>
              <w:ind w:left="482" w:hangingChars="201" w:hanging="482"/>
              <w:rPr>
                <w:rFonts w:eastAsia="標楷體"/>
                <w:kern w:val="0"/>
              </w:rPr>
            </w:pPr>
            <w:r w:rsidRPr="004D451D">
              <w:rPr>
                <w:rFonts w:eastAsia="標楷體" w:hint="eastAsia"/>
                <w:kern w:val="0"/>
              </w:rPr>
              <w:t>直接風險：係指借款人或發行者的實際債務承諾於到期無法兌現的風險。受到影響的產品主要為資產負債表內之項目。</w:t>
            </w:r>
          </w:p>
          <w:p w:rsidR="000D2F56" w:rsidRPr="004D451D" w:rsidRDefault="000D2F56" w:rsidP="009F53B0">
            <w:pPr>
              <w:widowControl/>
              <w:numPr>
                <w:ilvl w:val="0"/>
                <w:numId w:val="127"/>
              </w:numPr>
              <w:spacing w:line="280" w:lineRule="exact"/>
              <w:ind w:left="482" w:hangingChars="201" w:hanging="482"/>
              <w:rPr>
                <w:rFonts w:eastAsia="標楷體"/>
                <w:kern w:val="0"/>
              </w:rPr>
            </w:pPr>
            <w:r w:rsidRPr="004D451D">
              <w:rPr>
                <w:rFonts w:eastAsia="標楷體" w:hint="eastAsia"/>
                <w:kern w:val="0"/>
              </w:rPr>
              <w:t>或有風險：係指借款人的潛在債務承諾，極有可能於到期無法兌現而產生的風險。受到影響的產品主要為資產負債表之表外資產，但非屬於衍生性商品的項目。</w:t>
            </w:r>
          </w:p>
          <w:p w:rsidR="000D2F56" w:rsidRPr="004D451D" w:rsidRDefault="000D2F56" w:rsidP="009F53B0">
            <w:pPr>
              <w:widowControl/>
              <w:numPr>
                <w:ilvl w:val="0"/>
                <w:numId w:val="126"/>
              </w:numPr>
              <w:spacing w:line="280" w:lineRule="exact"/>
              <w:rPr>
                <w:rFonts w:eastAsia="標楷體"/>
                <w:kern w:val="0"/>
              </w:rPr>
            </w:pPr>
            <w:r w:rsidRPr="004D451D">
              <w:rPr>
                <w:rFonts w:eastAsia="標楷體" w:hint="eastAsia"/>
                <w:kern w:val="0"/>
              </w:rPr>
              <w:t>交易對手風險：</w:t>
            </w:r>
          </w:p>
          <w:p w:rsidR="000D2F56" w:rsidRPr="004D451D" w:rsidRDefault="000D2F56" w:rsidP="009F53B0">
            <w:pPr>
              <w:widowControl/>
              <w:numPr>
                <w:ilvl w:val="0"/>
                <w:numId w:val="128"/>
              </w:numPr>
              <w:spacing w:line="280" w:lineRule="exact"/>
              <w:ind w:left="482" w:hangingChars="201" w:hanging="482"/>
              <w:rPr>
                <w:rFonts w:eastAsia="標楷體"/>
                <w:kern w:val="0"/>
              </w:rPr>
            </w:pPr>
            <w:r w:rsidRPr="004D451D">
              <w:rPr>
                <w:rFonts w:eastAsia="標楷體" w:hint="eastAsia"/>
                <w:kern w:val="0"/>
              </w:rPr>
              <w:t>交割日風險：係指交易對手未依契約約定之交割時間，履行契約義務，造成本行發生等額本金的損失。主要為與交易對手於交割日或交割地之時間差所造成之風險。</w:t>
            </w:r>
          </w:p>
          <w:p w:rsidR="000D2F56" w:rsidRPr="004D451D" w:rsidRDefault="000D2F56" w:rsidP="009F53B0">
            <w:pPr>
              <w:widowControl/>
              <w:numPr>
                <w:ilvl w:val="0"/>
                <w:numId w:val="128"/>
              </w:numPr>
              <w:spacing w:line="280" w:lineRule="exact"/>
              <w:ind w:left="482" w:hangingChars="201" w:hanging="482"/>
              <w:rPr>
                <w:rFonts w:eastAsia="標楷體"/>
                <w:kern w:val="0"/>
              </w:rPr>
            </w:pPr>
            <w:r w:rsidRPr="004D451D">
              <w:rPr>
                <w:rFonts w:eastAsia="標楷體" w:hint="eastAsia"/>
                <w:kern w:val="0"/>
              </w:rPr>
              <w:t>交割日前風險：係指交易對手於契約到期之最後交割日前違約，造成本行產生違約損失之風險。主要為與交易對手從事外匯或衍生性金融商品交易，若遇價格巨額波動而對交易對手產生不利影響時，交易對手可能會選擇不履約，以致本行遭受損失</w:t>
            </w:r>
            <w:r w:rsidRPr="004D451D">
              <w:rPr>
                <w:rFonts w:eastAsia="標楷體" w:hint="eastAsia"/>
                <w:kern w:val="0"/>
              </w:rPr>
              <w:t>(</w:t>
            </w:r>
            <w:r w:rsidRPr="004D451D">
              <w:rPr>
                <w:rFonts w:eastAsia="標楷體" w:hint="eastAsia"/>
                <w:kern w:val="0"/>
              </w:rPr>
              <w:t>通常為當期暴險額加未來潛在暴險額之合計數</w:t>
            </w:r>
            <w:r w:rsidRPr="004D451D">
              <w:rPr>
                <w:rFonts w:eastAsia="標楷體" w:hint="eastAsia"/>
                <w:kern w:val="0"/>
              </w:rPr>
              <w:t>)</w:t>
            </w:r>
            <w:r w:rsidRPr="004D451D">
              <w:rPr>
                <w:rFonts w:eastAsia="標楷體" w:hint="eastAsia"/>
                <w:kern w:val="0"/>
              </w:rPr>
              <w:t>。</w:t>
            </w:r>
          </w:p>
          <w:p w:rsidR="000D2F56" w:rsidRPr="004D451D" w:rsidRDefault="000D2F56" w:rsidP="009F53B0">
            <w:pPr>
              <w:widowControl/>
              <w:numPr>
                <w:ilvl w:val="1"/>
                <w:numId w:val="130"/>
              </w:numPr>
              <w:spacing w:line="280" w:lineRule="exact"/>
              <w:ind w:left="482" w:hangingChars="201" w:hanging="482"/>
              <w:rPr>
                <w:rFonts w:eastAsia="標楷體"/>
                <w:kern w:val="0"/>
              </w:rPr>
            </w:pPr>
            <w:r w:rsidRPr="004D451D">
              <w:rPr>
                <w:rFonts w:eastAsia="標楷體" w:hint="eastAsia"/>
                <w:kern w:val="0"/>
              </w:rPr>
              <w:t>信用風險與其他風險相關性</w:t>
            </w:r>
          </w:p>
          <w:p w:rsidR="000D2F56" w:rsidRPr="004D451D" w:rsidRDefault="000D2F56" w:rsidP="009F53B0">
            <w:pPr>
              <w:widowControl/>
              <w:numPr>
                <w:ilvl w:val="0"/>
                <w:numId w:val="129"/>
              </w:numPr>
              <w:spacing w:line="280" w:lineRule="exact"/>
              <w:rPr>
                <w:rFonts w:eastAsia="標楷體"/>
                <w:kern w:val="0"/>
              </w:rPr>
            </w:pPr>
            <w:r w:rsidRPr="004D451D">
              <w:rPr>
                <w:rFonts w:eastAsia="標楷體" w:hint="eastAsia"/>
                <w:kern w:val="0"/>
              </w:rPr>
              <w:t>國家風險：</w:t>
            </w:r>
          </w:p>
          <w:p w:rsidR="000D2F56" w:rsidRPr="004D451D" w:rsidRDefault="000D2F56" w:rsidP="000D2F56">
            <w:pPr>
              <w:widowControl/>
              <w:spacing w:line="280" w:lineRule="exact"/>
              <w:ind w:left="480"/>
              <w:rPr>
                <w:rFonts w:eastAsia="標楷體"/>
                <w:kern w:val="0"/>
              </w:rPr>
            </w:pPr>
            <w:r w:rsidRPr="004D451D">
              <w:rPr>
                <w:rFonts w:eastAsia="標楷體" w:hint="eastAsia"/>
                <w:kern w:val="0"/>
              </w:rPr>
              <w:t>國外借款人或交易對手所在國之國家風險，包括經濟、政治與社會環境變化所衍生的風險。包括主權風險</w:t>
            </w:r>
            <w:r w:rsidRPr="004D451D">
              <w:rPr>
                <w:rFonts w:eastAsia="標楷體" w:hint="eastAsia"/>
                <w:kern w:val="0"/>
              </w:rPr>
              <w:t>(</w:t>
            </w:r>
            <w:r w:rsidRPr="004D451D">
              <w:rPr>
                <w:rFonts w:eastAsia="標楷體" w:hint="eastAsia"/>
                <w:kern w:val="0"/>
              </w:rPr>
              <w:t>強制徵收擔保品或主權國家違約</w:t>
            </w:r>
            <w:r w:rsidRPr="004D451D">
              <w:rPr>
                <w:rFonts w:eastAsia="標楷體" w:hint="eastAsia"/>
                <w:kern w:val="0"/>
              </w:rPr>
              <w:t>)</w:t>
            </w:r>
            <w:r w:rsidRPr="004D451D">
              <w:rPr>
                <w:rFonts w:eastAsia="標楷體" w:hint="eastAsia"/>
                <w:kern w:val="0"/>
              </w:rPr>
              <w:t>、移轉風險</w:t>
            </w:r>
            <w:r w:rsidRPr="004D451D">
              <w:rPr>
                <w:rFonts w:eastAsia="標楷體" w:hint="eastAsia"/>
                <w:kern w:val="0"/>
              </w:rPr>
              <w:t>(</w:t>
            </w:r>
            <w:r w:rsidRPr="004D451D">
              <w:rPr>
                <w:rFonts w:eastAsia="標楷體" w:hint="eastAsia"/>
                <w:kern w:val="0"/>
              </w:rPr>
              <w:t>外幣無法進行換匯之風險</w:t>
            </w:r>
            <w:r w:rsidRPr="004D451D">
              <w:rPr>
                <w:rFonts w:eastAsia="標楷體" w:hint="eastAsia"/>
                <w:kern w:val="0"/>
              </w:rPr>
              <w:t>)</w:t>
            </w:r>
            <w:r w:rsidRPr="004D451D">
              <w:rPr>
                <w:rFonts w:eastAsia="標楷體" w:hint="eastAsia"/>
                <w:kern w:val="0"/>
              </w:rPr>
              <w:t>。</w:t>
            </w:r>
          </w:p>
          <w:p w:rsidR="000D2F56" w:rsidRPr="004D451D" w:rsidRDefault="000D2F56" w:rsidP="009F53B0">
            <w:pPr>
              <w:widowControl/>
              <w:numPr>
                <w:ilvl w:val="0"/>
                <w:numId w:val="129"/>
              </w:numPr>
              <w:spacing w:line="280" w:lineRule="exact"/>
              <w:rPr>
                <w:rFonts w:eastAsia="標楷體"/>
                <w:kern w:val="0"/>
              </w:rPr>
            </w:pPr>
            <w:r w:rsidRPr="004D451D">
              <w:rPr>
                <w:rFonts w:eastAsia="標楷體" w:hint="eastAsia"/>
                <w:kern w:val="0"/>
              </w:rPr>
              <w:t>信用殘餘風險：</w:t>
            </w:r>
          </w:p>
          <w:p w:rsidR="000D2F56" w:rsidRPr="004D451D" w:rsidRDefault="000D2F56" w:rsidP="000D2F56">
            <w:pPr>
              <w:widowControl/>
              <w:spacing w:line="280" w:lineRule="exact"/>
              <w:ind w:left="480"/>
              <w:rPr>
                <w:rFonts w:eastAsia="標楷體"/>
                <w:kern w:val="0"/>
              </w:rPr>
            </w:pPr>
            <w:r w:rsidRPr="004D451D">
              <w:rPr>
                <w:rFonts w:eastAsia="標楷體" w:hint="eastAsia"/>
                <w:kern w:val="0"/>
              </w:rPr>
              <w:t>利用擔保品、保證或信用衍生性商品等工具來抵減信用風險，但可能使本行暴露於殘餘風險，例如：法律風險、文件風險，與流動性風險。</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2</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9D0AB7">
            <w:pPr>
              <w:widowControl/>
              <w:rPr>
                <w:rFonts w:eastAsia="標楷體"/>
                <w:kern w:val="0"/>
              </w:rPr>
            </w:pPr>
            <w:r w:rsidRPr="004D451D">
              <w:rPr>
                <w:rFonts w:eastAsia="標楷體"/>
                <w:kern w:val="0"/>
              </w:rPr>
              <w:t>定義信用風險管理政策及設定信用風險限額之標準及方法</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widowControl/>
              <w:spacing w:line="280" w:lineRule="exact"/>
              <w:rPr>
                <w:rFonts w:eastAsia="標楷體"/>
                <w:kern w:val="0"/>
              </w:rPr>
            </w:pPr>
            <w:r w:rsidRPr="004D451D">
              <w:rPr>
                <w:rFonts w:eastAsia="標楷體" w:hint="eastAsia"/>
                <w:kern w:val="0"/>
              </w:rPr>
              <w:t>本行訂有「授信政策」，對同一自然人、同一法人、同一公營事業、同一關係人、同一關係企業、同一集團企業之授信均作適當之規劃及控管；對其占本行淨值比率分別訂定上限（其中同一公營事業不得超過本行淨值，同一集團企業依其信用評等、</w:t>
            </w:r>
            <w:r w:rsidRPr="004D451D">
              <w:rPr>
                <w:rFonts w:eastAsia="標楷體" w:hint="eastAsia"/>
                <w:kern w:val="0"/>
              </w:rPr>
              <w:t>CMoney</w:t>
            </w:r>
            <w:r w:rsidRPr="004D451D">
              <w:rPr>
                <w:rFonts w:eastAsia="標楷體" w:hint="eastAsia"/>
                <w:kern w:val="0"/>
              </w:rPr>
              <w:t>財務信評及展望調整核予限額），以控制單一授信風險並提高資金運用效率；對同一行業授信總餘額占本行授信總餘額之比率，依照產業與總體景氣，參考各行業逾放比與未來景氣調整核定限額。為強化對海外以及大陸地區於各行業別之授信風險控管，訂定對海外與大陸地區之行業別限額。對以住宅不動產為擔保之授信總餘額占本行授信總餘額之比率，以資金用途分為房屋修繕、週轉金訂定限額控管，並動態調整授信方向，以規避整體風險，避免信用風險過度集中。</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3</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9D0AB7">
            <w:pPr>
              <w:widowControl/>
              <w:rPr>
                <w:rFonts w:eastAsia="標楷體"/>
                <w:kern w:val="0"/>
              </w:rPr>
            </w:pPr>
            <w:r w:rsidRPr="004D451D">
              <w:rPr>
                <w:rFonts w:eastAsia="標楷體"/>
                <w:kern w:val="0"/>
              </w:rPr>
              <w:t>信用風險管理與控制功能之架構與組織</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widowControl/>
              <w:spacing w:line="280" w:lineRule="exact"/>
              <w:rPr>
                <w:rFonts w:eastAsia="標楷體"/>
                <w:kern w:val="0"/>
              </w:rPr>
            </w:pPr>
            <w:r w:rsidRPr="004D451D">
              <w:rPr>
                <w:rFonts w:eastAsia="標楷體" w:hint="eastAsia"/>
                <w:kern w:val="0"/>
              </w:rPr>
              <w:t>1.</w:t>
            </w:r>
            <w:r w:rsidRPr="004D451D">
              <w:rPr>
                <w:rFonts w:eastAsia="標楷體" w:hint="eastAsia"/>
                <w:kern w:val="0"/>
              </w:rPr>
              <w:t>董事會</w:t>
            </w:r>
            <w:r w:rsidRPr="004D451D">
              <w:rPr>
                <w:rFonts w:eastAsia="標楷體" w:hint="eastAsia"/>
                <w:kern w:val="0"/>
              </w:rPr>
              <w:t xml:space="preserve"> </w:t>
            </w:r>
          </w:p>
          <w:p w:rsidR="000D2F56" w:rsidRPr="004D451D" w:rsidRDefault="000D2F56" w:rsidP="000D2F56">
            <w:pPr>
              <w:widowControl/>
              <w:spacing w:line="280" w:lineRule="exact"/>
              <w:rPr>
                <w:rFonts w:eastAsia="標楷體"/>
                <w:kern w:val="0"/>
              </w:rPr>
            </w:pPr>
            <w:r w:rsidRPr="004D451D">
              <w:rPr>
                <w:rFonts w:eastAsia="標楷體" w:hint="eastAsia"/>
                <w:kern w:val="0"/>
              </w:rPr>
              <w:t>董事會為本行信用風險管理之最高決策層級，並對本行信用風險管理負有最終之責任。</w:t>
            </w:r>
          </w:p>
          <w:p w:rsidR="000D2F56" w:rsidRPr="004D451D" w:rsidRDefault="000D2F56" w:rsidP="000D2F56">
            <w:pPr>
              <w:widowControl/>
              <w:spacing w:line="280" w:lineRule="exact"/>
              <w:rPr>
                <w:rFonts w:eastAsia="標楷體"/>
                <w:kern w:val="0"/>
              </w:rPr>
            </w:pPr>
            <w:r w:rsidRPr="004D451D">
              <w:rPr>
                <w:rFonts w:eastAsia="標楷體" w:hint="eastAsia"/>
                <w:kern w:val="0"/>
              </w:rPr>
              <w:t>2.</w:t>
            </w:r>
            <w:r w:rsidRPr="004D451D">
              <w:rPr>
                <w:rFonts w:eastAsia="標楷體" w:hint="eastAsia"/>
                <w:kern w:val="0"/>
              </w:rPr>
              <w:t>風險管理委員會</w:t>
            </w:r>
          </w:p>
          <w:p w:rsidR="000D2F56" w:rsidRPr="004D451D" w:rsidRDefault="000D2F56" w:rsidP="000D2F56">
            <w:pPr>
              <w:widowControl/>
              <w:spacing w:line="280" w:lineRule="exact"/>
              <w:rPr>
                <w:rFonts w:eastAsia="標楷體"/>
                <w:kern w:val="0"/>
              </w:rPr>
            </w:pPr>
            <w:r w:rsidRPr="004D451D">
              <w:rPr>
                <w:rFonts w:eastAsia="標楷體" w:hint="eastAsia"/>
                <w:kern w:val="0"/>
              </w:rPr>
              <w:t>負責執行董事會核定之信用風險管理決策，審議信用風險規章並協調有關信用風險管理事宜，持續監督風險管理執行的績效。</w:t>
            </w:r>
          </w:p>
          <w:p w:rsidR="000D2F56" w:rsidRPr="004D451D" w:rsidRDefault="000D2F56" w:rsidP="000D2F56">
            <w:pPr>
              <w:widowControl/>
              <w:spacing w:line="280" w:lineRule="exact"/>
              <w:rPr>
                <w:rFonts w:eastAsia="標楷體"/>
                <w:kern w:val="0"/>
              </w:rPr>
            </w:pPr>
            <w:r w:rsidRPr="004D451D">
              <w:rPr>
                <w:rFonts w:eastAsia="標楷體" w:hint="eastAsia"/>
                <w:kern w:val="0"/>
              </w:rPr>
              <w:t>3.</w:t>
            </w:r>
            <w:r w:rsidRPr="004D451D">
              <w:rPr>
                <w:rFonts w:eastAsia="標楷體" w:hint="eastAsia"/>
                <w:kern w:val="0"/>
              </w:rPr>
              <w:t>授信審議委員會</w:t>
            </w:r>
          </w:p>
          <w:p w:rsidR="000D2F56" w:rsidRPr="004D451D" w:rsidRDefault="000D2F56" w:rsidP="000D2F56">
            <w:pPr>
              <w:widowControl/>
              <w:spacing w:line="280" w:lineRule="exact"/>
              <w:rPr>
                <w:rFonts w:eastAsia="標楷體"/>
                <w:kern w:val="0"/>
              </w:rPr>
            </w:pPr>
            <w:r w:rsidRPr="004D451D">
              <w:rPr>
                <w:rFonts w:eastAsia="標楷體" w:hint="eastAsia"/>
                <w:kern w:val="0"/>
              </w:rPr>
              <w:t>負責審議董事會權限之授信案件，並將審議結果呈董事會核定；歸戶後金額屬董事會核准層級且董事會已核准之授信案件，其利率、費率調整授權授信審議委員會酌情調整，並於每月彙報董事會核備。</w:t>
            </w:r>
          </w:p>
          <w:p w:rsidR="000D2F56" w:rsidRPr="004D451D" w:rsidRDefault="000D2F56" w:rsidP="000D2F56">
            <w:pPr>
              <w:widowControl/>
              <w:spacing w:line="280" w:lineRule="exact"/>
              <w:rPr>
                <w:rFonts w:eastAsia="標楷體"/>
                <w:kern w:val="0"/>
              </w:rPr>
            </w:pPr>
            <w:r w:rsidRPr="004D451D">
              <w:rPr>
                <w:rFonts w:eastAsia="標楷體" w:hint="eastAsia"/>
                <w:kern w:val="0"/>
              </w:rPr>
              <w:t>4.</w:t>
            </w:r>
            <w:r w:rsidRPr="004D451D">
              <w:rPr>
                <w:rFonts w:eastAsia="標楷體" w:hint="eastAsia"/>
                <w:kern w:val="0"/>
              </w:rPr>
              <w:t>風險管理部</w:t>
            </w:r>
          </w:p>
          <w:p w:rsidR="000D2F56" w:rsidRPr="004D451D" w:rsidRDefault="000D2F56" w:rsidP="000D2F56">
            <w:pPr>
              <w:widowControl/>
              <w:spacing w:line="280" w:lineRule="exact"/>
              <w:rPr>
                <w:rFonts w:eastAsia="標楷體"/>
                <w:kern w:val="0"/>
              </w:rPr>
            </w:pPr>
            <w:r w:rsidRPr="004D451D">
              <w:rPr>
                <w:rFonts w:eastAsia="標楷體" w:hint="eastAsia"/>
                <w:kern w:val="0"/>
              </w:rPr>
              <w:t>負責規劃、建置及整合本行信用風險管理作業，執行全行整體信用風險管理監控工作，定期彙總全行信用風險資訊提報風險管理委員會及董事會；並依主管機關規定計提信用風險資本及風險資訊揭露。</w:t>
            </w:r>
          </w:p>
          <w:p w:rsidR="000D2F56" w:rsidRPr="004D451D" w:rsidRDefault="000D2F56" w:rsidP="000D2F56">
            <w:pPr>
              <w:widowControl/>
              <w:spacing w:line="280" w:lineRule="exact"/>
              <w:rPr>
                <w:rFonts w:eastAsia="標楷體"/>
                <w:kern w:val="0"/>
              </w:rPr>
            </w:pPr>
            <w:r w:rsidRPr="004D451D">
              <w:rPr>
                <w:rFonts w:eastAsia="標楷體" w:hint="eastAsia"/>
                <w:kern w:val="0"/>
              </w:rPr>
              <w:t>5.</w:t>
            </w:r>
            <w:r w:rsidRPr="004D451D">
              <w:rPr>
                <w:rFonts w:eastAsia="標楷體" w:hint="eastAsia"/>
                <w:kern w:val="0"/>
              </w:rPr>
              <w:t>總行各業務主管單位</w:t>
            </w:r>
          </w:p>
          <w:p w:rsidR="000D2F56" w:rsidRPr="004D451D" w:rsidRDefault="000D2F56" w:rsidP="000D2F56">
            <w:pPr>
              <w:widowControl/>
              <w:spacing w:line="280" w:lineRule="exact"/>
              <w:rPr>
                <w:rFonts w:eastAsia="標楷體"/>
                <w:kern w:val="0"/>
              </w:rPr>
            </w:pPr>
            <w:r w:rsidRPr="004D451D">
              <w:rPr>
                <w:rFonts w:eastAsia="標楷體" w:hint="eastAsia"/>
                <w:kern w:val="0"/>
              </w:rPr>
              <w:t>(1)</w:t>
            </w:r>
            <w:r w:rsidRPr="004D451D">
              <w:rPr>
                <w:rFonts w:eastAsia="標楷體" w:hint="eastAsia"/>
                <w:kern w:val="0"/>
              </w:rPr>
              <w:tab/>
            </w:r>
            <w:r w:rsidRPr="004D451D">
              <w:rPr>
                <w:rFonts w:eastAsia="標楷體" w:hint="eastAsia"/>
                <w:kern w:val="0"/>
              </w:rPr>
              <w:t>負責訂定、管理其所轄業務之信用風險規章及作業流程，並監控其執行情形，協助風險管理部完成全行信用風險之控管。</w:t>
            </w:r>
          </w:p>
          <w:p w:rsidR="000D2F56" w:rsidRPr="004D451D" w:rsidRDefault="000D2F56" w:rsidP="000D2F56">
            <w:pPr>
              <w:widowControl/>
              <w:spacing w:line="280" w:lineRule="exact"/>
              <w:rPr>
                <w:rFonts w:eastAsia="標楷體"/>
                <w:kern w:val="0"/>
              </w:rPr>
            </w:pPr>
            <w:r w:rsidRPr="004D451D">
              <w:rPr>
                <w:rFonts w:eastAsia="標楷體" w:hint="eastAsia"/>
                <w:kern w:val="0"/>
              </w:rPr>
              <w:t>(2)</w:t>
            </w:r>
            <w:r w:rsidRPr="004D451D">
              <w:rPr>
                <w:rFonts w:eastAsia="標楷體" w:hint="eastAsia"/>
                <w:kern w:val="0"/>
              </w:rPr>
              <w:t>總行各業務主管單位應辨識並管理所有金融商品的信用風險，並確保在從事新種商品或交易之前，作好風險控管機制。</w:t>
            </w:r>
          </w:p>
          <w:p w:rsidR="000D2F56" w:rsidRPr="004D451D" w:rsidRDefault="000D2F56" w:rsidP="000D2F56">
            <w:pPr>
              <w:widowControl/>
              <w:spacing w:line="280" w:lineRule="exact"/>
              <w:rPr>
                <w:rFonts w:eastAsia="標楷體"/>
                <w:kern w:val="0"/>
              </w:rPr>
            </w:pPr>
            <w:r w:rsidRPr="004D451D">
              <w:rPr>
                <w:rFonts w:eastAsia="標楷體" w:hint="eastAsia"/>
                <w:kern w:val="0"/>
              </w:rPr>
              <w:t>6.</w:t>
            </w:r>
            <w:r w:rsidRPr="004D451D">
              <w:rPr>
                <w:rFonts w:eastAsia="標楷體" w:hint="eastAsia"/>
                <w:kern w:val="0"/>
              </w:rPr>
              <w:t>全行各單位</w:t>
            </w:r>
          </w:p>
          <w:p w:rsidR="000D2F56" w:rsidRPr="004D451D" w:rsidRDefault="000D2F56" w:rsidP="000D2F56">
            <w:pPr>
              <w:widowControl/>
              <w:spacing w:line="280" w:lineRule="exact"/>
              <w:rPr>
                <w:rFonts w:eastAsia="標楷體"/>
                <w:kern w:val="0"/>
              </w:rPr>
            </w:pPr>
            <w:r w:rsidRPr="004D451D">
              <w:rPr>
                <w:rFonts w:eastAsia="標楷體" w:hint="eastAsia"/>
                <w:kern w:val="0"/>
              </w:rPr>
              <w:t>(1)</w:t>
            </w:r>
            <w:r w:rsidRPr="004D451D">
              <w:rPr>
                <w:rFonts w:eastAsia="標楷體" w:hint="eastAsia"/>
                <w:kern w:val="0"/>
              </w:rPr>
              <w:t>負責辨識、評估及衡量風險並採取適當的風險對策方式。</w:t>
            </w:r>
          </w:p>
          <w:p w:rsidR="000D2F56" w:rsidRPr="004D451D" w:rsidRDefault="000D2F56" w:rsidP="000D2F56">
            <w:pPr>
              <w:widowControl/>
              <w:spacing w:line="280" w:lineRule="exact"/>
              <w:rPr>
                <w:rFonts w:eastAsia="標楷體"/>
                <w:kern w:val="0"/>
              </w:rPr>
            </w:pPr>
            <w:r w:rsidRPr="004D451D">
              <w:rPr>
                <w:rFonts w:eastAsia="標楷體" w:hint="eastAsia"/>
                <w:kern w:val="0"/>
              </w:rPr>
              <w:t>(2)</w:t>
            </w:r>
            <w:r w:rsidRPr="004D451D">
              <w:rPr>
                <w:rFonts w:eastAsia="標楷體" w:hint="eastAsia"/>
                <w:kern w:val="0"/>
              </w:rPr>
              <w:t>遵循本行徵信、授信及與信用風險有關之管理規定，進行日常作業與信用風險管理，並依規定適時陳報相關單位。</w:t>
            </w:r>
          </w:p>
          <w:p w:rsidR="000D2F56" w:rsidRPr="004D451D" w:rsidRDefault="000D2F56" w:rsidP="000D2F56">
            <w:pPr>
              <w:widowControl/>
              <w:spacing w:line="280" w:lineRule="exact"/>
              <w:rPr>
                <w:rFonts w:eastAsia="標楷體"/>
                <w:kern w:val="0"/>
              </w:rPr>
            </w:pPr>
            <w:r w:rsidRPr="004D451D">
              <w:rPr>
                <w:rFonts w:eastAsia="標楷體" w:hint="eastAsia"/>
                <w:kern w:val="0"/>
              </w:rPr>
              <w:t>(3)</w:t>
            </w:r>
            <w:r w:rsidRPr="004D451D">
              <w:rPr>
                <w:rFonts w:eastAsia="標楷體" w:hint="eastAsia"/>
                <w:kern w:val="0"/>
              </w:rPr>
              <w:t>對信用風險之控管應與日常作業相結合，並確認各作業資料之正確性及完整性。</w:t>
            </w:r>
          </w:p>
          <w:p w:rsidR="000D2F56" w:rsidRPr="004D451D" w:rsidRDefault="000D2F56" w:rsidP="000D2F56">
            <w:pPr>
              <w:widowControl/>
              <w:spacing w:line="280" w:lineRule="exact"/>
              <w:rPr>
                <w:rFonts w:eastAsia="標楷體"/>
                <w:kern w:val="0"/>
              </w:rPr>
            </w:pPr>
            <w:r w:rsidRPr="004D451D">
              <w:rPr>
                <w:rFonts w:eastAsia="標楷體" w:hint="eastAsia"/>
                <w:kern w:val="0"/>
              </w:rPr>
              <w:t>7.</w:t>
            </w:r>
            <w:r w:rsidRPr="004D451D">
              <w:rPr>
                <w:rFonts w:eastAsia="標楷體" w:hint="eastAsia"/>
                <w:kern w:val="0"/>
              </w:rPr>
              <w:t>營業單位授信審議小組</w:t>
            </w:r>
          </w:p>
          <w:p w:rsidR="000D2F56" w:rsidRPr="004D451D" w:rsidRDefault="000D2F56" w:rsidP="000D2F56">
            <w:pPr>
              <w:widowControl/>
              <w:spacing w:line="280" w:lineRule="exact"/>
              <w:rPr>
                <w:rFonts w:eastAsia="標楷體"/>
                <w:kern w:val="0"/>
              </w:rPr>
            </w:pPr>
            <w:r w:rsidRPr="004D451D">
              <w:rPr>
                <w:rFonts w:eastAsia="標楷體" w:hint="eastAsia"/>
                <w:kern w:val="0"/>
              </w:rPr>
              <w:t>負責對單位主管授權權限內之授信案件，召開授信審議會議，加強對授信業務之審核，以確保債權，作好風險控管。</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4</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9D0AB7">
            <w:pPr>
              <w:widowControl/>
              <w:rPr>
                <w:rFonts w:eastAsia="標楷體"/>
                <w:kern w:val="0"/>
              </w:rPr>
            </w:pPr>
            <w:r w:rsidRPr="004D451D">
              <w:rPr>
                <w:rFonts w:eastAsia="標楷體"/>
                <w:kern w:val="0"/>
              </w:rPr>
              <w:t>信用風險管理、風險控制、法令遵循以及內部稽核功能間的關聯性</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widowControl/>
              <w:spacing w:line="280" w:lineRule="exact"/>
              <w:rPr>
                <w:rFonts w:eastAsia="標楷體"/>
                <w:kern w:val="0"/>
              </w:rPr>
            </w:pPr>
            <w:r w:rsidRPr="004D451D">
              <w:rPr>
                <w:rFonts w:eastAsia="標楷體" w:hint="eastAsia"/>
                <w:kern w:val="0"/>
              </w:rPr>
              <w:t>本行「授信政策」已對授信限額作適當之規劃及控管，並於授信審核時，依「呈總檢附書類一覽表</w:t>
            </w:r>
            <w:r w:rsidRPr="004D451D">
              <w:rPr>
                <w:rFonts w:eastAsia="標楷體" w:hint="eastAsia"/>
                <w:kern w:val="0"/>
              </w:rPr>
              <w:t>-</w:t>
            </w:r>
            <w:r w:rsidRPr="004D451D">
              <w:rPr>
                <w:rFonts w:eastAsia="標楷體" w:hint="eastAsia"/>
                <w:kern w:val="0"/>
              </w:rPr>
              <w:t>關係戶授信明細表」對授信限額加以控管；並利用系統產製之各類限額控管報表加強檢視監控</w:t>
            </w:r>
            <w:r w:rsidRPr="004D451D">
              <w:rPr>
                <w:rFonts w:eastAsia="標楷體" w:hint="eastAsia"/>
                <w:kern w:val="0"/>
              </w:rPr>
              <w:t>(</w:t>
            </w:r>
            <w:r w:rsidRPr="004D451D">
              <w:rPr>
                <w:rFonts w:eastAsia="標楷體" w:hint="eastAsia"/>
                <w:kern w:val="0"/>
              </w:rPr>
              <w:t>如：同一自然人、同一法人、同一關係人、同一關係企業、同一行業…等報表</w:t>
            </w:r>
            <w:r w:rsidRPr="004D451D">
              <w:rPr>
                <w:rFonts w:eastAsia="標楷體" w:hint="eastAsia"/>
                <w:kern w:val="0"/>
              </w:rPr>
              <w:t>)</w:t>
            </w:r>
            <w:r w:rsidRPr="004D451D">
              <w:rPr>
                <w:rFonts w:eastAsia="標楷體" w:hint="eastAsia"/>
                <w:kern w:val="0"/>
              </w:rPr>
              <w:t>；另為有效控管本行例外核准案件之風險，已制訂「各項例外核准案件施行</w:t>
            </w:r>
            <w:r w:rsidR="008D60FA" w:rsidRPr="004D451D">
              <w:rPr>
                <w:rFonts w:eastAsia="標楷體" w:hint="eastAsia"/>
                <w:kern w:val="0"/>
              </w:rPr>
              <w:t>辦法</w:t>
            </w:r>
            <w:r w:rsidRPr="004D451D">
              <w:rPr>
                <w:rFonts w:eastAsia="標楷體" w:hint="eastAsia"/>
                <w:kern w:val="0"/>
              </w:rPr>
              <w:t>」，以定期檢討對例外核准之案件限額；且本行為加強授信業務事後管理，期能及早發現跡象不良者，得預為研擬保全措施，藉以確保債權，提昇授信之品質及安全，特制訂「授信覆審要點」以確保信用風險暴險程度不致超過可接受之程度。法令遵循單位應執行法律風險控管，確保業務執行及風險管理制度皆能遵循法令規範。本行稽核室並定期辦理風險管理一般業務查核，檢視信用風險管理程序。內部稽核的查核範圍包括：</w:t>
            </w:r>
            <w:r w:rsidRPr="004D451D">
              <w:rPr>
                <w:rFonts w:eastAsia="標楷體" w:hint="eastAsia"/>
                <w:kern w:val="0"/>
              </w:rPr>
              <w:t>(1)</w:t>
            </w:r>
            <w:r w:rsidRPr="004D451D">
              <w:rPr>
                <w:rFonts w:eastAsia="標楷體" w:hint="eastAsia"/>
                <w:kern w:val="0"/>
              </w:rPr>
              <w:t>授信內部管理程序、方針及其遵循情形。</w:t>
            </w:r>
            <w:r w:rsidRPr="004D451D">
              <w:rPr>
                <w:rFonts w:eastAsia="標楷體" w:hint="eastAsia"/>
                <w:kern w:val="0"/>
              </w:rPr>
              <w:t>(2)</w:t>
            </w:r>
            <w:r w:rsidRPr="004D451D">
              <w:rPr>
                <w:rFonts w:eastAsia="標楷體" w:hint="eastAsia"/>
                <w:kern w:val="0"/>
              </w:rPr>
              <w:t>授信方針、措施及授信限額之例外情況，可及時向有關管理階層呈報。</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5</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9D0AB7">
            <w:pPr>
              <w:widowControl/>
              <w:rPr>
                <w:rFonts w:eastAsia="標楷體"/>
                <w:kern w:val="0"/>
              </w:rPr>
            </w:pPr>
            <w:r w:rsidRPr="004D451D">
              <w:rPr>
                <w:rFonts w:eastAsia="標楷體"/>
                <w:kern w:val="0"/>
              </w:rPr>
              <w:t>對董事會及管理階層報告信用風險暴險及信用風險管理功能的範圍及主要內容</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widowControl/>
              <w:spacing w:line="280" w:lineRule="exact"/>
              <w:rPr>
                <w:rFonts w:eastAsia="標楷體"/>
                <w:kern w:val="0"/>
              </w:rPr>
            </w:pPr>
            <w:r w:rsidRPr="004D451D">
              <w:rPr>
                <w:rFonts w:eastAsia="標楷體" w:hint="eastAsia"/>
                <w:kern w:val="0"/>
              </w:rPr>
              <w:t>本行依據整體風險管理政策，訂定「信用風險管理準則」。另將各暴險類型分類，計算信用風險性資產，並揭露於風險控管報告每季提報董事會。內容及範圍為：</w:t>
            </w:r>
          </w:p>
          <w:p w:rsidR="000D2F56" w:rsidRPr="004D451D" w:rsidRDefault="000D2F56" w:rsidP="009F53B0">
            <w:pPr>
              <w:widowControl/>
              <w:numPr>
                <w:ilvl w:val="0"/>
                <w:numId w:val="131"/>
              </w:numPr>
              <w:spacing w:line="280" w:lineRule="exact"/>
              <w:rPr>
                <w:rFonts w:eastAsia="標楷體"/>
                <w:kern w:val="0"/>
              </w:rPr>
            </w:pPr>
            <w:r w:rsidRPr="004D451D">
              <w:rPr>
                <w:rFonts w:eastAsia="標楷體" w:hint="eastAsia"/>
                <w:kern w:val="0"/>
              </w:rPr>
              <w:t>交易對手額度控管（對同一自然人、同一法人、同一關係人、同一關係企業、同一集團企業、同一行業）</w:t>
            </w:r>
          </w:p>
          <w:p w:rsidR="000D2F56" w:rsidRPr="004D451D" w:rsidRDefault="000D2F56" w:rsidP="009F53B0">
            <w:pPr>
              <w:widowControl/>
              <w:numPr>
                <w:ilvl w:val="0"/>
                <w:numId w:val="131"/>
              </w:numPr>
              <w:spacing w:line="280" w:lineRule="exact"/>
              <w:rPr>
                <w:rFonts w:eastAsia="標楷體"/>
                <w:kern w:val="0"/>
              </w:rPr>
            </w:pPr>
            <w:r w:rsidRPr="004D451D">
              <w:rPr>
                <w:rFonts w:eastAsia="標楷體" w:hint="eastAsia"/>
                <w:kern w:val="0"/>
              </w:rPr>
              <w:t>信用風險集中度控管（監控前</w:t>
            </w:r>
            <w:r w:rsidRPr="004D451D">
              <w:rPr>
                <w:rFonts w:eastAsia="標楷體" w:hint="eastAsia"/>
                <w:kern w:val="0"/>
              </w:rPr>
              <w:t>20</w:t>
            </w:r>
            <w:r w:rsidRPr="004D451D">
              <w:rPr>
                <w:rFonts w:eastAsia="標楷體" w:hint="eastAsia"/>
                <w:kern w:val="0"/>
              </w:rPr>
              <w:t>大授信戶）</w:t>
            </w:r>
          </w:p>
          <w:p w:rsidR="000D2F56" w:rsidRPr="004D451D" w:rsidRDefault="000D2F56" w:rsidP="009F53B0">
            <w:pPr>
              <w:widowControl/>
              <w:numPr>
                <w:ilvl w:val="0"/>
                <w:numId w:val="131"/>
              </w:numPr>
              <w:spacing w:line="280" w:lineRule="exact"/>
              <w:rPr>
                <w:rFonts w:eastAsia="標楷體"/>
                <w:kern w:val="0"/>
              </w:rPr>
            </w:pPr>
            <w:r w:rsidRPr="004D451D">
              <w:rPr>
                <w:rFonts w:eastAsia="標楷體" w:hint="eastAsia"/>
                <w:kern w:val="0"/>
              </w:rPr>
              <w:t>授信業務結構分析（依放款類別）</w:t>
            </w:r>
          </w:p>
          <w:p w:rsidR="000D2F56" w:rsidRPr="004D451D" w:rsidRDefault="000D2F56" w:rsidP="009F53B0">
            <w:pPr>
              <w:widowControl/>
              <w:numPr>
                <w:ilvl w:val="0"/>
                <w:numId w:val="131"/>
              </w:numPr>
              <w:spacing w:line="280" w:lineRule="exact"/>
              <w:rPr>
                <w:rFonts w:eastAsia="標楷體"/>
                <w:kern w:val="0"/>
              </w:rPr>
            </w:pPr>
            <w:r w:rsidRPr="004D451D">
              <w:rPr>
                <w:rFonts w:eastAsia="標楷體" w:hint="eastAsia"/>
                <w:kern w:val="0"/>
              </w:rPr>
              <w:t>資產品質（逾期放款、逾放比、備抵呆帳、覆蓋率）等。信用風險衡量系統分為信用評等維護作業、表內加權風險資產額維護作業…等。</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6</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4D6490">
            <w:pPr>
              <w:widowControl/>
              <w:rPr>
                <w:rFonts w:eastAsia="標楷體"/>
                <w:kern w:val="0"/>
              </w:rPr>
            </w:pPr>
            <w:r w:rsidRPr="004D451D">
              <w:rPr>
                <w:rFonts w:eastAsia="標楷體"/>
                <w:kern w:val="0"/>
              </w:rPr>
              <w:t>銀行運用資產負債表表內及表外淨額結算之政策及程序核心特色及其運用程度</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autoSpaceDE w:val="0"/>
              <w:autoSpaceDN w:val="0"/>
              <w:adjustRightInd w:val="0"/>
              <w:spacing w:line="280" w:lineRule="exact"/>
              <w:rPr>
                <w:rFonts w:ascii="標楷體" w:eastAsia="標楷體" w:hAnsi="標楷體" w:cs="Arial"/>
                <w:kern w:val="0"/>
              </w:rPr>
            </w:pPr>
            <w:r w:rsidRPr="004D451D">
              <w:rPr>
                <w:rFonts w:ascii="標楷體" w:eastAsia="標楷體" w:hAnsi="標楷體" w:cs="Arial" w:hint="eastAsia"/>
                <w:kern w:val="0"/>
              </w:rPr>
              <w:t>本行相關交易通常按總額交割，另與部分交易對手訂定淨額交割約定，或於出現違約情形時與該對手之所有交易終止且按淨額交割，以進一步降低信用風險。</w:t>
            </w:r>
          </w:p>
          <w:p w:rsidR="000D2F56" w:rsidRPr="004D451D" w:rsidRDefault="000D2F56" w:rsidP="000D2F56">
            <w:pPr>
              <w:widowControl/>
              <w:spacing w:line="280" w:lineRule="exact"/>
              <w:rPr>
                <w:rFonts w:eastAsia="標楷體"/>
                <w:kern w:val="0"/>
              </w:rPr>
            </w:pPr>
            <w:r w:rsidRPr="004D451D">
              <w:rPr>
                <w:rFonts w:ascii="標楷體" w:eastAsia="標楷體" w:hAnsi="標楷體" w:cs="Arial" w:hint="eastAsia"/>
                <w:kern w:val="0"/>
              </w:rPr>
              <w:t>另於授信合約訂有抵銷條款，明確定義當信用事件發生時，得將授信戶寄存本行之各種存款抵銷其所負之債務，以降低授信風險。</w:t>
            </w:r>
          </w:p>
        </w:tc>
      </w:tr>
      <w:tr w:rsidR="004D451D"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9D0AB7">
            <w:pPr>
              <w:widowControl/>
              <w:jc w:val="center"/>
              <w:rPr>
                <w:rFonts w:eastAsia="標楷體"/>
                <w:kern w:val="0"/>
              </w:rPr>
            </w:pPr>
            <w:r w:rsidRPr="004D451D">
              <w:rPr>
                <w:rFonts w:eastAsia="標楷體"/>
                <w:kern w:val="0"/>
              </w:rPr>
              <w:t>7</w:t>
            </w:r>
          </w:p>
        </w:tc>
        <w:tc>
          <w:tcPr>
            <w:tcW w:w="3081" w:type="dxa"/>
            <w:tcBorders>
              <w:top w:val="single" w:sz="4" w:space="0" w:color="auto"/>
              <w:left w:val="nil"/>
              <w:bottom w:val="single" w:sz="4" w:space="0" w:color="auto"/>
              <w:right w:val="single" w:sz="4" w:space="0" w:color="000000"/>
            </w:tcBorders>
            <w:vAlign w:val="center"/>
          </w:tcPr>
          <w:p w:rsidR="000D2F56" w:rsidRPr="004D451D" w:rsidRDefault="000D2F56" w:rsidP="004D6490">
            <w:pPr>
              <w:widowControl/>
              <w:rPr>
                <w:rFonts w:eastAsia="標楷體"/>
                <w:kern w:val="0"/>
              </w:rPr>
            </w:pPr>
            <w:r w:rsidRPr="004D451D">
              <w:rPr>
                <w:rFonts w:eastAsia="標楷體"/>
                <w:kern w:val="0"/>
              </w:rPr>
              <w:t>擔保品估價與管理之政策及程序的核心特色</w:t>
            </w:r>
          </w:p>
        </w:tc>
        <w:tc>
          <w:tcPr>
            <w:tcW w:w="6034" w:type="dxa"/>
            <w:tcBorders>
              <w:top w:val="single" w:sz="4" w:space="0" w:color="auto"/>
              <w:left w:val="nil"/>
              <w:bottom w:val="single" w:sz="4" w:space="0" w:color="auto"/>
              <w:right w:val="single" w:sz="4" w:space="0" w:color="auto"/>
            </w:tcBorders>
            <w:noWrap/>
            <w:vAlign w:val="center"/>
          </w:tcPr>
          <w:p w:rsidR="000D2F56" w:rsidRPr="004D451D" w:rsidRDefault="000D2F56" w:rsidP="000D2F56">
            <w:pPr>
              <w:widowControl/>
              <w:spacing w:line="280" w:lineRule="exact"/>
              <w:rPr>
                <w:rFonts w:eastAsia="標楷體"/>
                <w:kern w:val="0"/>
              </w:rPr>
            </w:pPr>
            <w:r w:rsidRPr="004D451D">
              <w:rPr>
                <w:rFonts w:eastAsia="標楷體" w:hint="eastAsia"/>
              </w:rPr>
              <w:t>本行對授信擔保品之鑑估制訂標準，提報董事會通過後實施，並</w:t>
            </w:r>
            <w:r w:rsidRPr="004D451D">
              <w:rPr>
                <w:rFonts w:eastAsia="標楷體" w:hint="eastAsia"/>
                <w:kern w:val="0"/>
              </w:rPr>
              <w:t>建立擔保品管理制度，以確保擔保品能得到有效管理。擔保品以書面文件明確規範可接受之擔保品種類、數量及其對應之暴險金額暨徵提實務。為確保擔保品能提供合理之債權保障，借款人或交易對手之信用品質與擔保品之價值應不宜有重大之連動性。擔保品必須具備法律確定性，除在相關之法律管轄區域內可強制執行，且在合理的時間範圍內能實現其擔保價值。</w:t>
            </w:r>
          </w:p>
          <w:p w:rsidR="000D2F56" w:rsidRPr="004D451D" w:rsidRDefault="000D2F56" w:rsidP="000D2F56">
            <w:pPr>
              <w:widowControl/>
              <w:spacing w:line="280" w:lineRule="exact"/>
              <w:rPr>
                <w:rFonts w:eastAsia="標楷體"/>
                <w:kern w:val="0"/>
              </w:rPr>
            </w:pPr>
            <w:r w:rsidRPr="004D451D">
              <w:rPr>
                <w:rFonts w:eastAsia="標楷體" w:hint="eastAsia"/>
                <w:kern w:val="0"/>
              </w:rPr>
              <w:t>本行於撥貸或交易前，應取得相關之擔保品證明書並予以妥善歸檔，且於貸款合約或交易契約中詳細描述擔保品之相關資訊。</w:t>
            </w:r>
          </w:p>
        </w:tc>
      </w:tr>
      <w:tr w:rsidR="000D2F56" w:rsidRPr="004D451D" w:rsidTr="000D2F56">
        <w:trPr>
          <w:trHeight w:val="1080"/>
        </w:trPr>
        <w:tc>
          <w:tcPr>
            <w:tcW w:w="620" w:type="dxa"/>
            <w:tcBorders>
              <w:top w:val="nil"/>
              <w:left w:val="single" w:sz="4" w:space="0" w:color="auto"/>
              <w:bottom w:val="single" w:sz="4" w:space="0" w:color="auto"/>
              <w:right w:val="single" w:sz="4" w:space="0" w:color="auto"/>
            </w:tcBorders>
            <w:noWrap/>
            <w:vAlign w:val="center"/>
          </w:tcPr>
          <w:p w:rsidR="000D2F56" w:rsidRPr="004D451D" w:rsidRDefault="000D2F56" w:rsidP="007B3A4F">
            <w:pPr>
              <w:widowControl/>
              <w:jc w:val="center"/>
              <w:rPr>
                <w:rFonts w:eastAsia="標楷體"/>
                <w:kern w:val="0"/>
              </w:rPr>
            </w:pPr>
            <w:r w:rsidRPr="004D451D">
              <w:rPr>
                <w:rFonts w:eastAsia="標楷體"/>
                <w:kern w:val="0"/>
              </w:rPr>
              <w:t>8</w:t>
            </w:r>
          </w:p>
        </w:tc>
        <w:tc>
          <w:tcPr>
            <w:tcW w:w="3081" w:type="dxa"/>
            <w:tcBorders>
              <w:top w:val="single" w:sz="4" w:space="0" w:color="auto"/>
              <w:left w:val="nil"/>
              <w:bottom w:val="single" w:sz="4" w:space="0" w:color="auto"/>
              <w:right w:val="single" w:sz="4" w:space="0" w:color="000000"/>
            </w:tcBorders>
          </w:tcPr>
          <w:p w:rsidR="000D2F56" w:rsidRPr="004D451D" w:rsidRDefault="000D2F56" w:rsidP="004D6490">
            <w:pPr>
              <w:widowControl/>
              <w:rPr>
                <w:rFonts w:eastAsia="標楷體"/>
                <w:kern w:val="0"/>
              </w:rPr>
            </w:pPr>
            <w:r w:rsidRPr="004D451D">
              <w:rPr>
                <w:rFonts w:eastAsia="標楷體"/>
                <w:kern w:val="0"/>
              </w:rPr>
              <w:t>信用風險抵減工具之市場或信用風險集中度資訊</w:t>
            </w:r>
            <w:r w:rsidRPr="004D451D">
              <w:rPr>
                <w:rFonts w:eastAsia="標楷體"/>
                <w:kern w:val="0"/>
              </w:rPr>
              <w:t>(</w:t>
            </w:r>
            <w:r w:rsidRPr="004D451D">
              <w:rPr>
                <w:rFonts w:eastAsia="標楷體"/>
                <w:kern w:val="0"/>
              </w:rPr>
              <w:t>例如依保證人類型、擔保品及信用衍生性金融商品提供人</w:t>
            </w:r>
            <w:r w:rsidRPr="004D451D">
              <w:rPr>
                <w:rFonts w:eastAsia="標楷體"/>
                <w:kern w:val="0"/>
              </w:rPr>
              <w:t>)</w:t>
            </w:r>
          </w:p>
        </w:tc>
        <w:tc>
          <w:tcPr>
            <w:tcW w:w="6034" w:type="dxa"/>
            <w:tcBorders>
              <w:top w:val="single" w:sz="4" w:space="0" w:color="auto"/>
              <w:left w:val="nil"/>
              <w:bottom w:val="single" w:sz="4" w:space="0" w:color="auto"/>
              <w:right w:val="single" w:sz="4" w:space="0" w:color="auto"/>
            </w:tcBorders>
            <w:noWrap/>
          </w:tcPr>
          <w:p w:rsidR="000D2F56" w:rsidRPr="004D451D" w:rsidRDefault="000D2F56" w:rsidP="009F53B0">
            <w:pPr>
              <w:numPr>
                <w:ilvl w:val="0"/>
                <w:numId w:val="132"/>
              </w:numPr>
              <w:spacing w:line="280" w:lineRule="exact"/>
              <w:rPr>
                <w:rFonts w:eastAsia="標楷體"/>
              </w:rPr>
            </w:pPr>
            <w:r w:rsidRPr="004D451D">
              <w:rPr>
                <w:rFonts w:eastAsia="標楷體" w:hint="eastAsia"/>
              </w:rPr>
              <w:t>辦理信用風險相關業務時，評估該事件或交易可能產生違約之機率高低與損失金額大小，採用風險迴避</w:t>
            </w:r>
            <w:r w:rsidRPr="004D451D">
              <w:rPr>
                <w:rFonts w:eastAsia="標楷體" w:hint="eastAsia"/>
              </w:rPr>
              <w:t>-</w:t>
            </w:r>
            <w:r w:rsidRPr="004D451D">
              <w:rPr>
                <w:rFonts w:eastAsia="標楷體" w:hint="eastAsia"/>
              </w:rPr>
              <w:t>違約機率高且損失金額大、風險抵減或移轉</w:t>
            </w:r>
            <w:r w:rsidRPr="004D451D">
              <w:rPr>
                <w:rFonts w:eastAsia="標楷體" w:hint="eastAsia"/>
              </w:rPr>
              <w:t>-</w:t>
            </w:r>
            <w:r w:rsidRPr="004D451D">
              <w:rPr>
                <w:rFonts w:eastAsia="標楷體" w:hint="eastAsia"/>
              </w:rPr>
              <w:t>違約機率低且損失金額大、風險控制</w:t>
            </w:r>
            <w:r w:rsidRPr="004D451D">
              <w:rPr>
                <w:rFonts w:eastAsia="標楷體" w:hint="eastAsia"/>
              </w:rPr>
              <w:t>-</w:t>
            </w:r>
            <w:r w:rsidRPr="004D451D">
              <w:rPr>
                <w:rFonts w:eastAsia="標楷體" w:hint="eastAsia"/>
              </w:rPr>
              <w:t>違約機率高且損失金額小、風險承擔</w:t>
            </w:r>
            <w:r w:rsidRPr="004D451D">
              <w:rPr>
                <w:rFonts w:eastAsia="標楷體" w:hint="eastAsia"/>
              </w:rPr>
              <w:t>-</w:t>
            </w:r>
            <w:r w:rsidRPr="004D451D">
              <w:rPr>
                <w:rFonts w:eastAsia="標楷體" w:hint="eastAsia"/>
              </w:rPr>
              <w:t>違約機率小且損失金額小等對策。對同一自然人、同一法人、同一關係人、同一關係企業、同一集團企業、同一行業別等訂定限額，以避免風險過度集中。增列授信限制條件、徵提擔保品、保證人或移送信保基金保證以強化本行債權確保。</w:t>
            </w:r>
          </w:p>
          <w:p w:rsidR="000D2F56" w:rsidRPr="004D451D" w:rsidRDefault="000D2F56" w:rsidP="009F53B0">
            <w:pPr>
              <w:numPr>
                <w:ilvl w:val="0"/>
                <w:numId w:val="132"/>
              </w:numPr>
              <w:spacing w:line="280" w:lineRule="exact"/>
              <w:rPr>
                <w:rFonts w:eastAsia="標楷體"/>
              </w:rPr>
            </w:pPr>
            <w:r w:rsidRPr="004D451D">
              <w:rPr>
                <w:rFonts w:eastAsia="標楷體" w:hint="eastAsia"/>
              </w:rPr>
              <w:t>對於擔保品覈實鑑價及進行定期或不定期實地查核擔保品，依授信戶現狀覈實辦理徵信及擔保品重估，對授信戶所供之保證程度及保證人之法律效力進行評估，以確保信用保障之效果，並依業務及風險承擔情況定期維護與發展信用風險管理系統，以確保持續有效運作。</w:t>
            </w:r>
          </w:p>
        </w:tc>
      </w:tr>
    </w:tbl>
    <w:p w:rsidR="00835262" w:rsidRPr="004D451D" w:rsidRDefault="00835262" w:rsidP="00835262">
      <w:pPr>
        <w:spacing w:line="360" w:lineRule="auto"/>
        <w:rPr>
          <w:rFonts w:eastAsia="標楷體"/>
          <w:szCs w:val="28"/>
        </w:rPr>
      </w:pPr>
    </w:p>
    <w:p w:rsidR="00835262" w:rsidRPr="004D451D" w:rsidRDefault="00835262" w:rsidP="00835262">
      <w:pPr>
        <w:rPr>
          <w:rFonts w:eastAsia="標楷體"/>
          <w:b/>
          <w:kern w:val="0"/>
        </w:rPr>
      </w:pPr>
      <w:r w:rsidRPr="004D451D">
        <w:rPr>
          <w:rFonts w:eastAsia="標楷體"/>
          <w:b/>
          <w:kern w:val="0"/>
        </w:rPr>
        <w:t>填表說明：</w:t>
      </w:r>
    </w:p>
    <w:p w:rsidR="00835262" w:rsidRPr="004D451D" w:rsidRDefault="00835262" w:rsidP="00EF4134">
      <w:pPr>
        <w:numPr>
          <w:ilvl w:val="0"/>
          <w:numId w:val="24"/>
        </w:numPr>
        <w:spacing w:line="240" w:lineRule="atLeast"/>
        <w:ind w:leftChars="150" w:left="720" w:hangingChars="150"/>
        <w:rPr>
          <w:rFonts w:eastAsia="標楷體"/>
        </w:rPr>
      </w:pPr>
      <w:r w:rsidRPr="004D451D">
        <w:rPr>
          <w:rFonts w:eastAsia="標楷體"/>
        </w:rPr>
        <w:t>本表更新頻率：年。</w:t>
      </w:r>
    </w:p>
    <w:p w:rsidR="00C12E75" w:rsidRPr="004D451D" w:rsidRDefault="00C12E75" w:rsidP="00EF4134">
      <w:pPr>
        <w:numPr>
          <w:ilvl w:val="0"/>
          <w:numId w:val="24"/>
        </w:numPr>
        <w:spacing w:line="240" w:lineRule="atLeast"/>
        <w:ind w:leftChars="150" w:left="720" w:hangingChars="150"/>
        <w:rPr>
          <w:rFonts w:eastAsia="標楷體"/>
        </w:rPr>
      </w:pPr>
      <w:r w:rsidRPr="004D451D">
        <w:rPr>
          <w:rFonts w:eastAsia="標楷體"/>
        </w:rPr>
        <w:t>本表採個體基礎填報。</w:t>
      </w:r>
    </w:p>
    <w:p w:rsidR="006D7C75" w:rsidRPr="004D451D" w:rsidRDefault="00C12E75" w:rsidP="006D7C75">
      <w:pPr>
        <w:widowControl/>
        <w:rPr>
          <w:rFonts w:eastAsia="標楷體"/>
          <w:sz w:val="32"/>
          <w:szCs w:val="32"/>
        </w:rPr>
      </w:pPr>
      <w:r w:rsidRPr="004D451D">
        <w:rPr>
          <w:rFonts w:ascii="Arial" w:eastAsia="標楷體" w:hAnsi="Arial" w:cs="Arial"/>
          <w:sz w:val="32"/>
          <w:szCs w:val="32"/>
        </w:rPr>
        <w:br w:type="page"/>
      </w:r>
      <w:r w:rsidR="00D243C4" w:rsidRPr="004D451D">
        <w:rPr>
          <w:rFonts w:eastAsia="標楷體"/>
          <w:b/>
          <w:sz w:val="32"/>
          <w:szCs w:val="32"/>
        </w:rPr>
        <w:t>【附表十</w:t>
      </w:r>
      <w:r w:rsidR="009620EA" w:rsidRPr="004D451D">
        <w:rPr>
          <w:rFonts w:eastAsia="標楷體" w:hint="eastAsia"/>
          <w:b/>
          <w:sz w:val="32"/>
          <w:szCs w:val="32"/>
        </w:rPr>
        <w:t>四</w:t>
      </w:r>
      <w:r w:rsidR="006D7C75" w:rsidRPr="004D451D">
        <w:rPr>
          <w:rFonts w:eastAsia="標楷體"/>
          <w:b/>
          <w:sz w:val="32"/>
          <w:szCs w:val="32"/>
        </w:rPr>
        <w:t>】</w:t>
      </w:r>
    </w:p>
    <w:p w:rsidR="006D7C75" w:rsidRPr="004D451D" w:rsidRDefault="006D7C75" w:rsidP="006D7C75">
      <w:pPr>
        <w:jc w:val="center"/>
        <w:rPr>
          <w:rFonts w:eastAsia="標楷體"/>
          <w:b/>
          <w:bCs/>
          <w:sz w:val="32"/>
          <w:szCs w:val="32"/>
        </w:rPr>
      </w:pPr>
      <w:r w:rsidRPr="004D451D">
        <w:rPr>
          <w:rFonts w:eastAsia="標楷體"/>
          <w:b/>
          <w:bCs/>
          <w:sz w:val="32"/>
          <w:szCs w:val="32"/>
        </w:rPr>
        <w:t>信用資產品質</w:t>
      </w:r>
    </w:p>
    <w:p w:rsidR="009A1E6E" w:rsidRPr="004D451D" w:rsidRDefault="009A1E6E" w:rsidP="009A1E6E">
      <w:pPr>
        <w:wordWrap w:val="0"/>
        <w:jc w:val="right"/>
        <w:rPr>
          <w:rFonts w:eastAsia="標楷體"/>
          <w:b/>
          <w:bCs/>
        </w:rPr>
      </w:pPr>
      <w:r w:rsidRPr="004D451D">
        <w:rPr>
          <w:rFonts w:eastAsia="標楷體"/>
          <w:b/>
          <w:bCs/>
          <w:sz w:val="32"/>
          <w:szCs w:val="32"/>
        </w:rPr>
        <w:t xml:space="preserve"> </w:t>
      </w:r>
      <w:r w:rsidRPr="004D451D">
        <w:rPr>
          <w:rFonts w:eastAsia="標楷體"/>
          <w:bCs/>
          <w:sz w:val="32"/>
          <w:szCs w:val="32"/>
        </w:rPr>
        <w:t xml:space="preserve">   </w:t>
      </w:r>
      <w:r w:rsidR="000D2F56" w:rsidRPr="004D451D">
        <w:rPr>
          <w:rFonts w:eastAsia="標楷體" w:hint="eastAsia"/>
          <w:bCs/>
          <w:sz w:val="32"/>
          <w:szCs w:val="32"/>
        </w:rPr>
        <w:t>10</w:t>
      </w:r>
      <w:r w:rsidR="00FD11B2" w:rsidRPr="004D451D">
        <w:rPr>
          <w:rFonts w:eastAsia="標楷體" w:hint="eastAsia"/>
          <w:bCs/>
          <w:sz w:val="32"/>
          <w:szCs w:val="32"/>
        </w:rPr>
        <w:t>7</w:t>
      </w:r>
      <w:r w:rsidRPr="004D451D">
        <w:rPr>
          <w:rFonts w:eastAsia="標楷體"/>
          <w:bCs/>
          <w:sz w:val="32"/>
          <w:szCs w:val="32"/>
        </w:rPr>
        <w:t>年</w:t>
      </w:r>
      <w:r w:rsidR="00FD11B2" w:rsidRPr="004D451D">
        <w:rPr>
          <w:rFonts w:eastAsia="標楷體" w:hint="eastAsia"/>
          <w:bCs/>
          <w:sz w:val="32"/>
          <w:szCs w:val="32"/>
        </w:rPr>
        <w:t>06</w:t>
      </w:r>
      <w:r w:rsidRPr="004D451D">
        <w:rPr>
          <w:rFonts w:eastAsia="標楷體"/>
          <w:bCs/>
          <w:sz w:val="32"/>
          <w:szCs w:val="32"/>
        </w:rPr>
        <w:t>月</w:t>
      </w:r>
      <w:r w:rsidR="000D2F56" w:rsidRPr="004D451D">
        <w:rPr>
          <w:rFonts w:eastAsia="標楷體" w:hint="eastAsia"/>
          <w:bCs/>
          <w:sz w:val="32"/>
          <w:szCs w:val="32"/>
        </w:rPr>
        <w:t>3</w:t>
      </w:r>
      <w:r w:rsidR="00FD11B2" w:rsidRPr="004D451D">
        <w:rPr>
          <w:rFonts w:eastAsia="標楷體" w:hint="eastAsia"/>
          <w:bCs/>
          <w:sz w:val="32"/>
          <w:szCs w:val="32"/>
        </w:rPr>
        <w:t>0</w:t>
      </w:r>
      <w:r w:rsidRPr="004D451D">
        <w:rPr>
          <w:rFonts w:eastAsia="標楷體"/>
          <w:bCs/>
          <w:sz w:val="32"/>
          <w:szCs w:val="32"/>
        </w:rPr>
        <w:t>日</w:t>
      </w:r>
      <w:r w:rsidRPr="004D451D">
        <w:rPr>
          <w:rFonts w:eastAsia="標楷體" w:hint="eastAsia"/>
          <w:bCs/>
          <w:sz w:val="32"/>
          <w:szCs w:val="32"/>
        </w:rPr>
        <w:t xml:space="preserve">　　　　　</w:t>
      </w:r>
      <w:r w:rsidR="00531C88" w:rsidRPr="004D451D">
        <w:rPr>
          <w:rFonts w:eastAsia="標楷體" w:hint="eastAsia"/>
          <w:bCs/>
          <w:szCs w:val="32"/>
        </w:rPr>
        <w:t>（</w:t>
      </w:r>
      <w:r w:rsidRPr="004D451D">
        <w:rPr>
          <w:rFonts w:eastAsia="標楷體"/>
          <w:bCs/>
        </w:rPr>
        <w:t>單位</w:t>
      </w:r>
      <w:r w:rsidRPr="004D451D">
        <w:rPr>
          <w:rFonts w:eastAsia="標楷體" w:hint="eastAsia"/>
          <w:bCs/>
        </w:rPr>
        <w:t>：</w:t>
      </w:r>
      <w:r w:rsidRPr="004D451D">
        <w:rPr>
          <w:rFonts w:eastAsia="標楷體"/>
          <w:bCs/>
        </w:rPr>
        <w:t>新臺幣千元</w:t>
      </w:r>
      <w:r w:rsidR="00531C88" w:rsidRPr="004D451D">
        <w:rPr>
          <w:rFonts w:eastAsia="標楷體" w:hint="eastAsia"/>
          <w:bC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896"/>
        <w:gridCol w:w="2041"/>
        <w:gridCol w:w="2042"/>
        <w:gridCol w:w="1590"/>
        <w:gridCol w:w="1592"/>
      </w:tblGrid>
      <w:tr w:rsidR="004D451D" w:rsidRPr="004D451D" w:rsidTr="00FD11B2">
        <w:trPr>
          <w:trHeight w:val="538"/>
        </w:trPr>
        <w:tc>
          <w:tcPr>
            <w:tcW w:w="2590" w:type="dxa"/>
            <w:gridSpan w:val="2"/>
            <w:vMerge w:val="restart"/>
            <w:tcBorders>
              <w:left w:val="single" w:sz="4" w:space="0" w:color="auto"/>
              <w:right w:val="single" w:sz="4" w:space="0" w:color="auto"/>
            </w:tcBorders>
            <w:shd w:val="clear" w:color="auto" w:fill="auto"/>
            <w:vAlign w:val="center"/>
          </w:tcPr>
          <w:p w:rsidR="003D2F58" w:rsidRPr="004D451D" w:rsidRDefault="005C5704" w:rsidP="005C5704">
            <w:pPr>
              <w:jc w:val="center"/>
              <w:rPr>
                <w:rFonts w:eastAsia="標楷體"/>
                <w:bCs/>
              </w:rPr>
            </w:pPr>
            <w:r w:rsidRPr="004D451D">
              <w:rPr>
                <w:rFonts w:eastAsia="標楷體" w:hint="eastAsia"/>
                <w:bCs/>
              </w:rPr>
              <w:t>項目</w:t>
            </w:r>
          </w:p>
        </w:tc>
        <w:tc>
          <w:tcPr>
            <w:tcW w:w="4083" w:type="dxa"/>
            <w:gridSpan w:val="2"/>
            <w:tcBorders>
              <w:left w:val="single" w:sz="4" w:space="0" w:color="auto"/>
            </w:tcBorders>
            <w:shd w:val="clear" w:color="auto" w:fill="auto"/>
            <w:vAlign w:val="center"/>
          </w:tcPr>
          <w:p w:rsidR="003D2F58" w:rsidRPr="004D451D" w:rsidRDefault="003D2F58" w:rsidP="00D50631">
            <w:pPr>
              <w:jc w:val="center"/>
              <w:rPr>
                <w:rFonts w:eastAsia="標楷體"/>
                <w:bCs/>
              </w:rPr>
            </w:pPr>
            <w:r w:rsidRPr="004D451D">
              <w:rPr>
                <w:rFonts w:eastAsia="標楷體"/>
                <w:bCs/>
              </w:rPr>
              <w:t>帳面價值總額</w:t>
            </w:r>
          </w:p>
        </w:tc>
        <w:tc>
          <w:tcPr>
            <w:tcW w:w="1590" w:type="dxa"/>
            <w:vMerge w:val="restart"/>
            <w:shd w:val="clear" w:color="auto" w:fill="auto"/>
            <w:vAlign w:val="center"/>
          </w:tcPr>
          <w:p w:rsidR="003D2F58" w:rsidRPr="004D451D" w:rsidRDefault="003D2F58" w:rsidP="00D50631">
            <w:pPr>
              <w:jc w:val="center"/>
              <w:rPr>
                <w:rFonts w:eastAsia="標楷體"/>
                <w:bCs/>
              </w:rPr>
            </w:pPr>
            <w:r w:rsidRPr="004D451D">
              <w:rPr>
                <w:rFonts w:eastAsia="標楷體"/>
                <w:bCs/>
              </w:rPr>
              <w:t>損失準備</w:t>
            </w:r>
            <w:r w:rsidRPr="004D451D">
              <w:rPr>
                <w:rFonts w:eastAsia="標楷體"/>
                <w:bCs/>
              </w:rPr>
              <w:t>/</w:t>
            </w:r>
            <w:r w:rsidRPr="004D451D">
              <w:rPr>
                <w:rFonts w:eastAsia="標楷體"/>
                <w:bCs/>
              </w:rPr>
              <w:t>減損</w:t>
            </w:r>
            <w:r w:rsidR="005C5704" w:rsidRPr="004D451D">
              <w:rPr>
                <w:rFonts w:eastAsia="標楷體" w:hint="eastAsia"/>
                <w:bCs/>
              </w:rPr>
              <w:t>C</w:t>
            </w:r>
          </w:p>
        </w:tc>
        <w:tc>
          <w:tcPr>
            <w:tcW w:w="1592" w:type="dxa"/>
            <w:vMerge w:val="restart"/>
            <w:shd w:val="clear" w:color="auto" w:fill="auto"/>
            <w:vAlign w:val="center"/>
          </w:tcPr>
          <w:p w:rsidR="003D2F58" w:rsidRPr="004D451D" w:rsidRDefault="003D2F58" w:rsidP="00272AF0">
            <w:pPr>
              <w:jc w:val="center"/>
              <w:rPr>
                <w:rFonts w:eastAsia="標楷體"/>
                <w:bCs/>
              </w:rPr>
            </w:pPr>
            <w:r w:rsidRPr="004D451D">
              <w:rPr>
                <w:rFonts w:eastAsia="標楷體"/>
                <w:bCs/>
              </w:rPr>
              <w:t>淨額</w:t>
            </w:r>
            <w:r w:rsidR="005C5704" w:rsidRPr="004D451D">
              <w:rPr>
                <w:rFonts w:eastAsia="標楷體" w:hint="eastAsia"/>
                <w:bCs/>
              </w:rPr>
              <w:t>D</w:t>
            </w:r>
          </w:p>
        </w:tc>
      </w:tr>
      <w:tr w:rsidR="004D451D" w:rsidRPr="004D451D" w:rsidTr="00FD11B2">
        <w:trPr>
          <w:trHeight w:val="630"/>
        </w:trPr>
        <w:tc>
          <w:tcPr>
            <w:tcW w:w="2590" w:type="dxa"/>
            <w:gridSpan w:val="2"/>
            <w:vMerge/>
            <w:tcBorders>
              <w:left w:val="single" w:sz="4" w:space="0" w:color="auto"/>
              <w:right w:val="single" w:sz="4" w:space="0" w:color="auto"/>
            </w:tcBorders>
            <w:shd w:val="clear" w:color="auto" w:fill="auto"/>
            <w:vAlign w:val="center"/>
          </w:tcPr>
          <w:p w:rsidR="003D2F58" w:rsidRPr="004D451D" w:rsidRDefault="003D2F58" w:rsidP="00B97B79">
            <w:pPr>
              <w:rPr>
                <w:rFonts w:eastAsia="標楷體"/>
                <w:bCs/>
              </w:rPr>
            </w:pPr>
          </w:p>
        </w:tc>
        <w:tc>
          <w:tcPr>
            <w:tcW w:w="2041" w:type="dxa"/>
            <w:tcBorders>
              <w:left w:val="single" w:sz="4" w:space="0" w:color="auto"/>
            </w:tcBorders>
            <w:shd w:val="clear" w:color="auto" w:fill="auto"/>
            <w:vAlign w:val="center"/>
          </w:tcPr>
          <w:p w:rsidR="003D2F58" w:rsidRPr="004D451D" w:rsidRDefault="003D2F58" w:rsidP="00D50631">
            <w:pPr>
              <w:jc w:val="center"/>
              <w:rPr>
                <w:rFonts w:eastAsia="標楷體"/>
                <w:bCs/>
              </w:rPr>
            </w:pPr>
            <w:r w:rsidRPr="004D451D">
              <w:rPr>
                <w:rFonts w:eastAsia="標楷體"/>
                <w:bCs/>
              </w:rPr>
              <w:t>違約暴險額</w:t>
            </w:r>
            <w:r w:rsidR="005C5704" w:rsidRPr="004D451D">
              <w:rPr>
                <w:rFonts w:eastAsia="標楷體" w:hint="eastAsia"/>
                <w:bCs/>
              </w:rPr>
              <w:t>A</w:t>
            </w:r>
          </w:p>
        </w:tc>
        <w:tc>
          <w:tcPr>
            <w:tcW w:w="2042" w:type="dxa"/>
            <w:shd w:val="clear" w:color="auto" w:fill="auto"/>
            <w:vAlign w:val="center"/>
          </w:tcPr>
          <w:p w:rsidR="003D2F58" w:rsidRPr="004D451D" w:rsidRDefault="003D2F58" w:rsidP="00D50631">
            <w:pPr>
              <w:jc w:val="center"/>
              <w:rPr>
                <w:rFonts w:eastAsia="標楷體"/>
                <w:bCs/>
              </w:rPr>
            </w:pPr>
            <w:r w:rsidRPr="004D451D">
              <w:rPr>
                <w:rFonts w:eastAsia="標楷體"/>
                <w:bCs/>
              </w:rPr>
              <w:t>未違約暴險額</w:t>
            </w:r>
            <w:r w:rsidR="005C5704" w:rsidRPr="004D451D">
              <w:rPr>
                <w:rFonts w:eastAsia="標楷體" w:hint="eastAsia"/>
                <w:bCs/>
              </w:rPr>
              <w:t>B</w:t>
            </w:r>
          </w:p>
        </w:tc>
        <w:tc>
          <w:tcPr>
            <w:tcW w:w="1590" w:type="dxa"/>
            <w:vMerge/>
            <w:shd w:val="clear" w:color="auto" w:fill="auto"/>
            <w:vAlign w:val="center"/>
          </w:tcPr>
          <w:p w:rsidR="003D2F58" w:rsidRPr="004D451D" w:rsidRDefault="003D2F58" w:rsidP="00D50631">
            <w:pPr>
              <w:jc w:val="center"/>
              <w:rPr>
                <w:rFonts w:eastAsia="標楷體"/>
                <w:bCs/>
              </w:rPr>
            </w:pPr>
          </w:p>
        </w:tc>
        <w:tc>
          <w:tcPr>
            <w:tcW w:w="1592" w:type="dxa"/>
            <w:vMerge/>
            <w:shd w:val="clear" w:color="auto" w:fill="auto"/>
            <w:vAlign w:val="center"/>
          </w:tcPr>
          <w:p w:rsidR="003D2F58" w:rsidRPr="004D451D" w:rsidRDefault="003D2F58" w:rsidP="00D50631">
            <w:pPr>
              <w:jc w:val="center"/>
              <w:rPr>
                <w:rFonts w:eastAsia="標楷體"/>
                <w:bCs/>
              </w:rPr>
            </w:pPr>
          </w:p>
        </w:tc>
      </w:tr>
      <w:tr w:rsidR="004D451D" w:rsidRPr="004D451D" w:rsidTr="00FD11B2">
        <w:trPr>
          <w:trHeight w:val="734"/>
        </w:trPr>
        <w:tc>
          <w:tcPr>
            <w:tcW w:w="694" w:type="dxa"/>
            <w:shd w:val="clear" w:color="auto" w:fill="auto"/>
            <w:vAlign w:val="center"/>
          </w:tcPr>
          <w:p w:rsidR="00FD11B2" w:rsidRPr="004D451D" w:rsidRDefault="00FD11B2" w:rsidP="00D50631">
            <w:pPr>
              <w:jc w:val="center"/>
              <w:rPr>
                <w:rFonts w:eastAsia="標楷體"/>
                <w:bCs/>
              </w:rPr>
            </w:pPr>
            <w:r w:rsidRPr="004D451D">
              <w:rPr>
                <w:rFonts w:eastAsia="標楷體"/>
                <w:bCs/>
              </w:rPr>
              <w:t>1</w:t>
            </w:r>
          </w:p>
        </w:tc>
        <w:tc>
          <w:tcPr>
            <w:tcW w:w="1896" w:type="dxa"/>
            <w:shd w:val="clear" w:color="auto" w:fill="auto"/>
            <w:vAlign w:val="center"/>
          </w:tcPr>
          <w:p w:rsidR="00FD11B2" w:rsidRPr="004D451D" w:rsidRDefault="00FD11B2" w:rsidP="00B41CFA">
            <w:pPr>
              <w:jc w:val="both"/>
              <w:rPr>
                <w:rFonts w:eastAsia="標楷體"/>
                <w:bCs/>
              </w:rPr>
            </w:pPr>
            <w:r w:rsidRPr="004D451D">
              <w:rPr>
                <w:rFonts w:eastAsia="標楷體"/>
                <w:bCs/>
              </w:rPr>
              <w:t>放款</w:t>
            </w:r>
          </w:p>
        </w:tc>
        <w:tc>
          <w:tcPr>
            <w:tcW w:w="2041" w:type="dxa"/>
            <w:shd w:val="clear" w:color="auto" w:fill="auto"/>
            <w:vAlign w:val="center"/>
          </w:tcPr>
          <w:p w:rsidR="00FD11B2" w:rsidRPr="004D451D" w:rsidRDefault="00FD11B2">
            <w:pPr>
              <w:jc w:val="right"/>
              <w:rPr>
                <w:rFonts w:ascii="Arial" w:hAnsi="Arial" w:cs="Arial"/>
              </w:rPr>
            </w:pPr>
            <w:r w:rsidRPr="004D451D">
              <w:rPr>
                <w:rFonts w:ascii="Arial" w:hAnsi="Arial" w:cs="Arial"/>
              </w:rPr>
              <w:t>31,841</w:t>
            </w:r>
          </w:p>
        </w:tc>
        <w:tc>
          <w:tcPr>
            <w:tcW w:w="2042" w:type="dxa"/>
            <w:shd w:val="clear" w:color="auto" w:fill="auto"/>
            <w:vAlign w:val="center"/>
          </w:tcPr>
          <w:p w:rsidR="00FD11B2" w:rsidRPr="004D451D" w:rsidRDefault="00FD11B2">
            <w:pPr>
              <w:jc w:val="right"/>
              <w:rPr>
                <w:rFonts w:ascii="Arial" w:hAnsi="Arial" w:cs="Arial"/>
              </w:rPr>
            </w:pPr>
            <w:r w:rsidRPr="004D451D">
              <w:rPr>
                <w:rFonts w:ascii="Arial" w:hAnsi="Arial" w:cs="Arial"/>
              </w:rPr>
              <w:t>157,445,315</w:t>
            </w:r>
          </w:p>
        </w:tc>
        <w:tc>
          <w:tcPr>
            <w:tcW w:w="1590" w:type="dxa"/>
            <w:shd w:val="clear" w:color="auto" w:fill="auto"/>
            <w:vAlign w:val="center"/>
          </w:tcPr>
          <w:p w:rsidR="00FD11B2" w:rsidRPr="004D451D" w:rsidRDefault="00FD11B2">
            <w:pPr>
              <w:jc w:val="right"/>
              <w:rPr>
                <w:rFonts w:ascii="Arial" w:hAnsi="Arial" w:cs="Arial"/>
              </w:rPr>
            </w:pPr>
            <w:r w:rsidRPr="004D451D">
              <w:rPr>
                <w:rFonts w:ascii="Arial" w:hAnsi="Arial" w:cs="Arial"/>
              </w:rPr>
              <w:t>2,149,254</w:t>
            </w:r>
          </w:p>
        </w:tc>
        <w:tc>
          <w:tcPr>
            <w:tcW w:w="1592" w:type="dxa"/>
            <w:shd w:val="clear" w:color="auto" w:fill="auto"/>
            <w:vAlign w:val="center"/>
          </w:tcPr>
          <w:p w:rsidR="00FD11B2" w:rsidRPr="004D451D" w:rsidRDefault="00FD11B2">
            <w:pPr>
              <w:jc w:val="right"/>
              <w:rPr>
                <w:rFonts w:ascii="Arial" w:hAnsi="Arial" w:cs="Arial"/>
              </w:rPr>
            </w:pPr>
            <w:r w:rsidRPr="004D451D">
              <w:rPr>
                <w:rFonts w:ascii="Arial" w:hAnsi="Arial" w:cs="Arial"/>
              </w:rPr>
              <w:t>155,327,902</w:t>
            </w:r>
          </w:p>
        </w:tc>
      </w:tr>
      <w:tr w:rsidR="004D451D" w:rsidRPr="004D451D" w:rsidTr="00FD11B2">
        <w:trPr>
          <w:trHeight w:val="350"/>
        </w:trPr>
        <w:tc>
          <w:tcPr>
            <w:tcW w:w="694" w:type="dxa"/>
            <w:shd w:val="clear" w:color="auto" w:fill="auto"/>
            <w:vAlign w:val="center"/>
          </w:tcPr>
          <w:p w:rsidR="00FD11B2" w:rsidRPr="004D451D" w:rsidRDefault="00FD11B2" w:rsidP="00D50631">
            <w:pPr>
              <w:jc w:val="center"/>
              <w:rPr>
                <w:rFonts w:eastAsia="標楷體"/>
                <w:bCs/>
              </w:rPr>
            </w:pPr>
            <w:r w:rsidRPr="004D451D">
              <w:rPr>
                <w:rFonts w:eastAsia="標楷體"/>
                <w:bCs/>
              </w:rPr>
              <w:t>2</w:t>
            </w:r>
          </w:p>
        </w:tc>
        <w:tc>
          <w:tcPr>
            <w:tcW w:w="1896" w:type="dxa"/>
            <w:shd w:val="clear" w:color="auto" w:fill="auto"/>
            <w:vAlign w:val="center"/>
          </w:tcPr>
          <w:p w:rsidR="00FD11B2" w:rsidRPr="004D451D" w:rsidRDefault="00FD11B2" w:rsidP="00B41CFA">
            <w:pPr>
              <w:jc w:val="both"/>
              <w:rPr>
                <w:rFonts w:eastAsia="標楷體"/>
                <w:bCs/>
              </w:rPr>
            </w:pPr>
            <w:r w:rsidRPr="004D451D">
              <w:rPr>
                <w:rFonts w:eastAsia="標楷體"/>
                <w:bCs/>
              </w:rPr>
              <w:t>債權證券</w:t>
            </w:r>
          </w:p>
        </w:tc>
        <w:tc>
          <w:tcPr>
            <w:tcW w:w="2041" w:type="dxa"/>
            <w:shd w:val="clear" w:color="auto" w:fill="auto"/>
            <w:vAlign w:val="center"/>
          </w:tcPr>
          <w:p w:rsidR="00FD11B2" w:rsidRPr="004D451D" w:rsidRDefault="00FD11B2">
            <w:pPr>
              <w:jc w:val="right"/>
              <w:rPr>
                <w:rFonts w:ascii="Arial" w:hAnsi="Arial" w:cs="Arial"/>
              </w:rPr>
            </w:pPr>
            <w:r w:rsidRPr="004D451D">
              <w:rPr>
                <w:rFonts w:ascii="Arial" w:hAnsi="Arial" w:cs="Arial"/>
              </w:rPr>
              <w:t>0</w:t>
            </w:r>
          </w:p>
        </w:tc>
        <w:tc>
          <w:tcPr>
            <w:tcW w:w="2042" w:type="dxa"/>
            <w:shd w:val="clear" w:color="auto" w:fill="auto"/>
            <w:vAlign w:val="center"/>
          </w:tcPr>
          <w:p w:rsidR="00FD11B2" w:rsidRPr="004D451D" w:rsidRDefault="00FD11B2">
            <w:pPr>
              <w:jc w:val="right"/>
              <w:rPr>
                <w:rFonts w:ascii="Arial" w:hAnsi="Arial" w:cs="Arial"/>
              </w:rPr>
            </w:pPr>
            <w:r w:rsidRPr="004D451D">
              <w:rPr>
                <w:rFonts w:ascii="Arial" w:hAnsi="Arial" w:cs="Arial"/>
              </w:rPr>
              <w:t>56,600,788</w:t>
            </w:r>
          </w:p>
        </w:tc>
        <w:tc>
          <w:tcPr>
            <w:tcW w:w="1590" w:type="dxa"/>
            <w:shd w:val="clear" w:color="auto" w:fill="auto"/>
            <w:vAlign w:val="center"/>
          </w:tcPr>
          <w:p w:rsidR="00FD11B2" w:rsidRPr="004D451D" w:rsidRDefault="00FD11B2">
            <w:pPr>
              <w:jc w:val="right"/>
              <w:rPr>
                <w:rFonts w:ascii="Arial" w:hAnsi="Arial" w:cs="Arial"/>
              </w:rPr>
            </w:pPr>
            <w:r w:rsidRPr="004D451D">
              <w:rPr>
                <w:rFonts w:ascii="Arial" w:hAnsi="Arial" w:cs="Arial"/>
              </w:rPr>
              <w:t xml:space="preserve">　</w:t>
            </w:r>
          </w:p>
        </w:tc>
        <w:tc>
          <w:tcPr>
            <w:tcW w:w="1592" w:type="dxa"/>
            <w:shd w:val="clear" w:color="auto" w:fill="auto"/>
            <w:vAlign w:val="center"/>
          </w:tcPr>
          <w:p w:rsidR="00FD11B2" w:rsidRPr="004D451D" w:rsidRDefault="00FD11B2">
            <w:pPr>
              <w:jc w:val="right"/>
              <w:rPr>
                <w:rFonts w:ascii="Arial" w:hAnsi="Arial" w:cs="Arial"/>
              </w:rPr>
            </w:pPr>
            <w:r w:rsidRPr="004D451D">
              <w:rPr>
                <w:rFonts w:ascii="Arial" w:hAnsi="Arial" w:cs="Arial"/>
              </w:rPr>
              <w:t>56,600,788</w:t>
            </w:r>
          </w:p>
        </w:tc>
      </w:tr>
      <w:tr w:rsidR="004D451D" w:rsidRPr="004D451D" w:rsidTr="00FD11B2">
        <w:trPr>
          <w:trHeight w:val="367"/>
        </w:trPr>
        <w:tc>
          <w:tcPr>
            <w:tcW w:w="694" w:type="dxa"/>
            <w:shd w:val="clear" w:color="auto" w:fill="auto"/>
            <w:vAlign w:val="center"/>
          </w:tcPr>
          <w:p w:rsidR="00FD11B2" w:rsidRPr="004D451D" w:rsidRDefault="00FD11B2" w:rsidP="00D50631">
            <w:pPr>
              <w:jc w:val="center"/>
              <w:rPr>
                <w:rFonts w:eastAsia="標楷體"/>
                <w:bCs/>
              </w:rPr>
            </w:pPr>
            <w:r w:rsidRPr="004D451D">
              <w:rPr>
                <w:rFonts w:eastAsia="標楷體"/>
                <w:bCs/>
              </w:rPr>
              <w:t>3</w:t>
            </w:r>
          </w:p>
        </w:tc>
        <w:tc>
          <w:tcPr>
            <w:tcW w:w="1896" w:type="dxa"/>
            <w:shd w:val="clear" w:color="auto" w:fill="auto"/>
            <w:vAlign w:val="center"/>
          </w:tcPr>
          <w:p w:rsidR="00FD11B2" w:rsidRPr="004D451D" w:rsidRDefault="00FD11B2" w:rsidP="00B41CFA">
            <w:pPr>
              <w:jc w:val="both"/>
              <w:rPr>
                <w:rFonts w:eastAsia="標楷體"/>
                <w:bCs/>
              </w:rPr>
            </w:pPr>
            <w:r w:rsidRPr="004D451D">
              <w:rPr>
                <w:rFonts w:eastAsia="標楷體"/>
                <w:bCs/>
              </w:rPr>
              <w:t>表外暴險</w:t>
            </w:r>
          </w:p>
        </w:tc>
        <w:tc>
          <w:tcPr>
            <w:tcW w:w="2041" w:type="dxa"/>
            <w:shd w:val="clear" w:color="auto" w:fill="auto"/>
            <w:vAlign w:val="center"/>
          </w:tcPr>
          <w:p w:rsidR="00FD11B2" w:rsidRPr="004D451D" w:rsidRDefault="00FD11B2">
            <w:pPr>
              <w:jc w:val="right"/>
              <w:rPr>
                <w:rFonts w:ascii="Arial" w:hAnsi="Arial" w:cs="Arial"/>
              </w:rPr>
            </w:pPr>
            <w:r w:rsidRPr="004D451D">
              <w:rPr>
                <w:rFonts w:ascii="Arial" w:hAnsi="Arial" w:cs="Arial"/>
              </w:rPr>
              <w:t>69,390</w:t>
            </w:r>
          </w:p>
        </w:tc>
        <w:tc>
          <w:tcPr>
            <w:tcW w:w="2042" w:type="dxa"/>
            <w:shd w:val="clear" w:color="auto" w:fill="auto"/>
            <w:vAlign w:val="center"/>
          </w:tcPr>
          <w:p w:rsidR="00FD11B2" w:rsidRPr="004D451D" w:rsidRDefault="00FD11B2">
            <w:pPr>
              <w:jc w:val="right"/>
              <w:rPr>
                <w:rFonts w:ascii="Arial" w:hAnsi="Arial" w:cs="Arial"/>
              </w:rPr>
            </w:pPr>
            <w:r w:rsidRPr="004D451D">
              <w:rPr>
                <w:rFonts w:ascii="Arial" w:hAnsi="Arial" w:cs="Arial"/>
              </w:rPr>
              <w:t>4,609,045</w:t>
            </w:r>
          </w:p>
        </w:tc>
        <w:tc>
          <w:tcPr>
            <w:tcW w:w="1590" w:type="dxa"/>
            <w:shd w:val="clear" w:color="auto" w:fill="auto"/>
            <w:vAlign w:val="center"/>
          </w:tcPr>
          <w:p w:rsidR="00FD11B2" w:rsidRPr="004D451D" w:rsidRDefault="00FD11B2">
            <w:pPr>
              <w:jc w:val="right"/>
              <w:rPr>
                <w:rFonts w:ascii="Arial" w:hAnsi="Arial" w:cs="Arial"/>
              </w:rPr>
            </w:pPr>
            <w:r w:rsidRPr="004D451D">
              <w:rPr>
                <w:rFonts w:ascii="Arial" w:hAnsi="Arial" w:cs="Arial"/>
              </w:rPr>
              <w:t>42,818</w:t>
            </w:r>
          </w:p>
        </w:tc>
        <w:tc>
          <w:tcPr>
            <w:tcW w:w="1592" w:type="dxa"/>
            <w:shd w:val="clear" w:color="auto" w:fill="auto"/>
            <w:vAlign w:val="center"/>
          </w:tcPr>
          <w:p w:rsidR="00FD11B2" w:rsidRPr="004D451D" w:rsidRDefault="00FD11B2">
            <w:pPr>
              <w:jc w:val="right"/>
              <w:rPr>
                <w:rFonts w:ascii="Arial" w:hAnsi="Arial" w:cs="Arial"/>
              </w:rPr>
            </w:pPr>
            <w:r w:rsidRPr="004D451D">
              <w:rPr>
                <w:rFonts w:ascii="Arial" w:hAnsi="Arial" w:cs="Arial"/>
              </w:rPr>
              <w:t>4,635,617</w:t>
            </w:r>
          </w:p>
        </w:tc>
      </w:tr>
      <w:tr w:rsidR="004D451D" w:rsidRPr="004D451D" w:rsidTr="00FD11B2">
        <w:trPr>
          <w:trHeight w:val="717"/>
        </w:trPr>
        <w:tc>
          <w:tcPr>
            <w:tcW w:w="694" w:type="dxa"/>
            <w:shd w:val="clear" w:color="auto" w:fill="auto"/>
            <w:vAlign w:val="center"/>
          </w:tcPr>
          <w:p w:rsidR="00FD11B2" w:rsidRPr="004D451D" w:rsidRDefault="00FD11B2" w:rsidP="00D50631">
            <w:pPr>
              <w:jc w:val="center"/>
              <w:rPr>
                <w:rFonts w:eastAsia="標楷體"/>
                <w:bCs/>
              </w:rPr>
            </w:pPr>
            <w:r w:rsidRPr="004D451D">
              <w:rPr>
                <w:rFonts w:eastAsia="標楷體"/>
                <w:bCs/>
              </w:rPr>
              <w:t>4</w:t>
            </w:r>
          </w:p>
        </w:tc>
        <w:tc>
          <w:tcPr>
            <w:tcW w:w="1896" w:type="dxa"/>
            <w:shd w:val="clear" w:color="auto" w:fill="auto"/>
            <w:vAlign w:val="center"/>
          </w:tcPr>
          <w:p w:rsidR="00FD11B2" w:rsidRPr="004D451D" w:rsidRDefault="00FD11B2" w:rsidP="00B41CFA">
            <w:pPr>
              <w:jc w:val="both"/>
              <w:rPr>
                <w:rFonts w:eastAsia="標楷體"/>
                <w:bCs/>
              </w:rPr>
            </w:pPr>
            <w:r w:rsidRPr="004D451D">
              <w:rPr>
                <w:rFonts w:eastAsia="標楷體"/>
                <w:bCs/>
              </w:rPr>
              <w:t>總計</w:t>
            </w:r>
          </w:p>
        </w:tc>
        <w:tc>
          <w:tcPr>
            <w:tcW w:w="2041" w:type="dxa"/>
            <w:shd w:val="clear" w:color="auto" w:fill="auto"/>
            <w:vAlign w:val="center"/>
          </w:tcPr>
          <w:p w:rsidR="00FD11B2" w:rsidRPr="004D451D" w:rsidRDefault="00FD11B2">
            <w:pPr>
              <w:jc w:val="right"/>
              <w:rPr>
                <w:rFonts w:ascii="Arial" w:hAnsi="Arial" w:cs="Arial"/>
              </w:rPr>
            </w:pPr>
            <w:r w:rsidRPr="004D451D">
              <w:rPr>
                <w:rFonts w:ascii="Arial" w:hAnsi="Arial" w:cs="Arial"/>
              </w:rPr>
              <w:t>101,231</w:t>
            </w:r>
          </w:p>
        </w:tc>
        <w:tc>
          <w:tcPr>
            <w:tcW w:w="2042" w:type="dxa"/>
            <w:shd w:val="clear" w:color="auto" w:fill="auto"/>
            <w:vAlign w:val="center"/>
          </w:tcPr>
          <w:p w:rsidR="00FD11B2" w:rsidRPr="004D451D" w:rsidRDefault="00FD11B2">
            <w:pPr>
              <w:jc w:val="right"/>
              <w:rPr>
                <w:rFonts w:ascii="Arial" w:hAnsi="Arial" w:cs="Arial"/>
              </w:rPr>
            </w:pPr>
            <w:r w:rsidRPr="004D451D">
              <w:rPr>
                <w:rFonts w:ascii="Arial" w:hAnsi="Arial" w:cs="Arial"/>
              </w:rPr>
              <w:t>218,655,148</w:t>
            </w:r>
          </w:p>
        </w:tc>
        <w:tc>
          <w:tcPr>
            <w:tcW w:w="1590" w:type="dxa"/>
            <w:shd w:val="clear" w:color="auto" w:fill="auto"/>
            <w:vAlign w:val="center"/>
          </w:tcPr>
          <w:p w:rsidR="00FD11B2" w:rsidRPr="004D451D" w:rsidRDefault="00FD11B2">
            <w:pPr>
              <w:jc w:val="right"/>
              <w:rPr>
                <w:rFonts w:ascii="Arial" w:hAnsi="Arial" w:cs="Arial"/>
              </w:rPr>
            </w:pPr>
            <w:r w:rsidRPr="004D451D">
              <w:rPr>
                <w:rFonts w:ascii="Arial" w:hAnsi="Arial" w:cs="Arial"/>
              </w:rPr>
              <w:t>2,192,072</w:t>
            </w:r>
          </w:p>
        </w:tc>
        <w:tc>
          <w:tcPr>
            <w:tcW w:w="1592" w:type="dxa"/>
            <w:shd w:val="clear" w:color="auto" w:fill="auto"/>
            <w:vAlign w:val="center"/>
          </w:tcPr>
          <w:p w:rsidR="00FD11B2" w:rsidRPr="004D451D" w:rsidRDefault="00FD11B2">
            <w:pPr>
              <w:jc w:val="right"/>
              <w:rPr>
                <w:rFonts w:ascii="Arial" w:hAnsi="Arial" w:cs="Arial"/>
              </w:rPr>
            </w:pPr>
            <w:r w:rsidRPr="004D451D">
              <w:rPr>
                <w:rFonts w:ascii="Arial" w:hAnsi="Arial" w:cs="Arial"/>
              </w:rPr>
              <w:t>216,564,307</w:t>
            </w:r>
          </w:p>
        </w:tc>
      </w:tr>
      <w:tr w:rsidR="007479F6" w:rsidRPr="004D451D" w:rsidTr="002478B4">
        <w:trPr>
          <w:trHeight w:val="577"/>
        </w:trPr>
        <w:tc>
          <w:tcPr>
            <w:tcW w:w="9855" w:type="dxa"/>
            <w:gridSpan w:val="6"/>
            <w:shd w:val="clear" w:color="auto" w:fill="auto"/>
          </w:tcPr>
          <w:p w:rsidR="007479F6" w:rsidRPr="004D451D" w:rsidRDefault="007479F6" w:rsidP="00D50631">
            <w:pPr>
              <w:ind w:right="240"/>
              <w:rPr>
                <w:rFonts w:eastAsia="標楷體"/>
                <w:bCs/>
              </w:rPr>
            </w:pPr>
            <w:r w:rsidRPr="004D451D">
              <w:rPr>
                <w:rFonts w:eastAsia="標楷體"/>
                <w:bCs/>
              </w:rPr>
              <w:t>違約定義：</w:t>
            </w:r>
            <w:r w:rsidR="000D2F56" w:rsidRPr="004D451D">
              <w:rPr>
                <w:rFonts w:eastAsia="標楷體" w:hint="eastAsia"/>
                <w:bCs/>
              </w:rPr>
              <w:t>依銀行自有資本與風險性資產之計算方法說明及表格，信用風險標準法規定，針對逾期超過</w:t>
            </w:r>
            <w:r w:rsidR="000D2F56" w:rsidRPr="004D451D">
              <w:rPr>
                <w:rFonts w:eastAsia="標楷體" w:hint="eastAsia"/>
                <w:bCs/>
              </w:rPr>
              <w:t>90</w:t>
            </w:r>
            <w:r w:rsidR="000D2F56" w:rsidRPr="004D451D">
              <w:rPr>
                <w:rFonts w:eastAsia="標楷體" w:hint="eastAsia"/>
                <w:bCs/>
              </w:rPr>
              <w:t>天（或</w:t>
            </w:r>
            <w:r w:rsidR="000D2F56" w:rsidRPr="004D451D">
              <w:rPr>
                <w:rFonts w:eastAsia="標楷體" w:hint="eastAsia"/>
                <w:bCs/>
              </w:rPr>
              <w:t>3</w:t>
            </w:r>
            <w:r w:rsidR="000D2F56" w:rsidRPr="004D451D">
              <w:rPr>
                <w:rFonts w:eastAsia="標楷體" w:hint="eastAsia"/>
                <w:bCs/>
              </w:rPr>
              <w:t>個月）以上之債權，適用違約債權風險權數。</w:t>
            </w:r>
          </w:p>
          <w:p w:rsidR="007479F6" w:rsidRPr="004D451D" w:rsidRDefault="007479F6" w:rsidP="00D50631">
            <w:pPr>
              <w:ind w:right="240"/>
              <w:jc w:val="right"/>
              <w:rPr>
                <w:rFonts w:eastAsia="標楷體"/>
                <w:bCs/>
              </w:rPr>
            </w:pPr>
          </w:p>
        </w:tc>
      </w:tr>
    </w:tbl>
    <w:p w:rsidR="00FF3C9E" w:rsidRPr="004D451D" w:rsidRDefault="00FF3C9E" w:rsidP="006D7C75">
      <w:pPr>
        <w:rPr>
          <w:rFonts w:eastAsia="標楷體"/>
          <w:b/>
          <w:kern w:val="0"/>
        </w:rPr>
      </w:pPr>
    </w:p>
    <w:p w:rsidR="006D7C75" w:rsidRPr="004D451D" w:rsidRDefault="006D7C75" w:rsidP="006D7C75">
      <w:pPr>
        <w:rPr>
          <w:rFonts w:eastAsia="標楷體"/>
          <w:b/>
          <w:kern w:val="0"/>
        </w:rPr>
      </w:pPr>
      <w:r w:rsidRPr="004D451D">
        <w:rPr>
          <w:rFonts w:eastAsia="標楷體"/>
          <w:b/>
          <w:kern w:val="0"/>
        </w:rPr>
        <w:t>填表說明：</w:t>
      </w:r>
    </w:p>
    <w:p w:rsidR="006D7C75" w:rsidRPr="004D451D" w:rsidRDefault="006D7C75" w:rsidP="00EF4134">
      <w:pPr>
        <w:numPr>
          <w:ilvl w:val="0"/>
          <w:numId w:val="25"/>
        </w:numPr>
        <w:spacing w:line="240" w:lineRule="atLeast"/>
        <w:ind w:leftChars="150" w:left="720" w:hangingChars="150"/>
        <w:jc w:val="both"/>
        <w:rPr>
          <w:rFonts w:eastAsia="標楷體"/>
        </w:rPr>
      </w:pPr>
      <w:r w:rsidRPr="004D451D">
        <w:rPr>
          <w:rFonts w:eastAsia="標楷體"/>
        </w:rPr>
        <w:t>本表更新頻率：半年。</w:t>
      </w:r>
    </w:p>
    <w:p w:rsidR="007F6B9B" w:rsidRPr="004D451D" w:rsidRDefault="007F6B9B" w:rsidP="00EF4134">
      <w:pPr>
        <w:numPr>
          <w:ilvl w:val="0"/>
          <w:numId w:val="25"/>
        </w:numPr>
        <w:spacing w:line="240" w:lineRule="atLeast"/>
        <w:ind w:leftChars="150" w:left="720" w:hangingChars="150"/>
        <w:jc w:val="both"/>
        <w:rPr>
          <w:rFonts w:eastAsia="標楷體"/>
        </w:rPr>
      </w:pPr>
      <w:r w:rsidRPr="004D451D">
        <w:rPr>
          <w:rFonts w:eastAsia="標楷體"/>
        </w:rPr>
        <w:t>本表採個體基礎填報。</w:t>
      </w:r>
    </w:p>
    <w:p w:rsidR="007F6B9B" w:rsidRPr="004D451D" w:rsidRDefault="007F6B9B" w:rsidP="00EF4134">
      <w:pPr>
        <w:numPr>
          <w:ilvl w:val="0"/>
          <w:numId w:val="25"/>
        </w:numPr>
        <w:spacing w:line="240" w:lineRule="atLeast"/>
        <w:ind w:leftChars="150" w:left="720" w:hangingChars="150"/>
        <w:jc w:val="both"/>
        <w:rPr>
          <w:rFonts w:eastAsia="標楷體"/>
        </w:rPr>
      </w:pPr>
      <w:r w:rsidRPr="004D451D">
        <w:rPr>
          <w:rFonts w:eastAsia="標楷體"/>
        </w:rPr>
        <w:t>信用風險暴險的資產項目包含放款及債權證券之表內暴險及表外暴險，其中</w:t>
      </w:r>
      <w:r w:rsidRPr="004D451D">
        <w:rPr>
          <w:rFonts w:eastAsia="標楷體" w:hint="eastAsia"/>
        </w:rPr>
        <w:t>：</w:t>
      </w:r>
    </w:p>
    <w:p w:rsidR="007F6B9B" w:rsidRPr="004D451D" w:rsidRDefault="007F6B9B" w:rsidP="00482E54">
      <w:pPr>
        <w:numPr>
          <w:ilvl w:val="0"/>
          <w:numId w:val="26"/>
        </w:numPr>
        <w:spacing w:line="240" w:lineRule="atLeast"/>
        <w:ind w:leftChars="250" w:left="1080" w:hangingChars="200" w:hanging="480"/>
        <w:jc w:val="both"/>
        <w:rPr>
          <w:rFonts w:eastAsia="標楷體"/>
          <w:kern w:val="0"/>
        </w:rPr>
      </w:pPr>
      <w:r w:rsidRPr="004D451D">
        <w:rPr>
          <w:rFonts w:eastAsia="標楷體"/>
        </w:rPr>
        <w:t>債權證券：排除帳列交易簿</w:t>
      </w:r>
      <w:r w:rsidRPr="004D451D">
        <w:rPr>
          <w:rFonts w:eastAsia="標楷體"/>
          <w:kern w:val="0"/>
        </w:rPr>
        <w:t>之債權證券。</w:t>
      </w:r>
    </w:p>
    <w:p w:rsidR="007F6B9B" w:rsidRPr="004D451D" w:rsidRDefault="007F6B9B" w:rsidP="00482E54">
      <w:pPr>
        <w:numPr>
          <w:ilvl w:val="0"/>
          <w:numId w:val="26"/>
        </w:numPr>
        <w:spacing w:line="240" w:lineRule="atLeast"/>
        <w:ind w:leftChars="250" w:left="1080" w:hangingChars="200" w:hanging="480"/>
        <w:jc w:val="both"/>
        <w:rPr>
          <w:rFonts w:eastAsia="標楷體"/>
        </w:rPr>
      </w:pPr>
      <w:r w:rsidRPr="004D451D">
        <w:rPr>
          <w:rFonts w:eastAsia="標楷體"/>
        </w:rPr>
        <w:t>表外暴險：包含保證、承兌、承諾、開發信用狀、短期票券發行循環信用額度</w:t>
      </w:r>
      <w:r w:rsidRPr="004D451D">
        <w:rPr>
          <w:rFonts w:eastAsia="標楷體"/>
        </w:rPr>
        <w:t>(NIF)</w:t>
      </w:r>
      <w:r w:rsidRPr="004D451D">
        <w:rPr>
          <w:rFonts w:eastAsia="標楷體"/>
        </w:rPr>
        <w:t>、循環包銷承諾</w:t>
      </w:r>
      <w:r w:rsidRPr="004D451D">
        <w:rPr>
          <w:rFonts w:eastAsia="標楷體"/>
        </w:rPr>
        <w:t>(RUF)</w:t>
      </w:r>
      <w:r w:rsidRPr="004D451D">
        <w:rPr>
          <w:rFonts w:eastAsia="標楷體"/>
        </w:rPr>
        <w:t>、出借有價證券或提供有價證券為擔保等表外項目。</w:t>
      </w:r>
    </w:p>
    <w:p w:rsidR="007F6B9B" w:rsidRPr="004D451D" w:rsidRDefault="007F6B9B" w:rsidP="00EF4134">
      <w:pPr>
        <w:numPr>
          <w:ilvl w:val="0"/>
          <w:numId w:val="25"/>
        </w:numPr>
        <w:spacing w:line="240" w:lineRule="atLeast"/>
        <w:ind w:leftChars="150" w:left="720" w:hangingChars="150"/>
        <w:jc w:val="both"/>
        <w:rPr>
          <w:rFonts w:eastAsia="標楷體"/>
        </w:rPr>
      </w:pPr>
      <w:r w:rsidRPr="004D451D">
        <w:rPr>
          <w:rFonts w:eastAsia="標楷體"/>
        </w:rPr>
        <w:t>帳面價值總額：為考慮信用轉換係數或信用風險抵減方法前之總額，其總額為未扣損失準備</w:t>
      </w:r>
      <w:r w:rsidRPr="004D451D">
        <w:rPr>
          <w:rFonts w:eastAsia="標楷體"/>
        </w:rPr>
        <w:t>/</w:t>
      </w:r>
      <w:r w:rsidRPr="004D451D">
        <w:rPr>
          <w:rFonts w:eastAsia="標楷體"/>
        </w:rPr>
        <w:t>減損前，但扣轉銷呆帳</w:t>
      </w:r>
      <w:r w:rsidRPr="004D451D">
        <w:rPr>
          <w:rFonts w:eastAsia="標楷體"/>
        </w:rPr>
        <w:t>(</w:t>
      </w:r>
      <w:r w:rsidRPr="004D451D">
        <w:rPr>
          <w:rFonts w:eastAsia="標楷體"/>
        </w:rPr>
        <w:t>係指當企業無合理預期可回收金額時，自其帳面價值中直接扣除</w:t>
      </w:r>
      <w:r w:rsidRPr="004D451D">
        <w:rPr>
          <w:rFonts w:eastAsia="標楷體"/>
        </w:rPr>
        <w:t>)</w:t>
      </w:r>
      <w:r w:rsidRPr="004D451D">
        <w:rPr>
          <w:rFonts w:eastAsia="標楷體"/>
        </w:rPr>
        <w:t>後之會計價值。</w:t>
      </w:r>
    </w:p>
    <w:p w:rsidR="007F6B9B" w:rsidRPr="004D451D" w:rsidRDefault="007F6B9B" w:rsidP="00EF4134">
      <w:pPr>
        <w:numPr>
          <w:ilvl w:val="0"/>
          <w:numId w:val="25"/>
        </w:numPr>
        <w:spacing w:line="240" w:lineRule="atLeast"/>
        <w:ind w:leftChars="150" w:left="720" w:hangingChars="150"/>
        <w:jc w:val="both"/>
        <w:rPr>
          <w:rFonts w:eastAsia="標楷體"/>
        </w:rPr>
      </w:pPr>
      <w:r w:rsidRPr="004D451D">
        <w:rPr>
          <w:rFonts w:eastAsia="標楷體"/>
        </w:rPr>
        <w:t>違約暴險額：違約定義與法定資本計提之規定一致，並須說明違約定義。</w:t>
      </w:r>
    </w:p>
    <w:p w:rsidR="007F6B9B" w:rsidRPr="004D451D" w:rsidRDefault="007F6B9B" w:rsidP="00EF4134">
      <w:pPr>
        <w:numPr>
          <w:ilvl w:val="0"/>
          <w:numId w:val="25"/>
        </w:numPr>
        <w:spacing w:line="240" w:lineRule="atLeast"/>
        <w:ind w:leftChars="150" w:left="720" w:hangingChars="150"/>
        <w:jc w:val="both"/>
        <w:rPr>
          <w:rFonts w:eastAsia="標楷體"/>
        </w:rPr>
      </w:pPr>
      <w:r w:rsidRPr="004D451D">
        <w:rPr>
          <w:rFonts w:eastAsia="標楷體"/>
        </w:rPr>
        <w:t>損失準備</w:t>
      </w:r>
      <w:r w:rsidRPr="004D451D">
        <w:rPr>
          <w:rFonts w:eastAsia="標楷體"/>
        </w:rPr>
        <w:t>/</w:t>
      </w:r>
      <w:r w:rsidRPr="004D451D">
        <w:rPr>
          <w:rFonts w:eastAsia="標楷體"/>
        </w:rPr>
        <w:t>減損：減損總額指對減損及未減損暴險之損失準備</w:t>
      </w:r>
      <w:r w:rsidRPr="004D451D">
        <w:rPr>
          <w:rFonts w:eastAsia="標楷體"/>
        </w:rPr>
        <w:t>(</w:t>
      </w:r>
      <w:r w:rsidRPr="004D451D">
        <w:rPr>
          <w:rFonts w:eastAsia="標楷體"/>
        </w:rPr>
        <w:t>須符合主管機關規定</w:t>
      </w:r>
      <w:r w:rsidRPr="004D451D">
        <w:rPr>
          <w:rFonts w:eastAsia="標楷體"/>
        </w:rPr>
        <w:t>)</w:t>
      </w:r>
      <w:r w:rsidRPr="004D451D">
        <w:rPr>
          <w:rFonts w:eastAsia="標楷體"/>
        </w:rPr>
        <w:t>。</w:t>
      </w:r>
    </w:p>
    <w:p w:rsidR="00D07F5C" w:rsidRPr="004D451D" w:rsidRDefault="00D07F5C" w:rsidP="00477B09">
      <w:pPr>
        <w:spacing w:before="240" w:line="360" w:lineRule="auto"/>
        <w:ind w:left="180" w:hangingChars="75" w:hanging="180"/>
        <w:rPr>
          <w:rFonts w:eastAsia="標楷體"/>
          <w:b/>
        </w:rPr>
      </w:pPr>
      <w:r w:rsidRPr="004D451D">
        <w:rPr>
          <w:rFonts w:eastAsia="標楷體"/>
          <w:b/>
        </w:rPr>
        <w:t>本表檢核條件：</w:t>
      </w:r>
    </w:p>
    <w:p w:rsidR="004D0B05" w:rsidRPr="004D451D" w:rsidRDefault="004D0B05" w:rsidP="00EF4134">
      <w:pPr>
        <w:numPr>
          <w:ilvl w:val="0"/>
          <w:numId w:val="31"/>
        </w:numPr>
        <w:ind w:leftChars="150" w:left="720" w:hangingChars="150"/>
        <w:rPr>
          <w:rFonts w:eastAsia="標楷體"/>
        </w:rPr>
      </w:pP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1</w:t>
      </w:r>
      <w:r w:rsidR="007F6B9B" w:rsidRPr="004D451D">
        <w:rPr>
          <w:rFonts w:eastAsia="標楷體" w:hint="eastAsia"/>
        </w:rPr>
        <w:t>D</w:t>
      </w:r>
      <w:r w:rsidRPr="004D451D">
        <w:rPr>
          <w:rFonts w:eastAsia="標楷體"/>
        </w:rPr>
        <w:t>=</w:t>
      </w:r>
      <w:r w:rsidRPr="004D451D">
        <w:rPr>
          <w:rFonts w:eastAsia="標楷體"/>
        </w:rPr>
        <w:t>【附表十</w:t>
      </w:r>
      <w:r w:rsidR="009620EA" w:rsidRPr="004D451D">
        <w:rPr>
          <w:rFonts w:eastAsia="標楷體" w:hint="eastAsia"/>
        </w:rPr>
        <w:t>四</w:t>
      </w:r>
      <w:r w:rsidRPr="004D451D">
        <w:rPr>
          <w:rFonts w:eastAsia="標楷體"/>
        </w:rPr>
        <w:t>】</w:t>
      </w:r>
      <w:r w:rsidR="007F6B9B" w:rsidRPr="004D451D">
        <w:rPr>
          <w:rFonts w:eastAsia="標楷體"/>
        </w:rPr>
        <w:t>(1</w:t>
      </w:r>
      <w:r w:rsidR="007F6B9B" w:rsidRPr="004D451D">
        <w:rPr>
          <w:rFonts w:eastAsia="標楷體" w:hint="eastAsia"/>
        </w:rPr>
        <w:t>A</w:t>
      </w:r>
      <w:r w:rsidR="007F6B9B" w:rsidRPr="004D451D">
        <w:rPr>
          <w:rFonts w:eastAsia="標楷體"/>
        </w:rPr>
        <w:t>+1</w:t>
      </w:r>
      <w:r w:rsidR="007F6B9B" w:rsidRPr="004D451D">
        <w:rPr>
          <w:rFonts w:eastAsia="標楷體" w:hint="eastAsia"/>
        </w:rPr>
        <w:t>B</w:t>
      </w:r>
      <w:r w:rsidR="007F6B9B" w:rsidRPr="004D451D">
        <w:rPr>
          <w:rFonts w:eastAsia="標楷體"/>
        </w:rPr>
        <w:t>-1</w:t>
      </w:r>
      <w:r w:rsidR="007F6B9B" w:rsidRPr="004D451D">
        <w:rPr>
          <w:rFonts w:eastAsia="標楷體" w:hint="eastAsia"/>
        </w:rPr>
        <w:t>C</w:t>
      </w:r>
      <w:r w:rsidRPr="004D451D">
        <w:rPr>
          <w:rFonts w:eastAsia="標楷體"/>
        </w:rPr>
        <w:t>)</w:t>
      </w:r>
    </w:p>
    <w:p w:rsidR="005A78C6" w:rsidRPr="004D451D" w:rsidRDefault="005A78C6" w:rsidP="00EF4134">
      <w:pPr>
        <w:numPr>
          <w:ilvl w:val="0"/>
          <w:numId w:val="31"/>
        </w:numPr>
        <w:ind w:leftChars="150" w:left="720" w:hangingChars="150"/>
        <w:rPr>
          <w:rFonts w:eastAsia="標楷體"/>
        </w:rPr>
      </w:pP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2</w:t>
      </w:r>
      <w:r w:rsidRPr="004D451D">
        <w:rPr>
          <w:rFonts w:eastAsia="標楷體" w:hint="eastAsia"/>
        </w:rPr>
        <w:t>D</w:t>
      </w:r>
      <w:r w:rsidRPr="004D451D">
        <w:rPr>
          <w:rFonts w:eastAsia="標楷體"/>
        </w:rPr>
        <w:t>=</w:t>
      </w: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(2</w:t>
      </w:r>
      <w:r w:rsidRPr="004D451D">
        <w:rPr>
          <w:rFonts w:eastAsia="標楷體" w:hint="eastAsia"/>
        </w:rPr>
        <w:t>A</w:t>
      </w:r>
      <w:r w:rsidRPr="004D451D">
        <w:rPr>
          <w:rFonts w:eastAsia="標楷體"/>
        </w:rPr>
        <w:t>+2</w:t>
      </w:r>
      <w:r w:rsidRPr="004D451D">
        <w:rPr>
          <w:rFonts w:eastAsia="標楷體" w:hint="eastAsia"/>
        </w:rPr>
        <w:t>B</w:t>
      </w:r>
      <w:r w:rsidRPr="004D451D">
        <w:rPr>
          <w:rFonts w:eastAsia="標楷體"/>
        </w:rPr>
        <w:t>-2</w:t>
      </w:r>
      <w:r w:rsidRPr="004D451D">
        <w:rPr>
          <w:rFonts w:eastAsia="標楷體" w:hint="eastAsia"/>
        </w:rPr>
        <w:t>C</w:t>
      </w:r>
      <w:r w:rsidRPr="004D451D">
        <w:rPr>
          <w:rFonts w:eastAsia="標楷體"/>
        </w:rPr>
        <w:t>)</w:t>
      </w:r>
    </w:p>
    <w:p w:rsidR="005A78C6" w:rsidRPr="004D451D" w:rsidRDefault="005A78C6" w:rsidP="00EF4134">
      <w:pPr>
        <w:numPr>
          <w:ilvl w:val="0"/>
          <w:numId w:val="31"/>
        </w:numPr>
        <w:ind w:leftChars="150" w:left="720" w:hangingChars="150"/>
        <w:rPr>
          <w:rFonts w:eastAsia="標楷體"/>
        </w:rPr>
      </w:pP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3</w:t>
      </w:r>
      <w:r w:rsidRPr="004D451D">
        <w:rPr>
          <w:rFonts w:eastAsia="標楷體" w:hint="eastAsia"/>
        </w:rPr>
        <w:t>D</w:t>
      </w:r>
      <w:r w:rsidRPr="004D451D">
        <w:rPr>
          <w:rFonts w:eastAsia="標楷體"/>
        </w:rPr>
        <w:t>=</w:t>
      </w: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(3</w:t>
      </w:r>
      <w:r w:rsidRPr="004D451D">
        <w:rPr>
          <w:rFonts w:eastAsia="標楷體" w:hint="eastAsia"/>
        </w:rPr>
        <w:t>A</w:t>
      </w:r>
      <w:r w:rsidRPr="004D451D">
        <w:rPr>
          <w:rFonts w:eastAsia="標楷體"/>
        </w:rPr>
        <w:t>+3</w:t>
      </w:r>
      <w:r w:rsidRPr="004D451D">
        <w:rPr>
          <w:rFonts w:eastAsia="標楷體" w:hint="eastAsia"/>
        </w:rPr>
        <w:t>B</w:t>
      </w:r>
      <w:r w:rsidRPr="004D451D">
        <w:rPr>
          <w:rFonts w:eastAsia="標楷體"/>
        </w:rPr>
        <w:t>-3</w:t>
      </w:r>
      <w:r w:rsidRPr="004D451D">
        <w:rPr>
          <w:rFonts w:eastAsia="標楷體" w:hint="eastAsia"/>
        </w:rPr>
        <w:t>C</w:t>
      </w:r>
      <w:r w:rsidRPr="004D451D">
        <w:rPr>
          <w:rFonts w:eastAsia="標楷體"/>
        </w:rPr>
        <w:t>)</w:t>
      </w:r>
    </w:p>
    <w:p w:rsidR="00D80C36" w:rsidRPr="004D451D" w:rsidRDefault="00D80C36" w:rsidP="00477B09">
      <w:pPr>
        <w:spacing w:line="360" w:lineRule="auto"/>
        <w:ind w:left="180" w:hangingChars="75" w:hanging="180"/>
        <w:rPr>
          <w:rFonts w:eastAsia="標楷體"/>
          <w:b/>
        </w:rPr>
      </w:pPr>
      <w:r w:rsidRPr="004D451D">
        <w:rPr>
          <w:rFonts w:eastAsia="標楷體"/>
          <w:b/>
        </w:rPr>
        <w:t>跨表檢核：</w:t>
      </w:r>
    </w:p>
    <w:p w:rsidR="00CC7A9F" w:rsidRPr="004D451D" w:rsidRDefault="00CC7A9F" w:rsidP="00EF4134">
      <w:pPr>
        <w:numPr>
          <w:ilvl w:val="0"/>
          <w:numId w:val="32"/>
        </w:numPr>
        <w:ind w:leftChars="150" w:left="720" w:hangingChars="150"/>
        <w:rPr>
          <w:rFonts w:eastAsia="標楷體"/>
        </w:rPr>
      </w:pPr>
      <w:r w:rsidRPr="004D451D">
        <w:rPr>
          <w:rFonts w:eastAsia="標楷體"/>
        </w:rPr>
        <w:t>【附表十</w:t>
      </w:r>
      <w:r w:rsidR="009620EA" w:rsidRPr="004D451D">
        <w:rPr>
          <w:rFonts w:eastAsia="標楷體" w:hint="eastAsia"/>
        </w:rPr>
        <w:t>四</w:t>
      </w:r>
      <w:r w:rsidRPr="004D451D">
        <w:rPr>
          <w:rFonts w:eastAsia="標楷體"/>
        </w:rPr>
        <w:t>】</w:t>
      </w:r>
      <w:r w:rsidR="00657D29" w:rsidRPr="004D451D">
        <w:rPr>
          <w:rFonts w:eastAsia="標楷體" w:hint="eastAsia"/>
        </w:rPr>
        <w:t>(</w:t>
      </w:r>
      <w:r w:rsidRPr="004D451D">
        <w:rPr>
          <w:rFonts w:eastAsia="標楷體" w:hint="eastAsia"/>
        </w:rPr>
        <w:t>1A+2A</w:t>
      </w:r>
      <w:r w:rsidR="00657D29" w:rsidRPr="004D451D">
        <w:rPr>
          <w:rFonts w:eastAsia="標楷體" w:hint="eastAsia"/>
        </w:rPr>
        <w:t>)</w:t>
      </w:r>
      <w:r w:rsidRPr="004D451D">
        <w:rPr>
          <w:rFonts w:eastAsia="標楷體"/>
        </w:rPr>
        <w:t>=</w:t>
      </w:r>
      <w:r w:rsidRPr="004D451D">
        <w:rPr>
          <w:rFonts w:eastAsia="標楷體"/>
        </w:rPr>
        <w:t>【附表十</w:t>
      </w:r>
      <w:r w:rsidR="009620EA" w:rsidRPr="004D451D">
        <w:rPr>
          <w:rFonts w:eastAsia="標楷體" w:hint="eastAsia"/>
        </w:rPr>
        <w:t>五</w:t>
      </w:r>
      <w:r w:rsidRPr="004D451D">
        <w:rPr>
          <w:rFonts w:eastAsia="標楷體"/>
        </w:rPr>
        <w:t>】</w:t>
      </w:r>
      <w:r w:rsidRPr="004D451D">
        <w:rPr>
          <w:rFonts w:eastAsia="標楷體"/>
        </w:rPr>
        <w:t>6</w:t>
      </w:r>
      <w:r w:rsidRPr="004D451D">
        <w:rPr>
          <w:rFonts w:eastAsia="標楷體" w:hint="eastAsia"/>
        </w:rPr>
        <w:t>A</w:t>
      </w:r>
    </w:p>
    <w:p w:rsidR="009434C5" w:rsidRPr="004D451D" w:rsidRDefault="00B41CFA" w:rsidP="00EF4134">
      <w:pPr>
        <w:numPr>
          <w:ilvl w:val="0"/>
          <w:numId w:val="32"/>
        </w:numPr>
        <w:ind w:leftChars="150" w:left="720" w:hangingChars="150"/>
        <w:rPr>
          <w:rFonts w:eastAsia="標楷體"/>
        </w:rPr>
      </w:pP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1</w:t>
      </w:r>
      <w:r w:rsidRPr="004D451D">
        <w:rPr>
          <w:rFonts w:eastAsia="標楷體" w:hint="eastAsia"/>
        </w:rPr>
        <w:t>D</w:t>
      </w:r>
      <w:r w:rsidRPr="004D451D">
        <w:rPr>
          <w:rFonts w:eastAsia="標楷體"/>
        </w:rPr>
        <w:t>=</w:t>
      </w:r>
      <w:r w:rsidRPr="004D451D">
        <w:rPr>
          <w:rFonts w:eastAsia="標楷體"/>
        </w:rPr>
        <w:t>【附表十</w:t>
      </w:r>
      <w:r w:rsidR="009620EA" w:rsidRPr="004D451D">
        <w:rPr>
          <w:rFonts w:eastAsia="標楷體" w:hint="eastAsia"/>
        </w:rPr>
        <w:t>七</w:t>
      </w:r>
      <w:r w:rsidRPr="004D451D">
        <w:rPr>
          <w:rFonts w:eastAsia="標楷體"/>
        </w:rPr>
        <w:t>】</w:t>
      </w:r>
      <w:r w:rsidRPr="004D451D">
        <w:rPr>
          <w:rFonts w:eastAsia="標楷體" w:hint="eastAsia"/>
        </w:rPr>
        <w:t>(</w:t>
      </w:r>
      <w:r w:rsidRPr="004D451D">
        <w:rPr>
          <w:rFonts w:eastAsia="標楷體"/>
        </w:rPr>
        <w:t>1</w:t>
      </w:r>
      <w:r w:rsidRPr="004D451D">
        <w:rPr>
          <w:rFonts w:eastAsia="標楷體" w:hint="eastAsia"/>
        </w:rPr>
        <w:t>A</w:t>
      </w:r>
      <w:r w:rsidRPr="004D451D">
        <w:rPr>
          <w:rFonts w:eastAsia="標楷體"/>
        </w:rPr>
        <w:t>+1</w:t>
      </w:r>
      <w:r w:rsidRPr="004D451D">
        <w:rPr>
          <w:rFonts w:eastAsia="標楷體" w:hint="eastAsia"/>
        </w:rPr>
        <w:t>B</w:t>
      </w:r>
      <w:r w:rsidRPr="004D451D">
        <w:rPr>
          <w:rFonts w:eastAsia="標楷體"/>
        </w:rPr>
        <w:t>+1</w:t>
      </w:r>
      <w:r w:rsidRPr="004D451D">
        <w:rPr>
          <w:rFonts w:eastAsia="標楷體" w:hint="eastAsia"/>
        </w:rPr>
        <w:t>D</w:t>
      </w:r>
      <w:r w:rsidRPr="004D451D">
        <w:rPr>
          <w:rFonts w:eastAsia="標楷體"/>
        </w:rPr>
        <w:t>+1</w:t>
      </w:r>
      <w:r w:rsidRPr="004D451D">
        <w:rPr>
          <w:rFonts w:eastAsia="標楷體" w:hint="eastAsia"/>
        </w:rPr>
        <w:t>F)</w:t>
      </w:r>
    </w:p>
    <w:p w:rsidR="00951B2A" w:rsidRPr="004D451D" w:rsidRDefault="00B41CFA" w:rsidP="00EF4134">
      <w:pPr>
        <w:numPr>
          <w:ilvl w:val="0"/>
          <w:numId w:val="32"/>
        </w:numPr>
        <w:ind w:leftChars="150" w:left="720" w:hangingChars="150"/>
        <w:rPr>
          <w:rFonts w:eastAsia="標楷體"/>
        </w:rPr>
      </w:pPr>
      <w:r w:rsidRPr="004D451D">
        <w:rPr>
          <w:rFonts w:eastAsia="標楷體"/>
        </w:rPr>
        <w:t>【附表十</w:t>
      </w:r>
      <w:r w:rsidR="009620EA" w:rsidRPr="004D451D">
        <w:rPr>
          <w:rFonts w:eastAsia="標楷體" w:hint="eastAsia"/>
        </w:rPr>
        <w:t>四</w:t>
      </w:r>
      <w:r w:rsidRPr="004D451D">
        <w:rPr>
          <w:rFonts w:eastAsia="標楷體"/>
        </w:rPr>
        <w:t>】</w:t>
      </w:r>
      <w:r w:rsidRPr="004D451D">
        <w:rPr>
          <w:rFonts w:eastAsia="標楷體"/>
        </w:rPr>
        <w:t>2</w:t>
      </w:r>
      <w:r w:rsidRPr="004D451D">
        <w:rPr>
          <w:rFonts w:eastAsia="標楷體" w:hint="eastAsia"/>
        </w:rPr>
        <w:t>D</w:t>
      </w:r>
      <w:r w:rsidRPr="004D451D">
        <w:rPr>
          <w:rFonts w:eastAsia="標楷體"/>
        </w:rPr>
        <w:t>=</w:t>
      </w:r>
      <w:r w:rsidRPr="004D451D">
        <w:rPr>
          <w:rFonts w:eastAsia="標楷體"/>
        </w:rPr>
        <w:t>【附表十</w:t>
      </w:r>
      <w:r w:rsidR="009620EA" w:rsidRPr="004D451D">
        <w:rPr>
          <w:rFonts w:eastAsia="標楷體" w:hint="eastAsia"/>
        </w:rPr>
        <w:t>七</w:t>
      </w:r>
      <w:r w:rsidRPr="004D451D">
        <w:rPr>
          <w:rFonts w:eastAsia="標楷體"/>
        </w:rPr>
        <w:t>】</w:t>
      </w:r>
      <w:r w:rsidRPr="004D451D">
        <w:rPr>
          <w:rFonts w:eastAsia="標楷體" w:hint="eastAsia"/>
        </w:rPr>
        <w:t>(</w:t>
      </w:r>
      <w:r w:rsidRPr="004D451D">
        <w:rPr>
          <w:rFonts w:eastAsia="標楷體"/>
        </w:rPr>
        <w:t>2</w:t>
      </w:r>
      <w:r w:rsidRPr="004D451D">
        <w:rPr>
          <w:rFonts w:eastAsia="標楷體" w:hint="eastAsia"/>
        </w:rPr>
        <w:t>A</w:t>
      </w:r>
      <w:r w:rsidRPr="004D451D">
        <w:rPr>
          <w:rFonts w:eastAsia="標楷體"/>
        </w:rPr>
        <w:t>+2</w:t>
      </w:r>
      <w:r w:rsidRPr="004D451D">
        <w:rPr>
          <w:rFonts w:eastAsia="標楷體" w:hint="eastAsia"/>
        </w:rPr>
        <w:t>B</w:t>
      </w:r>
      <w:r w:rsidRPr="004D451D">
        <w:rPr>
          <w:rFonts w:eastAsia="標楷體"/>
        </w:rPr>
        <w:t>+2</w:t>
      </w:r>
      <w:r w:rsidRPr="004D451D">
        <w:rPr>
          <w:rFonts w:eastAsia="標楷體" w:hint="eastAsia"/>
        </w:rPr>
        <w:t>D</w:t>
      </w:r>
      <w:r w:rsidRPr="004D451D">
        <w:rPr>
          <w:rFonts w:eastAsia="標楷體"/>
        </w:rPr>
        <w:t>+2</w:t>
      </w:r>
      <w:r w:rsidRPr="004D451D">
        <w:rPr>
          <w:rFonts w:eastAsia="標楷體" w:hint="eastAsia"/>
        </w:rPr>
        <w:t>F)</w:t>
      </w:r>
    </w:p>
    <w:p w:rsidR="005D2B57" w:rsidRPr="004D451D" w:rsidRDefault="00B64511" w:rsidP="005D2B57">
      <w:pPr>
        <w:widowControl/>
        <w:rPr>
          <w:rFonts w:eastAsia="標楷體"/>
          <w:sz w:val="32"/>
          <w:szCs w:val="32"/>
        </w:rPr>
      </w:pPr>
      <w:r w:rsidRPr="004D451D">
        <w:rPr>
          <w:rFonts w:eastAsia="標楷體"/>
          <w:sz w:val="32"/>
          <w:szCs w:val="32"/>
        </w:rPr>
        <w:br w:type="page"/>
      </w:r>
      <w:r w:rsidR="00D243C4" w:rsidRPr="004D451D">
        <w:rPr>
          <w:rFonts w:eastAsia="標楷體"/>
          <w:b/>
          <w:sz w:val="32"/>
          <w:szCs w:val="32"/>
        </w:rPr>
        <w:t>【附表十</w:t>
      </w:r>
      <w:r w:rsidR="000A03CB" w:rsidRPr="004D451D">
        <w:rPr>
          <w:rFonts w:eastAsia="標楷體" w:hint="eastAsia"/>
          <w:b/>
          <w:sz w:val="32"/>
          <w:szCs w:val="32"/>
        </w:rPr>
        <w:t>五</w:t>
      </w:r>
      <w:r w:rsidR="005D2B57" w:rsidRPr="004D451D">
        <w:rPr>
          <w:rFonts w:eastAsia="標楷體"/>
          <w:b/>
          <w:sz w:val="32"/>
          <w:szCs w:val="32"/>
        </w:rPr>
        <w:t>】</w:t>
      </w:r>
    </w:p>
    <w:p w:rsidR="005D2B57" w:rsidRPr="004D451D" w:rsidRDefault="005D2B57" w:rsidP="005D2B57">
      <w:pPr>
        <w:jc w:val="center"/>
        <w:rPr>
          <w:rFonts w:eastAsia="標楷體"/>
          <w:b/>
          <w:bCs/>
          <w:sz w:val="32"/>
          <w:szCs w:val="32"/>
        </w:rPr>
      </w:pPr>
      <w:r w:rsidRPr="004D451D">
        <w:rPr>
          <w:rFonts w:eastAsia="標楷體"/>
          <w:b/>
          <w:bCs/>
          <w:sz w:val="32"/>
          <w:szCs w:val="32"/>
        </w:rPr>
        <w:t>放款及債權證券已違約部位之變動</w:t>
      </w:r>
    </w:p>
    <w:p w:rsidR="009A1E6E" w:rsidRPr="004D451D" w:rsidRDefault="009A1E6E" w:rsidP="009A1E6E">
      <w:pPr>
        <w:wordWrap w:val="0"/>
        <w:jc w:val="right"/>
        <w:rPr>
          <w:rFonts w:eastAsia="標楷體"/>
          <w:b/>
          <w:bCs/>
        </w:rPr>
      </w:pPr>
      <w:r w:rsidRPr="004D451D">
        <w:rPr>
          <w:rFonts w:eastAsia="標楷體"/>
          <w:b/>
          <w:bCs/>
          <w:sz w:val="32"/>
          <w:szCs w:val="32"/>
        </w:rPr>
        <w:t xml:space="preserve"> </w:t>
      </w:r>
      <w:r w:rsidRPr="004D451D">
        <w:rPr>
          <w:rFonts w:eastAsia="標楷體"/>
          <w:bCs/>
          <w:sz w:val="32"/>
          <w:szCs w:val="32"/>
        </w:rPr>
        <w:t xml:space="preserve">   </w:t>
      </w:r>
      <w:r w:rsidR="00897C18" w:rsidRPr="004D451D">
        <w:rPr>
          <w:rFonts w:eastAsia="標楷體" w:hint="eastAsia"/>
          <w:bCs/>
          <w:sz w:val="32"/>
          <w:szCs w:val="32"/>
        </w:rPr>
        <w:t>10</w:t>
      </w:r>
      <w:r w:rsidR="00FD11B2" w:rsidRPr="004D451D">
        <w:rPr>
          <w:rFonts w:eastAsia="標楷體" w:hint="eastAsia"/>
          <w:bCs/>
          <w:sz w:val="32"/>
          <w:szCs w:val="32"/>
        </w:rPr>
        <w:t>7</w:t>
      </w:r>
      <w:r w:rsidRPr="004D451D">
        <w:rPr>
          <w:rFonts w:eastAsia="標楷體"/>
          <w:bCs/>
          <w:sz w:val="32"/>
          <w:szCs w:val="32"/>
        </w:rPr>
        <w:t>年</w:t>
      </w:r>
      <w:r w:rsidR="00FD11B2" w:rsidRPr="004D451D">
        <w:rPr>
          <w:rFonts w:eastAsia="標楷體" w:hint="eastAsia"/>
          <w:bCs/>
          <w:sz w:val="32"/>
          <w:szCs w:val="32"/>
        </w:rPr>
        <w:t>06</w:t>
      </w:r>
      <w:r w:rsidRPr="004D451D">
        <w:rPr>
          <w:rFonts w:eastAsia="標楷體"/>
          <w:bCs/>
          <w:sz w:val="32"/>
          <w:szCs w:val="32"/>
        </w:rPr>
        <w:t>月</w:t>
      </w:r>
      <w:r w:rsidR="00897C18" w:rsidRPr="004D451D">
        <w:rPr>
          <w:rFonts w:eastAsia="標楷體" w:hint="eastAsia"/>
          <w:bCs/>
          <w:sz w:val="32"/>
          <w:szCs w:val="32"/>
        </w:rPr>
        <w:t>3</w:t>
      </w:r>
      <w:r w:rsidR="00FD11B2" w:rsidRPr="004D451D">
        <w:rPr>
          <w:rFonts w:eastAsia="標楷體" w:hint="eastAsia"/>
          <w:bCs/>
          <w:sz w:val="32"/>
          <w:szCs w:val="32"/>
        </w:rPr>
        <w:t>0</w:t>
      </w:r>
      <w:r w:rsidRPr="004D451D">
        <w:rPr>
          <w:rFonts w:eastAsia="標楷體"/>
          <w:bCs/>
          <w:sz w:val="32"/>
          <w:szCs w:val="32"/>
        </w:rPr>
        <w:t>日</w:t>
      </w:r>
      <w:r w:rsidRPr="004D451D">
        <w:rPr>
          <w:rFonts w:eastAsia="標楷體" w:hint="eastAsia"/>
          <w:bCs/>
          <w:sz w:val="32"/>
          <w:szCs w:val="32"/>
        </w:rPr>
        <w:t xml:space="preserve">　　　　　</w:t>
      </w:r>
      <w:r w:rsidR="00531C88" w:rsidRPr="004D451D">
        <w:rPr>
          <w:rFonts w:eastAsia="標楷體" w:hint="eastAsia"/>
          <w:bCs/>
          <w:szCs w:val="32"/>
        </w:rPr>
        <w:t>（</w:t>
      </w:r>
      <w:r w:rsidRPr="004D451D">
        <w:rPr>
          <w:rFonts w:eastAsia="標楷體"/>
          <w:bCs/>
        </w:rPr>
        <w:t>單位</w:t>
      </w:r>
      <w:r w:rsidRPr="004D451D">
        <w:rPr>
          <w:rFonts w:eastAsia="標楷體" w:hint="eastAsia"/>
          <w:bCs/>
        </w:rPr>
        <w:t>：</w:t>
      </w:r>
      <w:r w:rsidRPr="004D451D">
        <w:rPr>
          <w:rFonts w:eastAsia="標楷體"/>
          <w:bCs/>
        </w:rPr>
        <w:t>新臺幣千元</w:t>
      </w:r>
      <w:r w:rsidR="00531C88" w:rsidRPr="004D451D">
        <w:rPr>
          <w:rFonts w:eastAsia="標楷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441"/>
        <w:gridCol w:w="3376"/>
      </w:tblGrid>
      <w:tr w:rsidR="004D451D" w:rsidRPr="004D451D" w:rsidTr="0076549B">
        <w:trPr>
          <w:trHeight w:val="528"/>
          <w:jc w:val="center"/>
        </w:trPr>
        <w:tc>
          <w:tcPr>
            <w:tcW w:w="0" w:type="auto"/>
            <w:gridSpan w:val="2"/>
            <w:shd w:val="clear" w:color="auto" w:fill="auto"/>
            <w:vAlign w:val="center"/>
          </w:tcPr>
          <w:p w:rsidR="00566A6A" w:rsidRPr="004D451D" w:rsidRDefault="00566A6A" w:rsidP="0076549B">
            <w:pPr>
              <w:jc w:val="center"/>
              <w:rPr>
                <w:rFonts w:eastAsia="標楷體"/>
                <w:kern w:val="0"/>
              </w:rPr>
            </w:pPr>
            <w:r w:rsidRPr="004D451D">
              <w:rPr>
                <w:rFonts w:eastAsia="標楷體"/>
                <w:kern w:val="0"/>
              </w:rPr>
              <w:t>項目</w:t>
            </w:r>
          </w:p>
        </w:tc>
        <w:tc>
          <w:tcPr>
            <w:tcW w:w="3376" w:type="dxa"/>
            <w:shd w:val="clear" w:color="auto" w:fill="auto"/>
            <w:vAlign w:val="center"/>
          </w:tcPr>
          <w:p w:rsidR="00566A6A" w:rsidRPr="004D451D" w:rsidRDefault="00566A6A" w:rsidP="0076549B">
            <w:pPr>
              <w:jc w:val="center"/>
              <w:rPr>
                <w:rFonts w:eastAsia="標楷體"/>
                <w:kern w:val="0"/>
              </w:rPr>
            </w:pPr>
            <w:r w:rsidRPr="004D451D">
              <w:rPr>
                <w:rFonts w:eastAsia="標楷體"/>
                <w:kern w:val="0"/>
              </w:rPr>
              <w:t>金額</w:t>
            </w:r>
            <w:r w:rsidR="00343C50" w:rsidRPr="004D451D">
              <w:rPr>
                <w:rFonts w:eastAsia="標楷體"/>
                <w:kern w:val="0"/>
              </w:rPr>
              <w:t>A</w:t>
            </w:r>
          </w:p>
        </w:tc>
      </w:tr>
      <w:tr w:rsidR="004D451D" w:rsidRPr="004D451D" w:rsidTr="007474A4">
        <w:trPr>
          <w:trHeight w:val="576"/>
          <w:jc w:val="center"/>
        </w:trPr>
        <w:tc>
          <w:tcPr>
            <w:tcW w:w="534" w:type="dxa"/>
            <w:shd w:val="clear" w:color="auto" w:fill="auto"/>
            <w:vAlign w:val="center"/>
          </w:tcPr>
          <w:p w:rsidR="00FD11B2" w:rsidRPr="004D451D" w:rsidRDefault="00FD11B2" w:rsidP="0076549B">
            <w:pPr>
              <w:jc w:val="center"/>
              <w:rPr>
                <w:rFonts w:eastAsia="標楷體"/>
                <w:kern w:val="0"/>
              </w:rPr>
            </w:pPr>
            <w:r w:rsidRPr="004D451D">
              <w:rPr>
                <w:rFonts w:eastAsia="標楷體"/>
                <w:kern w:val="0"/>
              </w:rPr>
              <w:t>1</w:t>
            </w:r>
          </w:p>
        </w:tc>
        <w:tc>
          <w:tcPr>
            <w:tcW w:w="5441" w:type="dxa"/>
            <w:shd w:val="clear" w:color="auto" w:fill="auto"/>
            <w:vAlign w:val="center"/>
          </w:tcPr>
          <w:p w:rsidR="00FD11B2" w:rsidRPr="004D451D" w:rsidRDefault="00FD11B2" w:rsidP="0076549B">
            <w:pPr>
              <w:jc w:val="both"/>
              <w:rPr>
                <w:rFonts w:eastAsia="標楷體"/>
                <w:kern w:val="0"/>
              </w:rPr>
            </w:pPr>
            <w:r w:rsidRPr="004D451D">
              <w:rPr>
                <w:rFonts w:eastAsia="標楷體"/>
                <w:kern w:val="0"/>
              </w:rPr>
              <w:t>上期期末報表日之違約放款及債權證券</w:t>
            </w:r>
          </w:p>
        </w:tc>
        <w:tc>
          <w:tcPr>
            <w:tcW w:w="3376" w:type="dxa"/>
            <w:shd w:val="clear" w:color="auto" w:fill="auto"/>
            <w:vAlign w:val="center"/>
          </w:tcPr>
          <w:p w:rsidR="00FD11B2" w:rsidRPr="004D451D" w:rsidRDefault="00FD11B2">
            <w:pPr>
              <w:jc w:val="right"/>
              <w:rPr>
                <w:rFonts w:ascii="Arial" w:hAnsi="Arial" w:cs="Arial"/>
              </w:rPr>
            </w:pPr>
            <w:r w:rsidRPr="004D451D">
              <w:rPr>
                <w:rFonts w:ascii="Arial" w:hAnsi="Arial" w:cs="Arial"/>
              </w:rPr>
              <w:t>34,134</w:t>
            </w:r>
          </w:p>
        </w:tc>
      </w:tr>
      <w:tr w:rsidR="004D451D" w:rsidRPr="004D451D" w:rsidTr="007474A4">
        <w:trPr>
          <w:trHeight w:val="570"/>
          <w:jc w:val="center"/>
        </w:trPr>
        <w:tc>
          <w:tcPr>
            <w:tcW w:w="534" w:type="dxa"/>
            <w:shd w:val="clear" w:color="auto" w:fill="auto"/>
            <w:vAlign w:val="center"/>
          </w:tcPr>
          <w:p w:rsidR="00FD11B2" w:rsidRPr="004D451D" w:rsidRDefault="00FD11B2" w:rsidP="0076549B">
            <w:pPr>
              <w:jc w:val="center"/>
              <w:rPr>
                <w:rFonts w:eastAsia="標楷體"/>
                <w:kern w:val="0"/>
              </w:rPr>
            </w:pPr>
            <w:r w:rsidRPr="004D451D">
              <w:rPr>
                <w:rFonts w:eastAsia="標楷體"/>
                <w:kern w:val="0"/>
              </w:rPr>
              <w:t>2</w:t>
            </w:r>
          </w:p>
        </w:tc>
        <w:tc>
          <w:tcPr>
            <w:tcW w:w="5441" w:type="dxa"/>
            <w:shd w:val="clear" w:color="auto" w:fill="auto"/>
            <w:vAlign w:val="center"/>
          </w:tcPr>
          <w:p w:rsidR="00FD11B2" w:rsidRPr="004D451D" w:rsidRDefault="00FD11B2" w:rsidP="0076549B">
            <w:pPr>
              <w:jc w:val="both"/>
              <w:rPr>
                <w:rFonts w:eastAsia="標楷體"/>
                <w:kern w:val="0"/>
              </w:rPr>
            </w:pPr>
            <w:r w:rsidRPr="004D451D">
              <w:rPr>
                <w:rFonts w:eastAsia="標楷體"/>
                <w:kern w:val="0"/>
              </w:rPr>
              <w:t>自上期報表期間後發生違約之放款及債權證券</w:t>
            </w:r>
          </w:p>
        </w:tc>
        <w:tc>
          <w:tcPr>
            <w:tcW w:w="3376" w:type="dxa"/>
            <w:shd w:val="clear" w:color="auto" w:fill="auto"/>
            <w:vAlign w:val="center"/>
          </w:tcPr>
          <w:p w:rsidR="00FD11B2" w:rsidRPr="004D451D" w:rsidRDefault="00FD11B2">
            <w:pPr>
              <w:jc w:val="right"/>
              <w:rPr>
                <w:rFonts w:ascii="Arial" w:hAnsi="Arial" w:cs="Arial"/>
              </w:rPr>
            </w:pPr>
            <w:r w:rsidRPr="004D451D">
              <w:rPr>
                <w:rFonts w:ascii="Arial" w:hAnsi="Arial" w:cs="Arial"/>
              </w:rPr>
              <w:t>37,445</w:t>
            </w:r>
          </w:p>
        </w:tc>
      </w:tr>
      <w:tr w:rsidR="004D451D" w:rsidRPr="004D451D" w:rsidTr="007474A4">
        <w:trPr>
          <w:trHeight w:val="550"/>
          <w:jc w:val="center"/>
        </w:trPr>
        <w:tc>
          <w:tcPr>
            <w:tcW w:w="534" w:type="dxa"/>
            <w:shd w:val="clear" w:color="auto" w:fill="auto"/>
            <w:vAlign w:val="center"/>
          </w:tcPr>
          <w:p w:rsidR="00FD11B2" w:rsidRPr="004D451D" w:rsidRDefault="00FD11B2" w:rsidP="0076549B">
            <w:pPr>
              <w:jc w:val="center"/>
              <w:rPr>
                <w:rFonts w:eastAsia="標楷體"/>
                <w:kern w:val="0"/>
              </w:rPr>
            </w:pPr>
            <w:r w:rsidRPr="004D451D">
              <w:rPr>
                <w:rFonts w:eastAsia="標楷體"/>
                <w:kern w:val="0"/>
              </w:rPr>
              <w:t>3</w:t>
            </w:r>
          </w:p>
        </w:tc>
        <w:tc>
          <w:tcPr>
            <w:tcW w:w="5441" w:type="dxa"/>
            <w:shd w:val="clear" w:color="auto" w:fill="auto"/>
            <w:vAlign w:val="center"/>
          </w:tcPr>
          <w:p w:rsidR="00FD11B2" w:rsidRPr="004D451D" w:rsidRDefault="00FD11B2" w:rsidP="0076549B">
            <w:pPr>
              <w:jc w:val="both"/>
              <w:rPr>
                <w:rFonts w:eastAsia="標楷體"/>
                <w:kern w:val="0"/>
              </w:rPr>
            </w:pPr>
            <w:r w:rsidRPr="004D451D">
              <w:rPr>
                <w:rFonts w:eastAsia="標楷體"/>
                <w:kern w:val="0"/>
              </w:rPr>
              <w:t>回復為未違約狀態</w:t>
            </w:r>
          </w:p>
        </w:tc>
        <w:tc>
          <w:tcPr>
            <w:tcW w:w="3376" w:type="dxa"/>
            <w:shd w:val="clear" w:color="auto" w:fill="auto"/>
            <w:vAlign w:val="center"/>
          </w:tcPr>
          <w:p w:rsidR="00FD11B2" w:rsidRPr="004D451D" w:rsidRDefault="00FD11B2">
            <w:pPr>
              <w:jc w:val="right"/>
              <w:rPr>
                <w:rFonts w:ascii="Arial" w:hAnsi="Arial" w:cs="Arial"/>
              </w:rPr>
            </w:pPr>
            <w:r w:rsidRPr="004D451D">
              <w:rPr>
                <w:rFonts w:ascii="Arial" w:hAnsi="Arial" w:cs="Arial"/>
              </w:rPr>
              <w:t>33,973</w:t>
            </w:r>
          </w:p>
        </w:tc>
      </w:tr>
      <w:tr w:rsidR="004D451D" w:rsidRPr="004D451D" w:rsidTr="007474A4">
        <w:trPr>
          <w:trHeight w:val="558"/>
          <w:jc w:val="center"/>
        </w:trPr>
        <w:tc>
          <w:tcPr>
            <w:tcW w:w="534" w:type="dxa"/>
            <w:shd w:val="clear" w:color="auto" w:fill="auto"/>
            <w:vAlign w:val="center"/>
          </w:tcPr>
          <w:p w:rsidR="00FD11B2" w:rsidRPr="004D451D" w:rsidRDefault="00FD11B2" w:rsidP="0076549B">
            <w:pPr>
              <w:jc w:val="center"/>
              <w:rPr>
                <w:rFonts w:eastAsia="標楷體"/>
                <w:kern w:val="0"/>
              </w:rPr>
            </w:pPr>
            <w:r w:rsidRPr="004D451D">
              <w:rPr>
                <w:rFonts w:eastAsia="標楷體"/>
                <w:kern w:val="0"/>
              </w:rPr>
              <w:t>4</w:t>
            </w:r>
          </w:p>
        </w:tc>
        <w:tc>
          <w:tcPr>
            <w:tcW w:w="5441" w:type="dxa"/>
            <w:shd w:val="clear" w:color="auto" w:fill="auto"/>
            <w:vAlign w:val="center"/>
          </w:tcPr>
          <w:p w:rsidR="00FD11B2" w:rsidRPr="004D451D" w:rsidRDefault="00FD11B2" w:rsidP="0076549B">
            <w:pPr>
              <w:jc w:val="both"/>
              <w:rPr>
                <w:rFonts w:eastAsia="標楷體"/>
                <w:kern w:val="0"/>
              </w:rPr>
            </w:pPr>
            <w:r w:rsidRPr="004D451D">
              <w:rPr>
                <w:rFonts w:eastAsia="標楷體"/>
                <w:kern w:val="0"/>
              </w:rPr>
              <w:t>轉銷呆帳金額</w:t>
            </w:r>
          </w:p>
        </w:tc>
        <w:tc>
          <w:tcPr>
            <w:tcW w:w="3376" w:type="dxa"/>
            <w:shd w:val="clear" w:color="auto" w:fill="auto"/>
            <w:vAlign w:val="center"/>
          </w:tcPr>
          <w:p w:rsidR="00FD11B2" w:rsidRPr="004D451D" w:rsidRDefault="00FD11B2" w:rsidP="00FC00F9">
            <w:pPr>
              <w:jc w:val="right"/>
              <w:rPr>
                <w:rFonts w:ascii="Arial" w:hAnsi="Arial" w:cs="Arial"/>
              </w:rPr>
            </w:pPr>
            <w:r w:rsidRPr="004D451D">
              <w:rPr>
                <w:rFonts w:ascii="Arial" w:hAnsi="Arial" w:cs="Arial"/>
              </w:rPr>
              <w:t xml:space="preserve">1,629 </w:t>
            </w:r>
          </w:p>
        </w:tc>
      </w:tr>
      <w:tr w:rsidR="004D451D" w:rsidRPr="004D451D" w:rsidTr="007474A4">
        <w:trPr>
          <w:trHeight w:val="552"/>
          <w:jc w:val="center"/>
        </w:trPr>
        <w:tc>
          <w:tcPr>
            <w:tcW w:w="534" w:type="dxa"/>
            <w:shd w:val="clear" w:color="auto" w:fill="auto"/>
            <w:vAlign w:val="center"/>
          </w:tcPr>
          <w:p w:rsidR="00FD11B2" w:rsidRPr="004D451D" w:rsidRDefault="00FD11B2" w:rsidP="0076549B">
            <w:pPr>
              <w:jc w:val="center"/>
              <w:rPr>
                <w:rFonts w:eastAsia="標楷體"/>
                <w:kern w:val="0"/>
              </w:rPr>
            </w:pPr>
            <w:r w:rsidRPr="004D451D">
              <w:rPr>
                <w:rFonts w:eastAsia="標楷體"/>
                <w:kern w:val="0"/>
              </w:rPr>
              <w:t>5</w:t>
            </w:r>
          </w:p>
        </w:tc>
        <w:tc>
          <w:tcPr>
            <w:tcW w:w="5441" w:type="dxa"/>
            <w:shd w:val="clear" w:color="auto" w:fill="auto"/>
            <w:vAlign w:val="center"/>
          </w:tcPr>
          <w:p w:rsidR="00FD11B2" w:rsidRPr="004D451D" w:rsidRDefault="00FD11B2" w:rsidP="0076549B">
            <w:pPr>
              <w:jc w:val="both"/>
              <w:rPr>
                <w:rFonts w:eastAsia="標楷體"/>
                <w:kern w:val="0"/>
              </w:rPr>
            </w:pPr>
            <w:r w:rsidRPr="004D451D">
              <w:rPr>
                <w:rFonts w:eastAsia="標楷體"/>
                <w:kern w:val="0"/>
              </w:rPr>
              <w:t>其他變動</w:t>
            </w:r>
          </w:p>
        </w:tc>
        <w:tc>
          <w:tcPr>
            <w:tcW w:w="3376" w:type="dxa"/>
            <w:shd w:val="clear" w:color="auto" w:fill="auto"/>
            <w:vAlign w:val="center"/>
          </w:tcPr>
          <w:p w:rsidR="00FD11B2" w:rsidRPr="004D451D" w:rsidRDefault="00FD11B2" w:rsidP="00FD11B2">
            <w:pPr>
              <w:jc w:val="right"/>
              <w:rPr>
                <w:rFonts w:ascii="Arial" w:hAnsi="Arial" w:cs="Arial"/>
              </w:rPr>
            </w:pPr>
            <w:r w:rsidRPr="004D451D">
              <w:rPr>
                <w:rFonts w:ascii="Arial" w:hAnsi="Arial" w:cs="Arial"/>
              </w:rPr>
              <w:t xml:space="preserve">　</w:t>
            </w:r>
          </w:p>
        </w:tc>
      </w:tr>
      <w:tr w:rsidR="004D451D" w:rsidRPr="004D451D" w:rsidTr="007474A4">
        <w:trPr>
          <w:trHeight w:val="546"/>
          <w:jc w:val="center"/>
        </w:trPr>
        <w:tc>
          <w:tcPr>
            <w:tcW w:w="534" w:type="dxa"/>
            <w:shd w:val="clear" w:color="auto" w:fill="auto"/>
            <w:vAlign w:val="center"/>
          </w:tcPr>
          <w:p w:rsidR="00FD11B2" w:rsidRPr="004D451D" w:rsidRDefault="00FD11B2" w:rsidP="0076549B">
            <w:pPr>
              <w:jc w:val="center"/>
              <w:rPr>
                <w:rFonts w:eastAsia="標楷體"/>
                <w:kern w:val="0"/>
              </w:rPr>
            </w:pPr>
            <w:r w:rsidRPr="004D451D">
              <w:rPr>
                <w:rFonts w:eastAsia="標楷體"/>
                <w:kern w:val="0"/>
              </w:rPr>
              <w:t>6</w:t>
            </w:r>
          </w:p>
        </w:tc>
        <w:tc>
          <w:tcPr>
            <w:tcW w:w="5441" w:type="dxa"/>
            <w:shd w:val="clear" w:color="auto" w:fill="auto"/>
            <w:vAlign w:val="center"/>
          </w:tcPr>
          <w:p w:rsidR="00FD11B2" w:rsidRPr="004D451D" w:rsidRDefault="00FD11B2" w:rsidP="0076549B">
            <w:pPr>
              <w:jc w:val="both"/>
              <w:rPr>
                <w:rFonts w:eastAsia="標楷體"/>
                <w:kern w:val="0"/>
              </w:rPr>
            </w:pPr>
            <w:r w:rsidRPr="004D451D">
              <w:rPr>
                <w:rFonts w:eastAsia="標楷體"/>
                <w:kern w:val="0"/>
              </w:rPr>
              <w:t>期末報表日之違約放款及債權證券</w:t>
            </w:r>
          </w:p>
        </w:tc>
        <w:tc>
          <w:tcPr>
            <w:tcW w:w="3376" w:type="dxa"/>
            <w:shd w:val="clear" w:color="auto" w:fill="auto"/>
            <w:vAlign w:val="center"/>
          </w:tcPr>
          <w:p w:rsidR="00FD11B2" w:rsidRPr="004D451D" w:rsidRDefault="00FD11B2" w:rsidP="00FC00F9">
            <w:pPr>
              <w:jc w:val="right"/>
              <w:rPr>
                <w:rFonts w:ascii="Arial" w:hAnsi="Arial" w:cs="Arial"/>
              </w:rPr>
            </w:pPr>
            <w:r w:rsidRPr="004D451D">
              <w:rPr>
                <w:rFonts w:ascii="Arial" w:hAnsi="Arial" w:cs="Arial"/>
              </w:rPr>
              <w:t>35,</w:t>
            </w:r>
            <w:r w:rsidR="00FC00F9" w:rsidRPr="004D451D">
              <w:rPr>
                <w:rFonts w:ascii="Arial" w:hAnsi="Arial" w:cs="Arial" w:hint="eastAsia"/>
              </w:rPr>
              <w:t>9</w:t>
            </w:r>
            <w:r w:rsidRPr="004D451D">
              <w:rPr>
                <w:rFonts w:ascii="Arial" w:hAnsi="Arial" w:cs="Arial"/>
              </w:rPr>
              <w:t>77</w:t>
            </w:r>
          </w:p>
        </w:tc>
      </w:tr>
      <w:tr w:rsidR="00055A99" w:rsidRPr="004D451D" w:rsidTr="009A1E6E">
        <w:trPr>
          <w:trHeight w:val="1047"/>
          <w:jc w:val="center"/>
        </w:trPr>
        <w:tc>
          <w:tcPr>
            <w:tcW w:w="9351" w:type="dxa"/>
            <w:gridSpan w:val="3"/>
            <w:shd w:val="clear" w:color="auto" w:fill="auto"/>
          </w:tcPr>
          <w:p w:rsidR="005D2B57" w:rsidRPr="004D451D" w:rsidRDefault="0076549B" w:rsidP="0076549B">
            <w:pPr>
              <w:rPr>
                <w:rFonts w:eastAsia="標楷體"/>
                <w:kern w:val="0"/>
              </w:rPr>
            </w:pPr>
            <w:r w:rsidRPr="004D451D">
              <w:rPr>
                <w:rFonts w:ascii="標楷體" w:eastAsia="標楷體" w:hAnsi="標楷體" w:hint="eastAsia"/>
              </w:rPr>
              <w:t>․</w:t>
            </w:r>
            <w:r w:rsidR="005D2B57" w:rsidRPr="004D451D">
              <w:rPr>
                <w:rFonts w:eastAsia="標楷體"/>
                <w:kern w:val="0"/>
              </w:rPr>
              <w:t>違約暴險額重大變化說明：</w:t>
            </w:r>
          </w:p>
          <w:p w:rsidR="005D2B57" w:rsidRPr="004D451D" w:rsidRDefault="0076549B" w:rsidP="0076549B">
            <w:pPr>
              <w:rPr>
                <w:rFonts w:eastAsia="標楷體"/>
                <w:kern w:val="0"/>
              </w:rPr>
            </w:pPr>
            <w:r w:rsidRPr="004D451D">
              <w:rPr>
                <w:rFonts w:ascii="標楷體" w:eastAsia="標楷體" w:hAnsi="標楷體" w:hint="eastAsia"/>
              </w:rPr>
              <w:t>․</w:t>
            </w:r>
            <w:r w:rsidR="005D2B57" w:rsidRPr="004D451D">
              <w:rPr>
                <w:rFonts w:eastAsia="標楷體"/>
                <w:kern w:val="0"/>
              </w:rPr>
              <w:t>違約與未違約放款間重大變化說明：</w:t>
            </w:r>
          </w:p>
          <w:p w:rsidR="00897C18" w:rsidRPr="004D451D" w:rsidRDefault="00897C18" w:rsidP="0076549B">
            <w:pPr>
              <w:rPr>
                <w:rFonts w:eastAsia="標楷體"/>
                <w:kern w:val="0"/>
              </w:rPr>
            </w:pPr>
            <w:r w:rsidRPr="004D451D">
              <w:rPr>
                <w:rFonts w:eastAsia="標楷體" w:hint="eastAsia"/>
                <w:kern w:val="0"/>
              </w:rPr>
              <w:t>本表包含積欠本金或利息超過清償期三個月，或雖未超過三個月，但已向主、從債務人訴追或處分擔保品者等情況。有別於資本計提</w:t>
            </w:r>
            <w:r w:rsidRPr="004D451D">
              <w:rPr>
                <w:rFonts w:eastAsia="標楷體" w:hint="eastAsia"/>
                <w:kern w:val="0"/>
              </w:rPr>
              <w:t>(</w:t>
            </w:r>
            <w:r w:rsidRPr="004D451D">
              <w:rPr>
                <w:rFonts w:eastAsia="標楷體" w:hint="eastAsia"/>
                <w:kern w:val="0"/>
              </w:rPr>
              <w:t>信用風險標準法</w:t>
            </w:r>
            <w:r w:rsidRPr="004D451D">
              <w:rPr>
                <w:rFonts w:eastAsia="標楷體" w:hint="eastAsia"/>
                <w:kern w:val="0"/>
              </w:rPr>
              <w:t>)</w:t>
            </w:r>
            <w:r w:rsidRPr="004D451D">
              <w:rPr>
                <w:rFonts w:eastAsia="標楷體" w:hint="eastAsia"/>
                <w:kern w:val="0"/>
              </w:rPr>
              <w:t>，針對逾期超過</w:t>
            </w:r>
            <w:r w:rsidRPr="004D451D">
              <w:rPr>
                <w:rFonts w:eastAsia="標楷體" w:hint="eastAsia"/>
                <w:kern w:val="0"/>
              </w:rPr>
              <w:t>90</w:t>
            </w:r>
            <w:r w:rsidRPr="004D451D">
              <w:rPr>
                <w:rFonts w:eastAsia="標楷體" w:hint="eastAsia"/>
                <w:kern w:val="0"/>
              </w:rPr>
              <w:t>天（或</w:t>
            </w:r>
            <w:r w:rsidRPr="004D451D">
              <w:rPr>
                <w:rFonts w:eastAsia="標楷體" w:hint="eastAsia"/>
                <w:kern w:val="0"/>
              </w:rPr>
              <w:t>3</w:t>
            </w:r>
            <w:r w:rsidRPr="004D451D">
              <w:rPr>
                <w:rFonts w:eastAsia="標楷體" w:hint="eastAsia"/>
                <w:kern w:val="0"/>
              </w:rPr>
              <w:t>個月）以上之債權視為違約之定義。</w:t>
            </w:r>
          </w:p>
        </w:tc>
      </w:tr>
    </w:tbl>
    <w:p w:rsidR="005D2B57" w:rsidRPr="004D451D" w:rsidRDefault="005D2B57" w:rsidP="005D2B57">
      <w:pPr>
        <w:rPr>
          <w:rFonts w:eastAsia="標楷體"/>
          <w:b/>
          <w:kern w:val="0"/>
        </w:rPr>
      </w:pPr>
    </w:p>
    <w:p w:rsidR="005D2B57" w:rsidRPr="004D451D" w:rsidRDefault="005D2B57" w:rsidP="005D2B57">
      <w:pPr>
        <w:rPr>
          <w:rFonts w:eastAsia="標楷體"/>
          <w:b/>
          <w:kern w:val="0"/>
        </w:rPr>
      </w:pPr>
      <w:r w:rsidRPr="004D451D">
        <w:rPr>
          <w:rFonts w:eastAsia="標楷體"/>
          <w:b/>
          <w:kern w:val="0"/>
        </w:rPr>
        <w:t>填表說明：</w:t>
      </w:r>
    </w:p>
    <w:p w:rsidR="005D2B57" w:rsidRPr="004D451D" w:rsidRDefault="005D2B57" w:rsidP="00EF4134">
      <w:pPr>
        <w:numPr>
          <w:ilvl w:val="0"/>
          <w:numId w:val="30"/>
        </w:numPr>
        <w:spacing w:line="240" w:lineRule="atLeast"/>
        <w:ind w:leftChars="150" w:left="720" w:hangingChars="150"/>
        <w:rPr>
          <w:rFonts w:eastAsia="標楷體"/>
        </w:rPr>
      </w:pPr>
      <w:r w:rsidRPr="004D451D">
        <w:rPr>
          <w:rFonts w:eastAsia="標楷體"/>
        </w:rPr>
        <w:t>本表更新頻率：半年。</w:t>
      </w:r>
    </w:p>
    <w:p w:rsidR="005A78C6" w:rsidRPr="004D451D" w:rsidRDefault="005A78C6" w:rsidP="00EF4134">
      <w:pPr>
        <w:numPr>
          <w:ilvl w:val="0"/>
          <w:numId w:val="30"/>
        </w:numPr>
        <w:spacing w:line="240" w:lineRule="atLeast"/>
        <w:ind w:leftChars="150" w:left="720" w:hangingChars="150"/>
        <w:rPr>
          <w:rFonts w:eastAsia="標楷體"/>
        </w:rPr>
      </w:pPr>
      <w:r w:rsidRPr="004D451D">
        <w:rPr>
          <w:rFonts w:eastAsia="標楷體"/>
        </w:rPr>
        <w:t>本表採個體基礎填報。</w:t>
      </w:r>
    </w:p>
    <w:p w:rsidR="005A78C6" w:rsidRPr="004D451D" w:rsidRDefault="005A78C6" w:rsidP="00EF4134">
      <w:pPr>
        <w:numPr>
          <w:ilvl w:val="0"/>
          <w:numId w:val="30"/>
        </w:numPr>
        <w:spacing w:line="240" w:lineRule="atLeast"/>
        <w:ind w:leftChars="150" w:left="720" w:hangingChars="150"/>
        <w:rPr>
          <w:rFonts w:eastAsia="標楷體"/>
        </w:rPr>
      </w:pPr>
      <w:r w:rsidRPr="004D451D">
        <w:rPr>
          <w:rFonts w:eastAsia="標楷體"/>
        </w:rPr>
        <w:t>違約放款及債權證券：為扣除轉銷呆帳及未考慮損失準備</w:t>
      </w:r>
      <w:r w:rsidRPr="004D451D">
        <w:rPr>
          <w:rFonts w:eastAsia="標楷體"/>
        </w:rPr>
        <w:t>/</w:t>
      </w:r>
      <w:r w:rsidRPr="004D451D">
        <w:rPr>
          <w:rFonts w:eastAsia="標楷體"/>
        </w:rPr>
        <w:t>減損之總額。</w:t>
      </w:r>
    </w:p>
    <w:p w:rsidR="005A78C6" w:rsidRPr="004D451D" w:rsidRDefault="005A78C6" w:rsidP="00EF4134">
      <w:pPr>
        <w:numPr>
          <w:ilvl w:val="0"/>
          <w:numId w:val="30"/>
        </w:numPr>
        <w:spacing w:line="240" w:lineRule="atLeast"/>
        <w:ind w:leftChars="150" w:left="720" w:hangingChars="150"/>
        <w:rPr>
          <w:rFonts w:eastAsia="標楷體"/>
        </w:rPr>
      </w:pPr>
      <w:r w:rsidRPr="004D451D">
        <w:rPr>
          <w:rFonts w:eastAsia="標楷體"/>
        </w:rPr>
        <w:t>自上期報表期間後發生違約之</w:t>
      </w:r>
      <w:r w:rsidRPr="004D451D">
        <w:rPr>
          <w:rFonts w:eastAsia="標楷體"/>
          <w:kern w:val="0"/>
        </w:rPr>
        <w:t>違約放款及債權證券</w:t>
      </w:r>
      <w:r w:rsidRPr="004D451D">
        <w:rPr>
          <w:rFonts w:eastAsia="標楷體"/>
        </w:rPr>
        <w:t>：</w:t>
      </w:r>
      <w:r w:rsidRPr="004D451D">
        <w:rPr>
          <w:rFonts w:eastAsia="標楷體"/>
          <w:kern w:val="0"/>
        </w:rPr>
        <w:t>放款及債權證券</w:t>
      </w:r>
      <w:r w:rsidRPr="004D451D">
        <w:rPr>
          <w:rFonts w:eastAsia="標楷體"/>
        </w:rPr>
        <w:t>在報表期間被註記為違約。</w:t>
      </w:r>
    </w:p>
    <w:p w:rsidR="005A78C6" w:rsidRPr="004D451D" w:rsidRDefault="005A78C6" w:rsidP="00EF4134">
      <w:pPr>
        <w:numPr>
          <w:ilvl w:val="0"/>
          <w:numId w:val="30"/>
        </w:numPr>
        <w:spacing w:line="240" w:lineRule="atLeast"/>
        <w:ind w:leftChars="150" w:left="720" w:hangingChars="150"/>
        <w:rPr>
          <w:rFonts w:eastAsia="標楷體"/>
        </w:rPr>
      </w:pPr>
      <w:r w:rsidRPr="004D451D">
        <w:rPr>
          <w:rFonts w:eastAsia="標楷體"/>
        </w:rPr>
        <w:t>回復為未違約狀態：指放款或債權證券在報表期間內回復為未違約狀態。</w:t>
      </w:r>
    </w:p>
    <w:p w:rsidR="005A78C6" w:rsidRPr="004D451D" w:rsidRDefault="005A78C6" w:rsidP="00EF4134">
      <w:pPr>
        <w:numPr>
          <w:ilvl w:val="0"/>
          <w:numId w:val="30"/>
        </w:numPr>
        <w:spacing w:line="240" w:lineRule="atLeast"/>
        <w:ind w:leftChars="150" w:left="720" w:hangingChars="150"/>
        <w:rPr>
          <w:rFonts w:eastAsia="標楷體"/>
        </w:rPr>
      </w:pPr>
      <w:r w:rsidRPr="004D451D">
        <w:rPr>
          <w:rFonts w:eastAsia="標楷體"/>
        </w:rPr>
        <w:t>轉銷呆帳金額：全部及部分轉銷呆帳金額。</w:t>
      </w:r>
    </w:p>
    <w:p w:rsidR="005A78C6" w:rsidRPr="004D451D" w:rsidRDefault="005A78C6" w:rsidP="00EF4134">
      <w:pPr>
        <w:numPr>
          <w:ilvl w:val="0"/>
          <w:numId w:val="30"/>
        </w:numPr>
        <w:spacing w:line="240" w:lineRule="atLeast"/>
        <w:ind w:leftChars="150" w:left="720" w:hangingChars="150"/>
        <w:rPr>
          <w:rFonts w:eastAsia="標楷體"/>
        </w:rPr>
      </w:pPr>
      <w:r w:rsidRPr="004D451D">
        <w:rPr>
          <w:rFonts w:eastAsia="標楷體"/>
        </w:rPr>
        <w:t>其他變動：須調節之項目，若為扣除項則以負數表示。</w:t>
      </w:r>
    </w:p>
    <w:p w:rsidR="005D2B57" w:rsidRPr="004D451D" w:rsidRDefault="005D2B57" w:rsidP="006C4FD2">
      <w:pPr>
        <w:spacing w:line="360" w:lineRule="auto"/>
        <w:ind w:left="180" w:hangingChars="75" w:hanging="180"/>
        <w:rPr>
          <w:rFonts w:eastAsia="標楷體"/>
        </w:rPr>
      </w:pPr>
    </w:p>
    <w:p w:rsidR="00272AF0" w:rsidRPr="004D451D" w:rsidRDefault="00272AF0" w:rsidP="00272AF0">
      <w:pPr>
        <w:spacing w:line="360" w:lineRule="auto"/>
        <w:ind w:left="180" w:hangingChars="75" w:hanging="180"/>
        <w:rPr>
          <w:rFonts w:eastAsia="標楷體"/>
          <w:b/>
        </w:rPr>
      </w:pPr>
      <w:r w:rsidRPr="004D451D">
        <w:rPr>
          <w:rFonts w:eastAsia="標楷體"/>
          <w:b/>
        </w:rPr>
        <w:t>本表檢核條件：</w:t>
      </w:r>
    </w:p>
    <w:p w:rsidR="005A78C6" w:rsidRPr="004D451D" w:rsidRDefault="00B64511" w:rsidP="00EF4134">
      <w:pPr>
        <w:numPr>
          <w:ilvl w:val="0"/>
          <w:numId w:val="33"/>
        </w:numPr>
        <w:ind w:leftChars="150" w:left="720" w:hangingChars="150"/>
        <w:rPr>
          <w:rFonts w:eastAsia="標楷體"/>
        </w:rPr>
      </w:pPr>
      <w:r w:rsidRPr="004D451D">
        <w:rPr>
          <w:rFonts w:eastAsia="標楷體"/>
        </w:rPr>
        <w:t>【附表十</w:t>
      </w:r>
      <w:r w:rsidR="000A03CB" w:rsidRPr="004D451D">
        <w:rPr>
          <w:rFonts w:eastAsia="標楷體" w:hint="eastAsia"/>
        </w:rPr>
        <w:t>五</w:t>
      </w:r>
      <w:r w:rsidRPr="004D451D">
        <w:rPr>
          <w:rFonts w:eastAsia="標楷體"/>
        </w:rPr>
        <w:t>】</w:t>
      </w:r>
      <w:r w:rsidRPr="004D451D">
        <w:rPr>
          <w:rFonts w:eastAsia="標楷體"/>
        </w:rPr>
        <w:t>6A=</w:t>
      </w:r>
      <w:r w:rsidRPr="004D451D">
        <w:rPr>
          <w:rFonts w:eastAsia="標楷體"/>
        </w:rPr>
        <w:t>【附表十</w:t>
      </w:r>
      <w:r w:rsidR="000A03CB" w:rsidRPr="004D451D">
        <w:rPr>
          <w:rFonts w:eastAsia="標楷體" w:hint="eastAsia"/>
        </w:rPr>
        <w:t>五</w:t>
      </w:r>
      <w:r w:rsidRPr="004D451D">
        <w:rPr>
          <w:rFonts w:eastAsia="標楷體"/>
        </w:rPr>
        <w:t>】</w:t>
      </w:r>
      <w:r w:rsidRPr="004D451D">
        <w:rPr>
          <w:rFonts w:eastAsia="標楷體"/>
        </w:rPr>
        <w:t>(1+2-3-4+5)A</w:t>
      </w:r>
    </w:p>
    <w:p w:rsidR="005B6633" w:rsidRPr="004D451D" w:rsidRDefault="005B6633" w:rsidP="00E03BBD">
      <w:pPr>
        <w:spacing w:line="360" w:lineRule="auto"/>
        <w:ind w:left="180" w:hangingChars="75" w:hanging="180"/>
        <w:rPr>
          <w:rFonts w:ascii="Arial" w:eastAsia="標楷體" w:hAnsi="Arial" w:cs="Arial"/>
        </w:rPr>
      </w:pPr>
    </w:p>
    <w:p w:rsidR="00A020BC" w:rsidRPr="004D451D" w:rsidRDefault="005A78C6" w:rsidP="00A020BC">
      <w:pPr>
        <w:widowControl/>
        <w:rPr>
          <w:rFonts w:eastAsia="標楷體"/>
          <w:sz w:val="32"/>
          <w:szCs w:val="32"/>
        </w:rPr>
      </w:pPr>
      <w:r w:rsidRPr="004D451D">
        <w:rPr>
          <w:rFonts w:ascii="Arial" w:eastAsia="標楷體" w:hAnsi="Arial" w:cs="Arial"/>
          <w:sz w:val="32"/>
          <w:szCs w:val="32"/>
        </w:rPr>
        <w:br w:type="page"/>
      </w:r>
      <w:r w:rsidR="00D243C4" w:rsidRPr="004D451D">
        <w:rPr>
          <w:rFonts w:eastAsia="標楷體"/>
          <w:b/>
          <w:sz w:val="32"/>
          <w:szCs w:val="32"/>
        </w:rPr>
        <w:t>【附表十</w:t>
      </w:r>
      <w:r w:rsidR="000A03CB" w:rsidRPr="004D451D">
        <w:rPr>
          <w:rFonts w:eastAsia="標楷體" w:hint="eastAsia"/>
          <w:b/>
          <w:sz w:val="32"/>
          <w:szCs w:val="32"/>
        </w:rPr>
        <w:t>六</w:t>
      </w:r>
      <w:r w:rsidR="00A020BC" w:rsidRPr="004D451D">
        <w:rPr>
          <w:rFonts w:eastAsia="標楷體"/>
          <w:b/>
          <w:sz w:val="32"/>
          <w:szCs w:val="32"/>
        </w:rPr>
        <w:t>】</w:t>
      </w:r>
    </w:p>
    <w:p w:rsidR="00A020BC" w:rsidRPr="004D451D" w:rsidRDefault="00A020BC" w:rsidP="00A020BC">
      <w:pPr>
        <w:jc w:val="center"/>
        <w:rPr>
          <w:rFonts w:eastAsia="標楷體"/>
          <w:b/>
          <w:bCs/>
          <w:sz w:val="32"/>
          <w:szCs w:val="32"/>
        </w:rPr>
      </w:pPr>
      <w:r w:rsidRPr="004D451D">
        <w:rPr>
          <w:rFonts w:eastAsia="標楷體"/>
          <w:b/>
          <w:bCs/>
          <w:sz w:val="32"/>
          <w:szCs w:val="32"/>
        </w:rPr>
        <w:t>信用資產品質的額外揭露</w:t>
      </w:r>
    </w:p>
    <w:p w:rsidR="00A020BC" w:rsidRPr="004D451D" w:rsidRDefault="00B52DCC" w:rsidP="005B6633">
      <w:pPr>
        <w:spacing w:line="320" w:lineRule="exact"/>
        <w:jc w:val="center"/>
        <w:rPr>
          <w:rFonts w:eastAsia="標楷體"/>
          <w:bCs/>
          <w:sz w:val="32"/>
          <w:szCs w:val="32"/>
        </w:rPr>
      </w:pPr>
      <w:r w:rsidRPr="004D451D">
        <w:rPr>
          <w:rFonts w:eastAsia="標楷體" w:hint="eastAsia"/>
          <w:bCs/>
          <w:sz w:val="32"/>
          <w:szCs w:val="32"/>
        </w:rPr>
        <w:t>10</w:t>
      </w:r>
      <w:r w:rsidR="00FD11B2" w:rsidRPr="004D451D">
        <w:rPr>
          <w:rFonts w:eastAsia="標楷體" w:hint="eastAsia"/>
          <w:bCs/>
          <w:sz w:val="32"/>
          <w:szCs w:val="32"/>
        </w:rPr>
        <w:t>7</w:t>
      </w:r>
      <w:r w:rsidR="00A020BC" w:rsidRPr="004D451D">
        <w:rPr>
          <w:rFonts w:eastAsia="標楷體"/>
          <w:bCs/>
          <w:sz w:val="32"/>
          <w:szCs w:val="32"/>
        </w:rPr>
        <w:t>年</w:t>
      </w:r>
      <w:r w:rsidR="00234673" w:rsidRPr="004D451D">
        <w:rPr>
          <w:rFonts w:eastAsia="標楷體" w:hint="eastAsia"/>
          <w:bCs/>
          <w:sz w:val="32"/>
          <w:szCs w:val="32"/>
        </w:rPr>
        <w:t>6</w:t>
      </w:r>
      <w:r w:rsidR="00234673" w:rsidRPr="004D451D">
        <w:rPr>
          <w:rFonts w:eastAsia="標楷體" w:hint="eastAsia"/>
          <w:bCs/>
          <w:sz w:val="32"/>
          <w:szCs w:val="32"/>
        </w:rPr>
        <w:t>月</w:t>
      </w:r>
      <w:r w:rsidR="00234673" w:rsidRPr="004D451D">
        <w:rPr>
          <w:rFonts w:eastAsia="標楷體" w:hint="eastAsia"/>
          <w:bCs/>
          <w:sz w:val="32"/>
          <w:szCs w:val="32"/>
        </w:rPr>
        <w:t>30</w:t>
      </w:r>
      <w:r w:rsidR="00234673" w:rsidRPr="004D451D">
        <w:rPr>
          <w:rFonts w:eastAsia="標楷體" w:hint="eastAsia"/>
          <w:bCs/>
          <w:sz w:val="32"/>
          <w:szCs w:val="32"/>
        </w:rPr>
        <w:t>日</w:t>
      </w:r>
    </w:p>
    <w:p w:rsidR="00447D0A" w:rsidRPr="004D451D" w:rsidRDefault="00447D0A" w:rsidP="00096F52">
      <w:pPr>
        <w:spacing w:line="360" w:lineRule="auto"/>
        <w:rPr>
          <w:rFonts w:eastAsia="標楷體"/>
          <w:b/>
          <w:bCs/>
          <w:sz w:val="28"/>
          <w:szCs w:val="28"/>
        </w:rPr>
      </w:pPr>
      <w:r w:rsidRPr="004D451D">
        <w:rPr>
          <w:rFonts w:eastAsia="標楷體"/>
          <w:b/>
          <w:bCs/>
          <w:sz w:val="28"/>
          <w:szCs w:val="28"/>
        </w:rPr>
        <w:t>定性揭露</w:t>
      </w:r>
    </w:p>
    <w:tbl>
      <w:tblPr>
        <w:tblW w:w="0" w:type="auto"/>
        <w:jc w:val="center"/>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
        <w:gridCol w:w="3150"/>
        <w:gridCol w:w="5922"/>
      </w:tblGrid>
      <w:tr w:rsidR="004D451D" w:rsidRPr="004D451D" w:rsidTr="00FD11B2">
        <w:trPr>
          <w:trHeight w:val="595"/>
          <w:jc w:val="center"/>
        </w:trPr>
        <w:tc>
          <w:tcPr>
            <w:tcW w:w="3599" w:type="dxa"/>
            <w:gridSpan w:val="2"/>
            <w:shd w:val="clear" w:color="auto" w:fill="auto"/>
            <w:vAlign w:val="center"/>
          </w:tcPr>
          <w:p w:rsidR="006F79E8" w:rsidRPr="004D451D" w:rsidRDefault="006F79E8" w:rsidP="00D50631">
            <w:pPr>
              <w:jc w:val="center"/>
              <w:rPr>
                <w:rFonts w:eastAsia="標楷體"/>
                <w:kern w:val="0"/>
              </w:rPr>
            </w:pPr>
            <w:r w:rsidRPr="004D451D">
              <w:rPr>
                <w:rFonts w:eastAsia="標楷體"/>
                <w:kern w:val="0"/>
              </w:rPr>
              <w:t>項目</w:t>
            </w:r>
          </w:p>
        </w:tc>
        <w:tc>
          <w:tcPr>
            <w:tcW w:w="5922" w:type="dxa"/>
            <w:shd w:val="clear" w:color="auto" w:fill="auto"/>
            <w:vAlign w:val="center"/>
          </w:tcPr>
          <w:p w:rsidR="006F79E8" w:rsidRPr="004D451D" w:rsidRDefault="006F79E8" w:rsidP="00D50631">
            <w:pPr>
              <w:jc w:val="center"/>
              <w:rPr>
                <w:rFonts w:eastAsia="標楷體"/>
                <w:kern w:val="0"/>
              </w:rPr>
            </w:pPr>
            <w:r w:rsidRPr="004D451D">
              <w:rPr>
                <w:rFonts w:eastAsia="標楷體"/>
                <w:kern w:val="0"/>
              </w:rPr>
              <w:t>內容</w:t>
            </w:r>
          </w:p>
        </w:tc>
      </w:tr>
      <w:tr w:rsidR="004D451D" w:rsidRPr="004D451D" w:rsidTr="00FD11B2">
        <w:trPr>
          <w:trHeight w:val="1492"/>
          <w:jc w:val="center"/>
        </w:trPr>
        <w:tc>
          <w:tcPr>
            <w:tcW w:w="449" w:type="dxa"/>
            <w:shd w:val="clear" w:color="auto" w:fill="auto"/>
            <w:vAlign w:val="center"/>
          </w:tcPr>
          <w:p w:rsidR="00B52DCC" w:rsidRPr="004D451D" w:rsidRDefault="00B52DCC" w:rsidP="00D50631">
            <w:pPr>
              <w:jc w:val="center"/>
              <w:rPr>
                <w:rFonts w:eastAsia="標楷體"/>
                <w:kern w:val="0"/>
              </w:rPr>
            </w:pPr>
            <w:r w:rsidRPr="004D451D">
              <w:rPr>
                <w:rFonts w:eastAsia="標楷體"/>
                <w:kern w:val="0"/>
              </w:rPr>
              <w:t>1</w:t>
            </w:r>
          </w:p>
        </w:tc>
        <w:tc>
          <w:tcPr>
            <w:tcW w:w="3150" w:type="dxa"/>
            <w:shd w:val="clear" w:color="auto" w:fill="auto"/>
            <w:vAlign w:val="center"/>
          </w:tcPr>
          <w:p w:rsidR="00B52DCC" w:rsidRPr="004D451D" w:rsidRDefault="00B52DCC" w:rsidP="001E4232">
            <w:pPr>
              <w:rPr>
                <w:rFonts w:eastAsia="標楷體"/>
                <w:kern w:val="0"/>
              </w:rPr>
            </w:pPr>
            <w:r w:rsidRPr="004D451D">
              <w:rPr>
                <w:rFonts w:eastAsia="標楷體"/>
                <w:kern w:val="0"/>
              </w:rPr>
              <w:t>會計目的對</w:t>
            </w:r>
            <w:r w:rsidRPr="004D451D">
              <w:rPr>
                <w:rFonts w:eastAsia="標楷體"/>
                <w:kern w:val="0"/>
              </w:rPr>
              <w:t>”</w:t>
            </w:r>
            <w:r w:rsidRPr="004D451D">
              <w:rPr>
                <w:rFonts w:eastAsia="標楷體"/>
                <w:kern w:val="0"/>
              </w:rPr>
              <w:t>逾期</w:t>
            </w:r>
            <w:r w:rsidRPr="004D451D">
              <w:rPr>
                <w:rFonts w:eastAsia="標楷體"/>
                <w:kern w:val="0"/>
              </w:rPr>
              <w:t>”</w:t>
            </w:r>
            <w:r w:rsidRPr="004D451D">
              <w:rPr>
                <w:rFonts w:eastAsia="標楷體"/>
                <w:kern w:val="0"/>
              </w:rPr>
              <w:t>與</w:t>
            </w:r>
            <w:r w:rsidRPr="004D451D">
              <w:rPr>
                <w:rFonts w:eastAsia="標楷體"/>
                <w:kern w:val="0"/>
              </w:rPr>
              <w:t>”</w:t>
            </w:r>
            <w:r w:rsidRPr="004D451D">
              <w:rPr>
                <w:rFonts w:eastAsia="標楷體"/>
                <w:kern w:val="0"/>
              </w:rPr>
              <w:t>減損</w:t>
            </w:r>
            <w:r w:rsidRPr="004D451D">
              <w:rPr>
                <w:rFonts w:eastAsia="標楷體"/>
                <w:kern w:val="0"/>
              </w:rPr>
              <w:t>”</w:t>
            </w:r>
            <w:r w:rsidRPr="004D451D">
              <w:rPr>
                <w:rFonts w:eastAsia="標楷體"/>
                <w:kern w:val="0"/>
              </w:rPr>
              <w:t>暴險的定義與範圍，若有基於會計目的及資本計提規定對逾期與違約定義之差異亦請說明</w:t>
            </w:r>
          </w:p>
        </w:tc>
        <w:tc>
          <w:tcPr>
            <w:tcW w:w="5922" w:type="dxa"/>
            <w:shd w:val="clear" w:color="auto" w:fill="auto"/>
            <w:vAlign w:val="center"/>
          </w:tcPr>
          <w:p w:rsidR="00B52DCC" w:rsidRPr="004D451D" w:rsidRDefault="00B52DCC" w:rsidP="007474A4">
            <w:pPr>
              <w:spacing w:line="280" w:lineRule="exact"/>
              <w:ind w:left="360" w:hangingChars="150" w:hanging="360"/>
              <w:rPr>
                <w:rFonts w:eastAsia="標楷體"/>
                <w:kern w:val="0"/>
              </w:rPr>
            </w:pPr>
            <w:r w:rsidRPr="004D451D">
              <w:rPr>
                <w:rFonts w:eastAsia="標楷體" w:hint="eastAsia"/>
                <w:kern w:val="0"/>
              </w:rPr>
              <w:t>1</w:t>
            </w:r>
            <w:r w:rsidRPr="004D451D">
              <w:rPr>
                <w:rFonts w:eastAsia="標楷體" w:hint="eastAsia"/>
                <w:kern w:val="0"/>
              </w:rPr>
              <w:t>、</w:t>
            </w:r>
            <w:r w:rsidR="00FD11B2" w:rsidRPr="004D451D">
              <w:rPr>
                <w:rFonts w:eastAsia="標楷體" w:hint="eastAsia"/>
                <w:kern w:val="0"/>
              </w:rPr>
              <w:t>逾期暴險的定義：依照「銀行資產評估損失準備提列及逾期放款催收款呆帳處理辦法」之規定，區分為應予注意放款及逾期放款計算備抵提列金額，作為基礎的暴顯金額。</w:t>
            </w:r>
          </w:p>
          <w:p w:rsidR="00B52DCC" w:rsidRPr="004D451D" w:rsidRDefault="00B52DCC" w:rsidP="007474A4">
            <w:pPr>
              <w:spacing w:line="280" w:lineRule="exact"/>
              <w:ind w:left="360" w:hangingChars="150" w:hanging="360"/>
              <w:rPr>
                <w:rFonts w:eastAsia="標楷體"/>
                <w:kern w:val="0"/>
              </w:rPr>
            </w:pPr>
            <w:r w:rsidRPr="004D451D">
              <w:rPr>
                <w:rFonts w:eastAsia="標楷體" w:hint="eastAsia"/>
                <w:kern w:val="0"/>
              </w:rPr>
              <w:t>2</w:t>
            </w:r>
            <w:r w:rsidRPr="004D451D">
              <w:rPr>
                <w:rFonts w:eastAsia="標楷體" w:hint="eastAsia"/>
                <w:kern w:val="0"/>
              </w:rPr>
              <w:t>、</w:t>
            </w:r>
            <w:r w:rsidR="00FD11B2" w:rsidRPr="004D451D">
              <w:rPr>
                <w:rFonts w:eastAsia="標楷體" w:hint="eastAsia"/>
                <w:kern w:val="0"/>
              </w:rPr>
              <w:t>於每一報導日評估各類授信資產預期存續期間發生違約之風險之變動，以判定自原始認列後信用風險是否已顯著增加，若各類授信資產經信用風險指標判定風險低，即可視為自原始認列後信用風險並未顯著增加之假設。</w:t>
            </w:r>
          </w:p>
        </w:tc>
      </w:tr>
      <w:tr w:rsidR="004D451D" w:rsidRPr="004D451D" w:rsidTr="00FD11B2">
        <w:trPr>
          <w:trHeight w:val="848"/>
          <w:jc w:val="center"/>
        </w:trPr>
        <w:tc>
          <w:tcPr>
            <w:tcW w:w="449" w:type="dxa"/>
            <w:shd w:val="clear" w:color="auto" w:fill="auto"/>
            <w:vAlign w:val="center"/>
          </w:tcPr>
          <w:p w:rsidR="00B52DCC" w:rsidRPr="004D451D" w:rsidRDefault="00B52DCC" w:rsidP="00D50631">
            <w:pPr>
              <w:jc w:val="center"/>
              <w:rPr>
                <w:rFonts w:eastAsia="標楷體"/>
                <w:kern w:val="0"/>
              </w:rPr>
            </w:pPr>
            <w:r w:rsidRPr="004D451D">
              <w:rPr>
                <w:rFonts w:eastAsia="標楷體"/>
                <w:kern w:val="0"/>
              </w:rPr>
              <w:t>2</w:t>
            </w:r>
          </w:p>
        </w:tc>
        <w:tc>
          <w:tcPr>
            <w:tcW w:w="3150" w:type="dxa"/>
            <w:shd w:val="clear" w:color="auto" w:fill="auto"/>
            <w:vAlign w:val="center"/>
          </w:tcPr>
          <w:p w:rsidR="00B52DCC" w:rsidRPr="004D451D" w:rsidRDefault="00B52DCC" w:rsidP="001E4232">
            <w:pPr>
              <w:rPr>
                <w:rFonts w:eastAsia="標楷體"/>
                <w:kern w:val="0"/>
              </w:rPr>
            </w:pPr>
            <w:r w:rsidRPr="004D451D">
              <w:rPr>
                <w:rFonts w:eastAsia="標楷體"/>
                <w:kern w:val="0"/>
              </w:rPr>
              <w:t>逾期超過</w:t>
            </w:r>
            <w:r w:rsidRPr="004D451D">
              <w:rPr>
                <w:rFonts w:eastAsia="標楷體"/>
                <w:kern w:val="0"/>
              </w:rPr>
              <w:t>90</w:t>
            </w:r>
            <w:r w:rsidRPr="004D451D">
              <w:rPr>
                <w:rFonts w:eastAsia="標楷體"/>
                <w:kern w:val="0"/>
              </w:rPr>
              <w:t>天的暴險而不視為減損之理由</w:t>
            </w:r>
          </w:p>
        </w:tc>
        <w:tc>
          <w:tcPr>
            <w:tcW w:w="5922" w:type="dxa"/>
            <w:shd w:val="clear" w:color="auto" w:fill="auto"/>
            <w:vAlign w:val="center"/>
          </w:tcPr>
          <w:p w:rsidR="00B52DCC" w:rsidRPr="004D451D" w:rsidRDefault="00B52DCC" w:rsidP="007474A4">
            <w:pPr>
              <w:spacing w:line="280" w:lineRule="exact"/>
              <w:rPr>
                <w:rFonts w:eastAsia="標楷體"/>
                <w:kern w:val="0"/>
              </w:rPr>
            </w:pPr>
            <w:r w:rsidRPr="004D451D">
              <w:rPr>
                <w:rFonts w:eastAsia="標楷體" w:hint="eastAsia"/>
                <w:kern w:val="0"/>
              </w:rPr>
              <w:t>對於逾期超過</w:t>
            </w:r>
            <w:r w:rsidRPr="004D451D">
              <w:rPr>
                <w:rFonts w:eastAsia="標楷體" w:hint="eastAsia"/>
                <w:kern w:val="0"/>
              </w:rPr>
              <w:t>90</w:t>
            </w:r>
            <w:r w:rsidRPr="004D451D">
              <w:rPr>
                <w:rFonts w:eastAsia="標楷體" w:hint="eastAsia"/>
                <w:kern w:val="0"/>
              </w:rPr>
              <w:t>天的案件，皆會計算減損。</w:t>
            </w:r>
          </w:p>
        </w:tc>
      </w:tr>
      <w:tr w:rsidR="004D451D" w:rsidRPr="004D451D" w:rsidTr="00FD11B2">
        <w:trPr>
          <w:trHeight w:val="548"/>
          <w:jc w:val="center"/>
        </w:trPr>
        <w:tc>
          <w:tcPr>
            <w:tcW w:w="449" w:type="dxa"/>
            <w:tcBorders>
              <w:bottom w:val="single" w:sz="4" w:space="0" w:color="auto"/>
            </w:tcBorders>
            <w:shd w:val="clear" w:color="auto" w:fill="auto"/>
            <w:vAlign w:val="center"/>
          </w:tcPr>
          <w:p w:rsidR="00B52DCC" w:rsidRPr="004D451D" w:rsidRDefault="00B52DCC" w:rsidP="00D50631">
            <w:pPr>
              <w:jc w:val="center"/>
              <w:rPr>
                <w:rFonts w:eastAsia="標楷體"/>
                <w:kern w:val="0"/>
              </w:rPr>
            </w:pPr>
            <w:r w:rsidRPr="004D451D">
              <w:rPr>
                <w:rFonts w:eastAsia="標楷體"/>
                <w:kern w:val="0"/>
              </w:rPr>
              <w:t>3</w:t>
            </w:r>
          </w:p>
        </w:tc>
        <w:tc>
          <w:tcPr>
            <w:tcW w:w="3150" w:type="dxa"/>
            <w:tcBorders>
              <w:bottom w:val="single" w:sz="4" w:space="0" w:color="auto"/>
            </w:tcBorders>
            <w:shd w:val="clear" w:color="auto" w:fill="auto"/>
            <w:vAlign w:val="center"/>
          </w:tcPr>
          <w:p w:rsidR="00B52DCC" w:rsidRPr="004D451D" w:rsidRDefault="00B52DCC" w:rsidP="001E4232">
            <w:pPr>
              <w:rPr>
                <w:rFonts w:eastAsia="標楷體"/>
                <w:kern w:val="0"/>
              </w:rPr>
            </w:pPr>
            <w:r w:rsidRPr="004D451D">
              <w:rPr>
                <w:rFonts w:eastAsia="標楷體"/>
                <w:kern w:val="0"/>
              </w:rPr>
              <w:t>敘述決定減損之方法</w:t>
            </w:r>
          </w:p>
        </w:tc>
        <w:tc>
          <w:tcPr>
            <w:tcW w:w="5922" w:type="dxa"/>
            <w:tcBorders>
              <w:bottom w:val="single" w:sz="4" w:space="0" w:color="auto"/>
            </w:tcBorders>
            <w:shd w:val="clear" w:color="auto" w:fill="auto"/>
            <w:vAlign w:val="center"/>
          </w:tcPr>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考量顯示自原始認列後信用風險顯著增加合理且可佐證之資訊</w:t>
            </w:r>
            <w:r w:rsidRPr="004D451D">
              <w:rPr>
                <w:rFonts w:ascii="Arial" w:eastAsia="標楷體" w:hAnsi="標楷體" w:cs="Arial" w:hint="eastAsia"/>
              </w:rPr>
              <w:t>(</w:t>
            </w:r>
            <w:r w:rsidRPr="004D451D">
              <w:rPr>
                <w:rFonts w:ascii="Arial" w:eastAsia="標楷體" w:hAnsi="標楷體" w:cs="Arial" w:hint="eastAsia"/>
              </w:rPr>
              <w:t>包括前瞻性資訊</w:t>
            </w:r>
            <w:r w:rsidRPr="004D451D">
              <w:rPr>
                <w:rFonts w:ascii="Arial" w:eastAsia="標楷體" w:hAnsi="標楷體" w:cs="Arial" w:hint="eastAsia"/>
              </w:rPr>
              <w:t>)</w:t>
            </w:r>
            <w:r w:rsidRPr="004D451D">
              <w:rPr>
                <w:rFonts w:ascii="Arial" w:eastAsia="標楷體" w:hAnsi="標楷體" w:cs="Arial" w:hint="eastAsia"/>
              </w:rPr>
              <w:t>，主要考量指標包括：</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量化指標：</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合約逾期狀態之資訊，即於報導日，逾期支付合約款項超過</w:t>
            </w:r>
            <w:r w:rsidRPr="004D451D">
              <w:rPr>
                <w:rFonts w:ascii="Arial" w:eastAsia="標楷體" w:hAnsi="標楷體" w:cs="Arial" w:hint="eastAsia"/>
              </w:rPr>
              <w:t>30</w:t>
            </w:r>
            <w:r w:rsidRPr="004D451D">
              <w:rPr>
                <w:rFonts w:ascii="Arial" w:eastAsia="標楷體" w:hAnsi="標楷體" w:cs="Arial" w:hint="eastAsia"/>
              </w:rPr>
              <w:t>天，則判定自原始認列後信用風險已顯著增加。</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質化指標：</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於報導日觀察下列資訊，授信戶若符合下述條件，則判定自原始認列後信用風險已顯著增加：</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(1)</w:t>
            </w:r>
            <w:r w:rsidRPr="004D451D">
              <w:rPr>
                <w:rFonts w:ascii="Arial" w:eastAsia="標楷體" w:hAnsi="標楷體" w:cs="Arial" w:hint="eastAsia"/>
              </w:rPr>
              <w:t>、授信戶經本行通報退票紀錄。</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(2)</w:t>
            </w:r>
            <w:r w:rsidRPr="004D451D">
              <w:rPr>
                <w:rFonts w:ascii="Arial" w:eastAsia="標楷體" w:hAnsi="標楷體" w:cs="Arial" w:hint="eastAsia"/>
              </w:rPr>
              <w:t>、授信戶經票據交換所公告拒絕往來。</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(3)</w:t>
            </w:r>
            <w:r w:rsidRPr="004D451D">
              <w:rPr>
                <w:rFonts w:ascii="Arial" w:eastAsia="標楷體" w:hAnsi="標楷體" w:cs="Arial" w:hint="eastAsia"/>
              </w:rPr>
              <w:t>、授信戶於本行之擔保品遭他行</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強制執行者。</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(4)</w:t>
            </w:r>
            <w:r w:rsidRPr="004D451D">
              <w:rPr>
                <w:rFonts w:ascii="Arial" w:eastAsia="標楷體" w:hAnsi="標楷體" w:cs="Arial" w:hint="eastAsia"/>
              </w:rPr>
              <w:t>、辦理覆審或追蹤考核等貸後管理程序時知悉授信戶之債務經其他金融機構列為催收款或轉銷呆帳者。</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(5)</w:t>
            </w:r>
            <w:r w:rsidRPr="004D451D">
              <w:rPr>
                <w:rFonts w:ascii="Arial" w:eastAsia="標楷體" w:hAnsi="標楷體" w:cs="Arial" w:hint="eastAsia"/>
              </w:rPr>
              <w:t>、授信戶聲請重整者。</w:t>
            </w:r>
          </w:p>
          <w:p w:rsidR="00FD11B2" w:rsidRPr="004D451D" w:rsidRDefault="00FD11B2" w:rsidP="00FD11B2">
            <w:pPr>
              <w:spacing w:line="280" w:lineRule="exact"/>
              <w:rPr>
                <w:rFonts w:ascii="Arial" w:eastAsia="標楷體" w:hAnsi="標楷體" w:cs="Arial"/>
              </w:rPr>
            </w:pPr>
            <w:r w:rsidRPr="004D451D">
              <w:rPr>
                <w:rFonts w:ascii="Arial" w:eastAsia="標楷體" w:hAnsi="標楷體" w:cs="Arial" w:hint="eastAsia"/>
              </w:rPr>
              <w:t>(6)</w:t>
            </w:r>
            <w:r w:rsidRPr="004D451D">
              <w:rPr>
                <w:rFonts w:ascii="Arial" w:eastAsia="標楷體" w:hAnsi="標楷體" w:cs="Arial" w:hint="eastAsia"/>
              </w:rPr>
              <w:t>、辦理覆審或追蹤考核等貸後管理程序時知悉授信戶之財務報表經會計師出具對受查者之繼續經營假受存有重大疑慮之意見。</w:t>
            </w:r>
          </w:p>
          <w:p w:rsidR="00B52DCC" w:rsidRPr="004D451D" w:rsidRDefault="00FD11B2" w:rsidP="00FD11B2">
            <w:pPr>
              <w:spacing w:line="280" w:lineRule="exact"/>
              <w:rPr>
                <w:rFonts w:eastAsia="標楷體"/>
                <w:kern w:val="0"/>
              </w:rPr>
            </w:pPr>
            <w:r w:rsidRPr="004D451D">
              <w:rPr>
                <w:rFonts w:ascii="Arial" w:eastAsia="標楷體" w:hAnsi="標楷體" w:cs="Arial" w:hint="eastAsia"/>
              </w:rPr>
              <w:t>(7)</w:t>
            </w:r>
            <w:r w:rsidRPr="004D451D">
              <w:rPr>
                <w:rFonts w:ascii="Arial" w:eastAsia="標楷體" w:hAnsi="標楷體" w:cs="Arial" w:hint="eastAsia"/>
              </w:rPr>
              <w:t>、其他知悉授信戶有債信不良情形者。</w:t>
            </w:r>
          </w:p>
        </w:tc>
      </w:tr>
      <w:tr w:rsidR="004D451D" w:rsidRPr="004D451D" w:rsidTr="00FD11B2">
        <w:trPr>
          <w:trHeight w:val="838"/>
          <w:jc w:val="center"/>
        </w:trPr>
        <w:tc>
          <w:tcPr>
            <w:tcW w:w="449" w:type="dxa"/>
            <w:shd w:val="clear" w:color="auto" w:fill="auto"/>
            <w:vAlign w:val="center"/>
          </w:tcPr>
          <w:p w:rsidR="006E77DE" w:rsidRPr="004D451D" w:rsidRDefault="006E77DE" w:rsidP="00D50631">
            <w:pPr>
              <w:jc w:val="center"/>
              <w:rPr>
                <w:rFonts w:eastAsia="標楷體"/>
                <w:kern w:val="0"/>
              </w:rPr>
            </w:pPr>
            <w:r w:rsidRPr="004D451D">
              <w:rPr>
                <w:rFonts w:eastAsia="標楷體"/>
                <w:kern w:val="0"/>
              </w:rPr>
              <w:t>4</w:t>
            </w:r>
          </w:p>
        </w:tc>
        <w:tc>
          <w:tcPr>
            <w:tcW w:w="3150" w:type="dxa"/>
            <w:shd w:val="clear" w:color="auto" w:fill="auto"/>
            <w:vAlign w:val="center"/>
          </w:tcPr>
          <w:p w:rsidR="006E77DE" w:rsidRPr="004D451D" w:rsidRDefault="00A8794D" w:rsidP="001E4232">
            <w:pPr>
              <w:rPr>
                <w:rFonts w:eastAsia="標楷體"/>
                <w:kern w:val="0"/>
              </w:rPr>
            </w:pPr>
            <w:r w:rsidRPr="004D451D">
              <w:rPr>
                <w:rFonts w:eastAsia="標楷體"/>
                <w:kern w:val="0"/>
              </w:rPr>
              <w:t>銀行對其重整</w:t>
            </w:r>
            <w:r w:rsidR="00447D0A" w:rsidRPr="004D451D">
              <w:rPr>
                <w:rFonts w:eastAsia="標楷體"/>
                <w:kern w:val="0"/>
              </w:rPr>
              <w:t>暴險</w:t>
            </w:r>
            <w:r w:rsidR="003D2F58" w:rsidRPr="004D451D">
              <w:rPr>
                <w:rFonts w:eastAsia="標楷體"/>
                <w:kern w:val="0"/>
              </w:rPr>
              <w:t>(restructured exposures)</w:t>
            </w:r>
            <w:r w:rsidRPr="004D451D">
              <w:rPr>
                <w:rFonts w:eastAsia="標楷體"/>
                <w:kern w:val="0"/>
              </w:rPr>
              <w:t>之定義</w:t>
            </w:r>
          </w:p>
        </w:tc>
        <w:tc>
          <w:tcPr>
            <w:tcW w:w="5922" w:type="dxa"/>
            <w:shd w:val="clear" w:color="auto" w:fill="A6A6A6"/>
            <w:vAlign w:val="center"/>
          </w:tcPr>
          <w:p w:rsidR="006E77DE" w:rsidRPr="004D451D" w:rsidRDefault="006E77DE" w:rsidP="00D50631">
            <w:pPr>
              <w:jc w:val="center"/>
              <w:rPr>
                <w:rFonts w:eastAsia="標楷體"/>
                <w:kern w:val="0"/>
              </w:rPr>
            </w:pPr>
          </w:p>
        </w:tc>
      </w:tr>
    </w:tbl>
    <w:p w:rsidR="00096F52" w:rsidRPr="004D451D" w:rsidRDefault="00096F52" w:rsidP="00A020BC">
      <w:pPr>
        <w:rPr>
          <w:rFonts w:eastAsia="標楷體"/>
          <w:kern w:val="0"/>
          <w:sz w:val="28"/>
          <w:szCs w:val="28"/>
        </w:rPr>
      </w:pPr>
    </w:p>
    <w:p w:rsidR="00447D0A" w:rsidRPr="004D451D" w:rsidRDefault="00447D0A" w:rsidP="00A020BC">
      <w:pPr>
        <w:rPr>
          <w:rFonts w:eastAsia="標楷體"/>
          <w:b/>
          <w:kern w:val="0"/>
          <w:sz w:val="28"/>
          <w:szCs w:val="28"/>
        </w:rPr>
      </w:pPr>
      <w:r w:rsidRPr="004D451D">
        <w:rPr>
          <w:rFonts w:eastAsia="標楷體"/>
          <w:b/>
          <w:kern w:val="0"/>
          <w:sz w:val="28"/>
          <w:szCs w:val="28"/>
        </w:rPr>
        <w:t>定量</w:t>
      </w:r>
      <w:r w:rsidR="008D72A2" w:rsidRPr="004D451D">
        <w:rPr>
          <w:rFonts w:eastAsia="標楷體"/>
          <w:b/>
          <w:kern w:val="0"/>
          <w:sz w:val="28"/>
          <w:szCs w:val="28"/>
        </w:rPr>
        <w:t>揭露</w:t>
      </w:r>
    </w:p>
    <w:p w:rsidR="00B52DCC" w:rsidRPr="004D451D" w:rsidRDefault="00B52DCC" w:rsidP="00B52DCC">
      <w:pPr>
        <w:pStyle w:val="Default"/>
        <w:rPr>
          <w:color w:val="auto"/>
        </w:rPr>
      </w:pPr>
      <w:r w:rsidRPr="004D451D">
        <w:rPr>
          <w:rFonts w:hint="eastAsia"/>
          <w:color w:val="auto"/>
        </w:rPr>
        <w:t>1.</w:t>
      </w:r>
      <w:r w:rsidR="00A8794D" w:rsidRPr="004D451D">
        <w:rPr>
          <w:color w:val="auto"/>
        </w:rPr>
        <w:t>剩餘期間之暴險分析</w:t>
      </w:r>
      <w:r w:rsidR="004B6D64" w:rsidRPr="004D451D">
        <w:rPr>
          <w:color w:val="auto"/>
        </w:rPr>
        <w:t>表</w:t>
      </w:r>
      <w:r w:rsidR="00096F52" w:rsidRPr="004D451D">
        <w:rPr>
          <w:rFonts w:hint="eastAsia"/>
          <w:color w:val="auto"/>
        </w:rPr>
        <w:t>。</w:t>
      </w:r>
      <w:r w:rsidRPr="004D451D">
        <w:rPr>
          <w:rFonts w:hint="eastAsia"/>
          <w:color w:val="auto"/>
        </w:rPr>
        <w:t xml:space="preserve"> </w:t>
      </w:r>
    </w:p>
    <w:tbl>
      <w:tblPr>
        <w:tblW w:w="9598" w:type="dxa"/>
        <w:tblInd w:w="13" w:type="dxa"/>
        <w:tblCellMar>
          <w:left w:w="28" w:type="dxa"/>
          <w:right w:w="28" w:type="dxa"/>
        </w:tblCellMar>
        <w:tblLook w:val="04A0" w:firstRow="1" w:lastRow="0" w:firstColumn="1" w:lastColumn="0" w:noHBand="0" w:noVBand="1"/>
      </w:tblPr>
      <w:tblGrid>
        <w:gridCol w:w="5204"/>
        <w:gridCol w:w="4394"/>
      </w:tblGrid>
      <w:tr w:rsidR="004D451D" w:rsidRPr="004D451D" w:rsidTr="007474A4">
        <w:trPr>
          <w:trHeight w:val="357"/>
        </w:trPr>
        <w:tc>
          <w:tcPr>
            <w:tcW w:w="5204" w:type="dxa"/>
            <w:tcBorders>
              <w:top w:val="nil"/>
              <w:left w:val="nil"/>
              <w:bottom w:val="nil"/>
              <w:right w:val="nil"/>
            </w:tcBorders>
            <w:shd w:val="clear" w:color="auto" w:fill="auto"/>
            <w:noWrap/>
            <w:vAlign w:val="center"/>
            <w:hideMark/>
          </w:tcPr>
          <w:p w:rsidR="00B52DCC" w:rsidRPr="004D451D" w:rsidRDefault="00B52DCC" w:rsidP="00FD11B2">
            <w:pPr>
              <w:widowControl/>
              <w:rPr>
                <w:rFonts w:ascii="標楷體" w:eastAsia="標楷體" w:hAnsi="標楷體" w:cs="新細明體"/>
                <w:kern w:val="0"/>
              </w:rPr>
            </w:pPr>
            <w:r w:rsidRPr="004D451D">
              <w:rPr>
                <w:rFonts w:ascii="標楷體" w:eastAsia="標楷體" w:hAnsi="標楷體" w:cs="新細明體" w:hint="eastAsia"/>
                <w:kern w:val="0"/>
              </w:rPr>
              <w:t>基準日:10</w:t>
            </w:r>
            <w:r w:rsidR="00FD11B2" w:rsidRPr="004D451D">
              <w:rPr>
                <w:rFonts w:ascii="標楷體" w:eastAsia="標楷體" w:hAnsi="標楷體" w:cs="新細明體" w:hint="eastAsia"/>
                <w:kern w:val="0"/>
              </w:rPr>
              <w:t>7</w:t>
            </w:r>
            <w:r w:rsidRPr="004D451D">
              <w:rPr>
                <w:rFonts w:ascii="標楷體" w:eastAsia="標楷體" w:hAnsi="標楷體" w:cs="新細明體" w:hint="eastAsia"/>
                <w:kern w:val="0"/>
              </w:rPr>
              <w:t>.</w:t>
            </w:r>
            <w:r w:rsidR="00FD11B2" w:rsidRPr="004D451D">
              <w:rPr>
                <w:rFonts w:ascii="標楷體" w:eastAsia="標楷體" w:hAnsi="標楷體" w:cs="新細明體" w:hint="eastAsia"/>
                <w:kern w:val="0"/>
              </w:rPr>
              <w:t>06</w:t>
            </w:r>
            <w:r w:rsidRPr="004D451D">
              <w:rPr>
                <w:rFonts w:ascii="標楷體" w:eastAsia="標楷體" w:hAnsi="標楷體" w:cs="新細明體" w:hint="eastAsia"/>
                <w:kern w:val="0"/>
              </w:rPr>
              <w:t>.3</w:t>
            </w:r>
            <w:r w:rsidR="00FD11B2" w:rsidRPr="004D451D">
              <w:rPr>
                <w:rFonts w:ascii="標楷體" w:eastAsia="標楷體" w:hAnsi="標楷體" w:cs="新細明體" w:hint="eastAsia"/>
                <w:kern w:val="0"/>
              </w:rPr>
              <w:t>0</w:t>
            </w:r>
          </w:p>
        </w:tc>
        <w:tc>
          <w:tcPr>
            <w:tcW w:w="4394" w:type="dxa"/>
            <w:tcBorders>
              <w:top w:val="nil"/>
              <w:left w:val="nil"/>
              <w:bottom w:val="nil"/>
              <w:right w:val="nil"/>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sz w:val="20"/>
                <w:szCs w:val="20"/>
              </w:rPr>
            </w:pPr>
            <w:r w:rsidRPr="004D451D">
              <w:rPr>
                <w:rFonts w:ascii="標楷體" w:eastAsia="標楷體" w:hAnsi="標楷體" w:cs="新細明體" w:hint="eastAsia"/>
                <w:kern w:val="0"/>
                <w:sz w:val="20"/>
                <w:szCs w:val="20"/>
              </w:rPr>
              <w:t>單位 : NT 仟元</w:t>
            </w:r>
          </w:p>
        </w:tc>
      </w:tr>
      <w:tr w:rsidR="004D451D" w:rsidRPr="004D451D" w:rsidTr="007474A4">
        <w:trPr>
          <w:trHeight w:val="357"/>
        </w:trPr>
        <w:tc>
          <w:tcPr>
            <w:tcW w:w="5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剩餘期間</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台幣放款暴險額</w:t>
            </w:r>
          </w:p>
        </w:tc>
      </w:tr>
      <w:tr w:rsidR="004D451D" w:rsidRPr="004D451D"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0-10天</w:t>
            </w:r>
          </w:p>
        </w:tc>
        <w:tc>
          <w:tcPr>
            <w:tcW w:w="4394" w:type="dxa"/>
            <w:tcBorders>
              <w:top w:val="nil"/>
              <w:left w:val="nil"/>
              <w:bottom w:val="single" w:sz="4"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513,883</w:t>
            </w:r>
          </w:p>
        </w:tc>
      </w:tr>
      <w:tr w:rsidR="004D451D" w:rsidRPr="004D451D"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11-30天</w:t>
            </w:r>
          </w:p>
        </w:tc>
        <w:tc>
          <w:tcPr>
            <w:tcW w:w="4394" w:type="dxa"/>
            <w:tcBorders>
              <w:top w:val="nil"/>
              <w:left w:val="nil"/>
              <w:bottom w:val="single" w:sz="4"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3,799,467</w:t>
            </w:r>
          </w:p>
        </w:tc>
      </w:tr>
      <w:tr w:rsidR="004D451D" w:rsidRPr="004D451D"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31-90天</w:t>
            </w:r>
          </w:p>
        </w:tc>
        <w:tc>
          <w:tcPr>
            <w:tcW w:w="4394" w:type="dxa"/>
            <w:tcBorders>
              <w:top w:val="nil"/>
              <w:left w:val="nil"/>
              <w:bottom w:val="single" w:sz="4"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4,526,576</w:t>
            </w:r>
          </w:p>
        </w:tc>
      </w:tr>
      <w:tr w:rsidR="004D451D" w:rsidRPr="004D451D"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91-180天 D</w:t>
            </w:r>
          </w:p>
        </w:tc>
        <w:tc>
          <w:tcPr>
            <w:tcW w:w="4394" w:type="dxa"/>
            <w:tcBorders>
              <w:top w:val="nil"/>
              <w:left w:val="nil"/>
              <w:bottom w:val="single" w:sz="4"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18,096,280</w:t>
            </w:r>
          </w:p>
        </w:tc>
      </w:tr>
      <w:tr w:rsidR="004D451D" w:rsidRPr="004D451D" w:rsidTr="007474A4">
        <w:trPr>
          <w:trHeight w:val="357"/>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181天-1年</w:t>
            </w:r>
          </w:p>
        </w:tc>
        <w:tc>
          <w:tcPr>
            <w:tcW w:w="4394" w:type="dxa"/>
            <w:tcBorders>
              <w:top w:val="nil"/>
              <w:left w:val="nil"/>
              <w:bottom w:val="single" w:sz="4"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34,579,027</w:t>
            </w:r>
          </w:p>
        </w:tc>
      </w:tr>
      <w:tr w:rsidR="004D451D" w:rsidRPr="004D451D" w:rsidTr="007474A4">
        <w:trPr>
          <w:trHeight w:val="370"/>
        </w:trPr>
        <w:tc>
          <w:tcPr>
            <w:tcW w:w="5204" w:type="dxa"/>
            <w:tcBorders>
              <w:top w:val="nil"/>
              <w:left w:val="single" w:sz="4" w:space="0" w:color="auto"/>
              <w:bottom w:val="double" w:sz="6"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超過1年</w:t>
            </w:r>
          </w:p>
        </w:tc>
        <w:tc>
          <w:tcPr>
            <w:tcW w:w="4394" w:type="dxa"/>
            <w:tcBorders>
              <w:top w:val="nil"/>
              <w:left w:val="nil"/>
              <w:bottom w:val="double" w:sz="6"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85,845,927</w:t>
            </w:r>
          </w:p>
        </w:tc>
      </w:tr>
      <w:tr w:rsidR="00385AB3" w:rsidRPr="004D451D" w:rsidTr="007474A4">
        <w:trPr>
          <w:trHeight w:val="370"/>
        </w:trPr>
        <w:tc>
          <w:tcPr>
            <w:tcW w:w="5204" w:type="dxa"/>
            <w:tcBorders>
              <w:top w:val="nil"/>
              <w:left w:val="single" w:sz="4" w:space="0" w:color="auto"/>
              <w:bottom w:val="single" w:sz="4" w:space="0" w:color="auto"/>
              <w:right w:val="single" w:sz="4" w:space="0" w:color="auto"/>
            </w:tcBorders>
            <w:shd w:val="clear" w:color="auto" w:fill="auto"/>
            <w:noWrap/>
            <w:vAlign w:val="center"/>
            <w:hideMark/>
          </w:tcPr>
          <w:p w:rsidR="00385AB3" w:rsidRPr="004D451D" w:rsidRDefault="00385AB3"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合計</w:t>
            </w:r>
          </w:p>
        </w:tc>
        <w:tc>
          <w:tcPr>
            <w:tcW w:w="4394" w:type="dxa"/>
            <w:tcBorders>
              <w:top w:val="nil"/>
              <w:left w:val="nil"/>
              <w:bottom w:val="single" w:sz="4" w:space="0" w:color="auto"/>
              <w:right w:val="single" w:sz="4" w:space="0" w:color="auto"/>
            </w:tcBorders>
            <w:shd w:val="clear" w:color="auto" w:fill="auto"/>
            <w:noWrap/>
            <w:vAlign w:val="center"/>
            <w:hideMark/>
          </w:tcPr>
          <w:p w:rsidR="00385AB3" w:rsidRPr="004D451D" w:rsidRDefault="00385AB3">
            <w:pPr>
              <w:jc w:val="center"/>
              <w:rPr>
                <w:rFonts w:ascii="Arial" w:hAnsi="Arial" w:cs="Arial"/>
              </w:rPr>
            </w:pPr>
            <w:r w:rsidRPr="004D451D">
              <w:rPr>
                <w:rFonts w:ascii="Arial" w:hAnsi="Arial" w:cs="Arial" w:hint="eastAsia"/>
              </w:rPr>
              <w:t>147,361,161</w:t>
            </w:r>
          </w:p>
        </w:tc>
      </w:tr>
    </w:tbl>
    <w:p w:rsidR="00B52DCC" w:rsidRPr="004D451D" w:rsidRDefault="00B52DCC" w:rsidP="00B52DCC">
      <w:pPr>
        <w:rPr>
          <w:rFonts w:eastAsia="標楷體"/>
          <w:b/>
          <w:kern w:val="0"/>
          <w:sz w:val="28"/>
          <w:szCs w:val="28"/>
        </w:rPr>
      </w:pPr>
    </w:p>
    <w:tbl>
      <w:tblPr>
        <w:tblW w:w="9665" w:type="dxa"/>
        <w:tblInd w:w="13" w:type="dxa"/>
        <w:tblCellMar>
          <w:left w:w="28" w:type="dxa"/>
          <w:right w:w="28" w:type="dxa"/>
        </w:tblCellMar>
        <w:tblLook w:val="04A0" w:firstRow="1" w:lastRow="0" w:firstColumn="1" w:lastColumn="0" w:noHBand="0" w:noVBand="1"/>
      </w:tblPr>
      <w:tblGrid>
        <w:gridCol w:w="5240"/>
        <w:gridCol w:w="4425"/>
      </w:tblGrid>
      <w:tr w:rsidR="004D451D" w:rsidRPr="004D451D" w:rsidTr="007474A4">
        <w:trPr>
          <w:trHeight w:val="329"/>
        </w:trPr>
        <w:tc>
          <w:tcPr>
            <w:tcW w:w="5240" w:type="dxa"/>
            <w:tcBorders>
              <w:top w:val="nil"/>
              <w:left w:val="nil"/>
              <w:bottom w:val="nil"/>
              <w:right w:val="nil"/>
            </w:tcBorders>
            <w:shd w:val="clear" w:color="auto" w:fill="auto"/>
            <w:noWrap/>
            <w:vAlign w:val="center"/>
            <w:hideMark/>
          </w:tcPr>
          <w:p w:rsidR="00B52DCC" w:rsidRPr="004D451D" w:rsidRDefault="00B52DCC" w:rsidP="005F1B23">
            <w:pPr>
              <w:widowControl/>
              <w:rPr>
                <w:rFonts w:ascii="標楷體" w:eastAsia="標楷體" w:hAnsi="標楷體" w:cs="新細明體"/>
                <w:kern w:val="0"/>
              </w:rPr>
            </w:pPr>
            <w:r w:rsidRPr="004D451D">
              <w:rPr>
                <w:rFonts w:ascii="標楷體" w:eastAsia="標楷體" w:hAnsi="標楷體" w:cs="新細明體" w:hint="eastAsia"/>
                <w:kern w:val="0"/>
              </w:rPr>
              <w:t>基準日:10</w:t>
            </w:r>
            <w:r w:rsidR="005F1B23" w:rsidRPr="004D451D">
              <w:rPr>
                <w:rFonts w:ascii="標楷體" w:eastAsia="標楷體" w:hAnsi="標楷體" w:cs="新細明體" w:hint="eastAsia"/>
                <w:kern w:val="0"/>
              </w:rPr>
              <w:t>7</w:t>
            </w:r>
            <w:r w:rsidRPr="004D451D">
              <w:rPr>
                <w:rFonts w:ascii="標楷體" w:eastAsia="標楷體" w:hAnsi="標楷體" w:cs="新細明體" w:hint="eastAsia"/>
                <w:kern w:val="0"/>
              </w:rPr>
              <w:t>.</w:t>
            </w:r>
            <w:r w:rsidR="005F1B23" w:rsidRPr="004D451D">
              <w:rPr>
                <w:rFonts w:ascii="標楷體" w:eastAsia="標楷體" w:hAnsi="標楷體" w:cs="新細明體" w:hint="eastAsia"/>
                <w:kern w:val="0"/>
              </w:rPr>
              <w:t>06</w:t>
            </w:r>
            <w:r w:rsidRPr="004D451D">
              <w:rPr>
                <w:rFonts w:ascii="標楷體" w:eastAsia="標楷體" w:hAnsi="標楷體" w:cs="新細明體" w:hint="eastAsia"/>
                <w:kern w:val="0"/>
              </w:rPr>
              <w:t>.3</w:t>
            </w:r>
            <w:r w:rsidR="005F1B23" w:rsidRPr="004D451D">
              <w:rPr>
                <w:rFonts w:ascii="標楷體" w:eastAsia="標楷體" w:hAnsi="標楷體" w:cs="新細明體" w:hint="eastAsia"/>
                <w:kern w:val="0"/>
              </w:rPr>
              <w:t>0</w:t>
            </w:r>
          </w:p>
        </w:tc>
        <w:tc>
          <w:tcPr>
            <w:tcW w:w="4425" w:type="dxa"/>
            <w:tcBorders>
              <w:top w:val="nil"/>
              <w:left w:val="nil"/>
              <w:bottom w:val="nil"/>
              <w:right w:val="nil"/>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sz w:val="20"/>
                <w:szCs w:val="20"/>
              </w:rPr>
            </w:pPr>
            <w:r w:rsidRPr="004D451D">
              <w:rPr>
                <w:rFonts w:ascii="標楷體" w:eastAsia="標楷體" w:hAnsi="標楷體" w:cs="新細明體" w:hint="eastAsia"/>
                <w:kern w:val="0"/>
                <w:sz w:val="20"/>
                <w:szCs w:val="20"/>
              </w:rPr>
              <w:t>單位 :USD 仟元</w:t>
            </w:r>
          </w:p>
        </w:tc>
      </w:tr>
      <w:tr w:rsidR="004D451D" w:rsidRPr="004D451D" w:rsidTr="007474A4">
        <w:trPr>
          <w:trHeight w:val="329"/>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剩餘期間</w:t>
            </w:r>
          </w:p>
        </w:tc>
        <w:tc>
          <w:tcPr>
            <w:tcW w:w="4425" w:type="dxa"/>
            <w:tcBorders>
              <w:top w:val="single" w:sz="4" w:space="0" w:color="auto"/>
              <w:left w:val="nil"/>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外幣放款暴險額</w:t>
            </w:r>
          </w:p>
        </w:tc>
      </w:tr>
      <w:tr w:rsidR="004D451D" w:rsidRPr="004D451D"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F33761" w:rsidRPr="004D451D" w:rsidRDefault="00F33761"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1-30天</w:t>
            </w:r>
          </w:p>
        </w:tc>
        <w:tc>
          <w:tcPr>
            <w:tcW w:w="4425" w:type="dxa"/>
            <w:tcBorders>
              <w:top w:val="nil"/>
              <w:left w:val="nil"/>
              <w:bottom w:val="single" w:sz="4" w:space="0" w:color="auto"/>
              <w:right w:val="single" w:sz="4" w:space="0" w:color="auto"/>
            </w:tcBorders>
            <w:shd w:val="clear" w:color="auto" w:fill="auto"/>
            <w:noWrap/>
            <w:vAlign w:val="center"/>
            <w:hideMark/>
          </w:tcPr>
          <w:p w:rsidR="00F33761" w:rsidRPr="004D451D" w:rsidRDefault="00F33761">
            <w:pPr>
              <w:jc w:val="center"/>
              <w:rPr>
                <w:rFonts w:ascii="Arial" w:hAnsi="Arial" w:cs="Arial"/>
              </w:rPr>
            </w:pPr>
            <w:r w:rsidRPr="004D451D">
              <w:rPr>
                <w:rFonts w:ascii="Arial" w:hAnsi="Arial" w:cs="Arial" w:hint="eastAsia"/>
              </w:rPr>
              <w:t>20,889</w:t>
            </w:r>
          </w:p>
        </w:tc>
      </w:tr>
      <w:tr w:rsidR="004D451D" w:rsidRPr="004D451D"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F33761" w:rsidRPr="004D451D" w:rsidRDefault="00F33761"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31-90天</w:t>
            </w:r>
          </w:p>
        </w:tc>
        <w:tc>
          <w:tcPr>
            <w:tcW w:w="4425" w:type="dxa"/>
            <w:tcBorders>
              <w:top w:val="nil"/>
              <w:left w:val="nil"/>
              <w:bottom w:val="single" w:sz="4" w:space="0" w:color="auto"/>
              <w:right w:val="single" w:sz="4" w:space="0" w:color="auto"/>
            </w:tcBorders>
            <w:shd w:val="clear" w:color="auto" w:fill="auto"/>
            <w:noWrap/>
            <w:vAlign w:val="center"/>
            <w:hideMark/>
          </w:tcPr>
          <w:p w:rsidR="00F33761" w:rsidRPr="004D451D" w:rsidRDefault="00F33761">
            <w:pPr>
              <w:jc w:val="center"/>
              <w:rPr>
                <w:rFonts w:ascii="Arial" w:hAnsi="Arial" w:cs="Arial"/>
              </w:rPr>
            </w:pPr>
            <w:r w:rsidRPr="004D451D">
              <w:rPr>
                <w:rFonts w:ascii="Arial" w:hAnsi="Arial" w:cs="Arial" w:hint="eastAsia"/>
              </w:rPr>
              <w:t>93,139</w:t>
            </w:r>
          </w:p>
        </w:tc>
      </w:tr>
      <w:tr w:rsidR="004D451D" w:rsidRPr="004D451D"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F33761" w:rsidRPr="004D451D" w:rsidRDefault="00F33761"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91-180天</w:t>
            </w:r>
          </w:p>
        </w:tc>
        <w:tc>
          <w:tcPr>
            <w:tcW w:w="4425" w:type="dxa"/>
            <w:tcBorders>
              <w:top w:val="nil"/>
              <w:left w:val="nil"/>
              <w:bottom w:val="single" w:sz="4" w:space="0" w:color="auto"/>
              <w:right w:val="single" w:sz="4" w:space="0" w:color="auto"/>
            </w:tcBorders>
            <w:shd w:val="clear" w:color="auto" w:fill="auto"/>
            <w:noWrap/>
            <w:vAlign w:val="center"/>
            <w:hideMark/>
          </w:tcPr>
          <w:p w:rsidR="00F33761" w:rsidRPr="004D451D" w:rsidRDefault="00F33761">
            <w:pPr>
              <w:jc w:val="center"/>
              <w:rPr>
                <w:rFonts w:ascii="Arial" w:hAnsi="Arial" w:cs="Arial"/>
              </w:rPr>
            </w:pPr>
            <w:r w:rsidRPr="004D451D">
              <w:rPr>
                <w:rFonts w:ascii="Arial" w:hAnsi="Arial" w:cs="Arial" w:hint="eastAsia"/>
              </w:rPr>
              <w:t>23,051</w:t>
            </w:r>
          </w:p>
        </w:tc>
      </w:tr>
      <w:tr w:rsidR="004D451D" w:rsidRPr="004D451D" w:rsidTr="007474A4">
        <w:trPr>
          <w:trHeight w:val="329"/>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F33761" w:rsidRPr="004D451D" w:rsidRDefault="00F33761"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181天-1年</w:t>
            </w:r>
          </w:p>
        </w:tc>
        <w:tc>
          <w:tcPr>
            <w:tcW w:w="4425" w:type="dxa"/>
            <w:tcBorders>
              <w:top w:val="nil"/>
              <w:left w:val="nil"/>
              <w:bottom w:val="single" w:sz="4" w:space="0" w:color="auto"/>
              <w:right w:val="single" w:sz="4" w:space="0" w:color="auto"/>
            </w:tcBorders>
            <w:shd w:val="clear" w:color="auto" w:fill="auto"/>
            <w:noWrap/>
            <w:vAlign w:val="center"/>
            <w:hideMark/>
          </w:tcPr>
          <w:p w:rsidR="00F33761" w:rsidRPr="004D451D" w:rsidRDefault="00F33761">
            <w:pPr>
              <w:jc w:val="center"/>
              <w:rPr>
                <w:rFonts w:ascii="Arial" w:hAnsi="Arial" w:cs="Arial"/>
              </w:rPr>
            </w:pPr>
            <w:r w:rsidRPr="004D451D">
              <w:rPr>
                <w:rFonts w:ascii="Arial" w:hAnsi="Arial" w:cs="Arial" w:hint="eastAsia"/>
              </w:rPr>
              <w:t>40,000</w:t>
            </w:r>
          </w:p>
        </w:tc>
      </w:tr>
      <w:tr w:rsidR="004D451D" w:rsidRPr="004D451D" w:rsidTr="007474A4">
        <w:trPr>
          <w:trHeight w:val="342"/>
        </w:trPr>
        <w:tc>
          <w:tcPr>
            <w:tcW w:w="5240" w:type="dxa"/>
            <w:tcBorders>
              <w:top w:val="nil"/>
              <w:left w:val="single" w:sz="4" w:space="0" w:color="auto"/>
              <w:bottom w:val="double" w:sz="6" w:space="0" w:color="auto"/>
              <w:right w:val="single" w:sz="4" w:space="0" w:color="auto"/>
            </w:tcBorders>
            <w:shd w:val="clear" w:color="auto" w:fill="auto"/>
            <w:noWrap/>
            <w:vAlign w:val="center"/>
            <w:hideMark/>
          </w:tcPr>
          <w:p w:rsidR="00F33761" w:rsidRPr="004D451D" w:rsidRDefault="00F33761"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超過1年</w:t>
            </w:r>
          </w:p>
        </w:tc>
        <w:tc>
          <w:tcPr>
            <w:tcW w:w="4425" w:type="dxa"/>
            <w:tcBorders>
              <w:top w:val="nil"/>
              <w:left w:val="nil"/>
              <w:bottom w:val="double" w:sz="6" w:space="0" w:color="auto"/>
              <w:right w:val="single" w:sz="4" w:space="0" w:color="auto"/>
            </w:tcBorders>
            <w:shd w:val="clear" w:color="auto" w:fill="auto"/>
            <w:noWrap/>
            <w:vAlign w:val="center"/>
            <w:hideMark/>
          </w:tcPr>
          <w:p w:rsidR="00F33761" w:rsidRPr="004D451D" w:rsidRDefault="00F33761">
            <w:pPr>
              <w:jc w:val="center"/>
              <w:rPr>
                <w:rFonts w:ascii="Arial" w:hAnsi="Arial" w:cs="Arial"/>
              </w:rPr>
            </w:pPr>
            <w:r w:rsidRPr="004D451D">
              <w:rPr>
                <w:rFonts w:ascii="Arial" w:hAnsi="Arial" w:cs="Arial" w:hint="eastAsia"/>
              </w:rPr>
              <w:t>137,629</w:t>
            </w:r>
          </w:p>
        </w:tc>
      </w:tr>
      <w:tr w:rsidR="00F33761" w:rsidRPr="004D451D" w:rsidTr="007474A4">
        <w:trPr>
          <w:trHeight w:val="342"/>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rsidR="00F33761" w:rsidRPr="004D451D" w:rsidRDefault="00F33761"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合計</w:t>
            </w:r>
          </w:p>
        </w:tc>
        <w:tc>
          <w:tcPr>
            <w:tcW w:w="4425" w:type="dxa"/>
            <w:tcBorders>
              <w:top w:val="nil"/>
              <w:left w:val="nil"/>
              <w:bottom w:val="single" w:sz="4" w:space="0" w:color="auto"/>
              <w:right w:val="single" w:sz="4" w:space="0" w:color="auto"/>
            </w:tcBorders>
            <w:shd w:val="clear" w:color="auto" w:fill="auto"/>
            <w:noWrap/>
            <w:vAlign w:val="center"/>
            <w:hideMark/>
          </w:tcPr>
          <w:p w:rsidR="00F33761" w:rsidRPr="004D451D" w:rsidRDefault="00F33761">
            <w:pPr>
              <w:jc w:val="center"/>
              <w:rPr>
                <w:rFonts w:ascii="Arial" w:hAnsi="Arial" w:cs="Arial"/>
              </w:rPr>
            </w:pPr>
            <w:r w:rsidRPr="004D451D">
              <w:rPr>
                <w:rFonts w:ascii="Arial" w:hAnsi="Arial" w:cs="Arial" w:hint="eastAsia"/>
              </w:rPr>
              <w:t>314,709</w:t>
            </w:r>
          </w:p>
        </w:tc>
      </w:tr>
    </w:tbl>
    <w:p w:rsidR="00B52DCC" w:rsidRPr="004D451D" w:rsidRDefault="00B52DCC" w:rsidP="00B52DCC">
      <w:pPr>
        <w:autoSpaceDE w:val="0"/>
        <w:autoSpaceDN w:val="0"/>
        <w:adjustRightInd w:val="0"/>
        <w:rPr>
          <w:kern w:val="0"/>
        </w:rPr>
      </w:pPr>
    </w:p>
    <w:p w:rsidR="00B52DCC" w:rsidRPr="004D451D" w:rsidRDefault="00B52DCC" w:rsidP="00B52DCC">
      <w:pPr>
        <w:autoSpaceDE w:val="0"/>
        <w:autoSpaceDN w:val="0"/>
        <w:adjustRightInd w:val="0"/>
        <w:rPr>
          <w:rFonts w:ascii="標楷體" w:eastAsia="標楷體" w:cs="標楷體"/>
          <w:kern w:val="0"/>
          <w:sz w:val="23"/>
          <w:szCs w:val="23"/>
        </w:rPr>
      </w:pPr>
      <w:r w:rsidRPr="004D451D">
        <w:rPr>
          <w:rFonts w:hint="eastAsia"/>
          <w:kern w:val="0"/>
          <w:sz w:val="22"/>
          <w:szCs w:val="22"/>
        </w:rPr>
        <w:t>2.</w:t>
      </w:r>
      <w:r w:rsidRPr="004D451D">
        <w:rPr>
          <w:rFonts w:ascii="標楷體" w:eastAsia="標楷體" w:cs="標楷體" w:hint="eastAsia"/>
          <w:kern w:val="0"/>
          <w:sz w:val="23"/>
          <w:szCs w:val="23"/>
        </w:rPr>
        <w:t>依地域及產業劃分之暴險額、減損暴險額</w:t>
      </w:r>
      <w:r w:rsidRPr="004D451D">
        <w:rPr>
          <w:rFonts w:eastAsia="標楷體"/>
          <w:kern w:val="0"/>
          <w:sz w:val="23"/>
          <w:szCs w:val="23"/>
        </w:rPr>
        <w:t>(</w:t>
      </w:r>
      <w:r w:rsidRPr="004D451D">
        <w:rPr>
          <w:rFonts w:ascii="標楷體" w:eastAsia="標楷體" w:cs="標楷體" w:hint="eastAsia"/>
          <w:kern w:val="0"/>
          <w:sz w:val="23"/>
          <w:szCs w:val="23"/>
        </w:rPr>
        <w:t>依銀行會計處理上採用的定義</w:t>
      </w:r>
      <w:r w:rsidRPr="004D451D">
        <w:rPr>
          <w:rFonts w:eastAsia="標楷體"/>
          <w:kern w:val="0"/>
          <w:sz w:val="23"/>
          <w:szCs w:val="23"/>
        </w:rPr>
        <w:t>)</w:t>
      </w:r>
      <w:r w:rsidRPr="004D451D">
        <w:rPr>
          <w:rFonts w:ascii="標楷體" w:eastAsia="標楷體" w:cs="標楷體" w:hint="eastAsia"/>
          <w:kern w:val="0"/>
          <w:sz w:val="23"/>
          <w:szCs w:val="23"/>
        </w:rPr>
        <w:t>與轉銷金額分析表。</w:t>
      </w:r>
      <w:r w:rsidRPr="004D451D">
        <w:rPr>
          <w:rFonts w:ascii="標楷體" w:eastAsia="標楷體" w:cs="標楷體"/>
          <w:kern w:val="0"/>
          <w:sz w:val="23"/>
          <w:szCs w:val="23"/>
        </w:rPr>
        <w:t xml:space="preserve"> </w:t>
      </w:r>
    </w:p>
    <w:tbl>
      <w:tblPr>
        <w:tblW w:w="9590" w:type="dxa"/>
        <w:tblInd w:w="28" w:type="dxa"/>
        <w:tblCellMar>
          <w:left w:w="28" w:type="dxa"/>
          <w:right w:w="28" w:type="dxa"/>
        </w:tblCellMar>
        <w:tblLook w:val="04A0" w:firstRow="1" w:lastRow="0" w:firstColumn="1" w:lastColumn="0" w:noHBand="0" w:noVBand="1"/>
      </w:tblPr>
      <w:tblGrid>
        <w:gridCol w:w="2448"/>
        <w:gridCol w:w="2797"/>
        <w:gridCol w:w="2552"/>
        <w:gridCol w:w="1793"/>
      </w:tblGrid>
      <w:tr w:rsidR="004D451D" w:rsidRPr="004D451D" w:rsidTr="007474A4">
        <w:trPr>
          <w:trHeight w:val="411"/>
        </w:trPr>
        <w:tc>
          <w:tcPr>
            <w:tcW w:w="2448" w:type="dxa"/>
            <w:tcBorders>
              <w:top w:val="nil"/>
              <w:left w:val="nil"/>
              <w:bottom w:val="nil"/>
              <w:right w:val="nil"/>
            </w:tcBorders>
            <w:shd w:val="clear" w:color="000000" w:fill="FFFFFF"/>
            <w:noWrap/>
            <w:vAlign w:val="center"/>
            <w:hideMark/>
          </w:tcPr>
          <w:p w:rsidR="00B52DCC" w:rsidRPr="004D451D" w:rsidRDefault="00B52DCC" w:rsidP="00FA760B">
            <w:pPr>
              <w:widowControl/>
              <w:rPr>
                <w:rFonts w:ascii="新細明體" w:hAnsi="新細明體" w:cs="新細明體"/>
                <w:kern w:val="0"/>
              </w:rPr>
            </w:pPr>
            <w:r w:rsidRPr="004D451D">
              <w:rPr>
                <w:rFonts w:ascii="新細明體" w:hAnsi="新細明體" w:cs="新細明體" w:hint="eastAsia"/>
                <w:kern w:val="0"/>
              </w:rPr>
              <w:t xml:space="preserve">　</w:t>
            </w:r>
            <w:r w:rsidRPr="004D451D">
              <w:rPr>
                <w:rFonts w:ascii="標楷體" w:eastAsia="標楷體" w:hAnsi="標楷體" w:cs="新細明體" w:hint="eastAsia"/>
                <w:kern w:val="0"/>
              </w:rPr>
              <w:t>基準日:10</w:t>
            </w:r>
            <w:r w:rsidR="00FA760B" w:rsidRPr="004D451D">
              <w:rPr>
                <w:rFonts w:ascii="標楷體" w:eastAsia="標楷體" w:hAnsi="標楷體" w:cs="新細明體" w:hint="eastAsia"/>
                <w:kern w:val="0"/>
              </w:rPr>
              <w:t>7</w:t>
            </w:r>
            <w:r w:rsidRPr="004D451D">
              <w:rPr>
                <w:rFonts w:ascii="標楷體" w:eastAsia="標楷體" w:hAnsi="標楷體" w:cs="新細明體" w:hint="eastAsia"/>
                <w:kern w:val="0"/>
              </w:rPr>
              <w:t>.</w:t>
            </w:r>
            <w:r w:rsidR="00FA760B" w:rsidRPr="004D451D">
              <w:rPr>
                <w:rFonts w:ascii="標楷體" w:eastAsia="標楷體" w:hAnsi="標楷體" w:cs="新細明體" w:hint="eastAsia"/>
                <w:kern w:val="0"/>
              </w:rPr>
              <w:t>06</w:t>
            </w:r>
            <w:r w:rsidRPr="004D451D">
              <w:rPr>
                <w:rFonts w:ascii="標楷體" w:eastAsia="標楷體" w:hAnsi="標楷體" w:cs="新細明體" w:hint="eastAsia"/>
                <w:kern w:val="0"/>
              </w:rPr>
              <w:t>.3</w:t>
            </w:r>
            <w:r w:rsidR="00FA760B" w:rsidRPr="004D451D">
              <w:rPr>
                <w:rFonts w:ascii="標楷體" w:eastAsia="標楷體" w:hAnsi="標楷體" w:cs="新細明體" w:hint="eastAsia"/>
                <w:kern w:val="0"/>
              </w:rPr>
              <w:t>0</w:t>
            </w:r>
          </w:p>
        </w:tc>
        <w:tc>
          <w:tcPr>
            <w:tcW w:w="2797" w:type="dxa"/>
            <w:tcBorders>
              <w:top w:val="nil"/>
              <w:left w:val="nil"/>
              <w:bottom w:val="nil"/>
              <w:right w:val="nil"/>
            </w:tcBorders>
            <w:shd w:val="clear" w:color="auto" w:fill="auto"/>
            <w:noWrap/>
            <w:vAlign w:val="center"/>
            <w:hideMark/>
          </w:tcPr>
          <w:p w:rsidR="00B52DCC" w:rsidRPr="004D451D" w:rsidRDefault="00B52DCC" w:rsidP="007474A4">
            <w:pPr>
              <w:widowControl/>
              <w:rPr>
                <w:rFonts w:ascii="新細明體" w:hAnsi="新細明體" w:cs="新細明體"/>
                <w:kern w:val="0"/>
              </w:rPr>
            </w:pPr>
          </w:p>
        </w:tc>
        <w:tc>
          <w:tcPr>
            <w:tcW w:w="4345" w:type="dxa"/>
            <w:gridSpan w:val="2"/>
            <w:tcBorders>
              <w:top w:val="nil"/>
              <w:left w:val="nil"/>
              <w:bottom w:val="nil"/>
              <w:right w:val="nil"/>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sz w:val="20"/>
                <w:szCs w:val="20"/>
              </w:rPr>
            </w:pPr>
            <w:r w:rsidRPr="004D451D">
              <w:rPr>
                <w:rFonts w:ascii="標楷體" w:eastAsia="標楷體" w:hAnsi="標楷體" w:cs="新細明體" w:hint="eastAsia"/>
                <w:kern w:val="0"/>
                <w:sz w:val="20"/>
                <w:szCs w:val="20"/>
              </w:rPr>
              <w:t>單位:NT仟元</w:t>
            </w:r>
          </w:p>
        </w:tc>
      </w:tr>
      <w:tr w:rsidR="004D451D" w:rsidRPr="004D451D" w:rsidTr="007474A4">
        <w:trPr>
          <w:trHeight w:val="411"/>
        </w:trPr>
        <w:tc>
          <w:tcPr>
            <w:tcW w:w="2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地域</w:t>
            </w:r>
          </w:p>
        </w:tc>
        <w:tc>
          <w:tcPr>
            <w:tcW w:w="2797" w:type="dxa"/>
            <w:tcBorders>
              <w:top w:val="single" w:sz="4" w:space="0" w:color="auto"/>
              <w:left w:val="nil"/>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暴險額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減損暴險額</w:t>
            </w:r>
          </w:p>
        </w:tc>
        <w:tc>
          <w:tcPr>
            <w:tcW w:w="1793" w:type="dxa"/>
            <w:tcBorders>
              <w:top w:val="single" w:sz="4" w:space="0" w:color="auto"/>
              <w:left w:val="nil"/>
              <w:bottom w:val="single" w:sz="4" w:space="0" w:color="auto"/>
              <w:right w:val="single" w:sz="4" w:space="0" w:color="auto"/>
            </w:tcBorders>
            <w:shd w:val="clear" w:color="auto" w:fill="auto"/>
            <w:vAlign w:val="center"/>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轉銷金額</w:t>
            </w:r>
          </w:p>
        </w:tc>
      </w:tr>
      <w:tr w:rsidR="004D451D" w:rsidRPr="004D451D"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國內</w:t>
            </w:r>
          </w:p>
        </w:tc>
        <w:tc>
          <w:tcPr>
            <w:tcW w:w="2797"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 150,846,487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      35,977 </w:t>
            </w:r>
          </w:p>
        </w:tc>
        <w:tc>
          <w:tcPr>
            <w:tcW w:w="1793"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1,629 </w:t>
            </w:r>
          </w:p>
        </w:tc>
      </w:tr>
      <w:tr w:rsidR="004D451D" w:rsidRPr="004D451D"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國外</w:t>
            </w:r>
          </w:p>
        </w:tc>
        <w:tc>
          <w:tcPr>
            <w:tcW w:w="2797"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   6,630,670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1793"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0 </w:t>
            </w:r>
          </w:p>
        </w:tc>
      </w:tr>
      <w:tr w:rsidR="00FA760B" w:rsidRPr="004D451D" w:rsidTr="007474A4">
        <w:trPr>
          <w:trHeight w:val="411"/>
        </w:trPr>
        <w:tc>
          <w:tcPr>
            <w:tcW w:w="2448"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合計</w:t>
            </w:r>
          </w:p>
        </w:tc>
        <w:tc>
          <w:tcPr>
            <w:tcW w:w="2797"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 157,477,156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      35,977 </w:t>
            </w:r>
          </w:p>
        </w:tc>
        <w:tc>
          <w:tcPr>
            <w:tcW w:w="1793"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1,629 </w:t>
            </w:r>
          </w:p>
        </w:tc>
      </w:tr>
    </w:tbl>
    <w:p w:rsidR="00B52DCC" w:rsidRPr="004D451D" w:rsidRDefault="00B52DCC" w:rsidP="00B52DCC">
      <w:pPr>
        <w:rPr>
          <w:rFonts w:eastAsia="標楷體"/>
          <w:b/>
          <w:kern w:val="0"/>
          <w:sz w:val="28"/>
          <w:szCs w:val="28"/>
        </w:rPr>
      </w:pPr>
    </w:p>
    <w:tbl>
      <w:tblPr>
        <w:tblW w:w="9591" w:type="dxa"/>
        <w:tblInd w:w="28" w:type="dxa"/>
        <w:tblCellMar>
          <w:left w:w="28" w:type="dxa"/>
          <w:right w:w="28" w:type="dxa"/>
        </w:tblCellMar>
        <w:tblLook w:val="04A0" w:firstRow="1" w:lastRow="0" w:firstColumn="1" w:lastColumn="0" w:noHBand="0" w:noVBand="1"/>
      </w:tblPr>
      <w:tblGrid>
        <w:gridCol w:w="2506"/>
        <w:gridCol w:w="2739"/>
        <w:gridCol w:w="2552"/>
        <w:gridCol w:w="1794"/>
      </w:tblGrid>
      <w:tr w:rsidR="004D451D" w:rsidRPr="004D451D" w:rsidTr="007474A4">
        <w:trPr>
          <w:trHeight w:val="408"/>
        </w:trPr>
        <w:tc>
          <w:tcPr>
            <w:tcW w:w="2506" w:type="dxa"/>
            <w:tcBorders>
              <w:top w:val="nil"/>
              <w:left w:val="nil"/>
              <w:bottom w:val="nil"/>
              <w:right w:val="nil"/>
            </w:tcBorders>
            <w:shd w:val="clear" w:color="auto" w:fill="auto"/>
            <w:noWrap/>
            <w:vAlign w:val="center"/>
            <w:hideMark/>
          </w:tcPr>
          <w:p w:rsidR="00B52DCC" w:rsidRPr="004D451D" w:rsidRDefault="00B52DCC" w:rsidP="00FA760B">
            <w:pPr>
              <w:widowControl/>
              <w:jc w:val="center"/>
              <w:rPr>
                <w:rFonts w:ascii="新細明體" w:hAnsi="新細明體" w:cs="新細明體"/>
                <w:kern w:val="0"/>
              </w:rPr>
            </w:pPr>
            <w:r w:rsidRPr="004D451D">
              <w:rPr>
                <w:rFonts w:ascii="標楷體" w:eastAsia="標楷體" w:hAnsi="標楷體" w:cs="新細明體" w:hint="eastAsia"/>
                <w:kern w:val="0"/>
              </w:rPr>
              <w:t>基準日:10</w:t>
            </w:r>
            <w:r w:rsidR="00FA760B" w:rsidRPr="004D451D">
              <w:rPr>
                <w:rFonts w:ascii="標楷體" w:eastAsia="標楷體" w:hAnsi="標楷體" w:cs="新細明體" w:hint="eastAsia"/>
                <w:kern w:val="0"/>
              </w:rPr>
              <w:t>7</w:t>
            </w:r>
            <w:r w:rsidRPr="004D451D">
              <w:rPr>
                <w:rFonts w:ascii="標楷體" w:eastAsia="標楷體" w:hAnsi="標楷體" w:cs="新細明體" w:hint="eastAsia"/>
                <w:kern w:val="0"/>
              </w:rPr>
              <w:t>.</w:t>
            </w:r>
            <w:r w:rsidR="00FA760B" w:rsidRPr="004D451D">
              <w:rPr>
                <w:rFonts w:ascii="標楷體" w:eastAsia="標楷體" w:hAnsi="標楷體" w:cs="新細明體" w:hint="eastAsia"/>
                <w:kern w:val="0"/>
              </w:rPr>
              <w:t>06</w:t>
            </w:r>
            <w:r w:rsidRPr="004D451D">
              <w:rPr>
                <w:rFonts w:ascii="標楷體" w:eastAsia="標楷體" w:hAnsi="標楷體" w:cs="新細明體" w:hint="eastAsia"/>
                <w:kern w:val="0"/>
              </w:rPr>
              <w:t>.3</w:t>
            </w:r>
            <w:r w:rsidR="00FA760B" w:rsidRPr="004D451D">
              <w:rPr>
                <w:rFonts w:ascii="標楷體" w:eastAsia="標楷體" w:hAnsi="標楷體" w:cs="新細明體" w:hint="eastAsia"/>
                <w:kern w:val="0"/>
              </w:rPr>
              <w:t>0</w:t>
            </w:r>
          </w:p>
        </w:tc>
        <w:tc>
          <w:tcPr>
            <w:tcW w:w="2739" w:type="dxa"/>
            <w:tcBorders>
              <w:top w:val="nil"/>
              <w:left w:val="nil"/>
              <w:bottom w:val="nil"/>
              <w:right w:val="nil"/>
            </w:tcBorders>
            <w:shd w:val="clear" w:color="auto" w:fill="auto"/>
            <w:noWrap/>
            <w:vAlign w:val="center"/>
            <w:hideMark/>
          </w:tcPr>
          <w:p w:rsidR="00B52DCC" w:rsidRPr="004D451D" w:rsidRDefault="00B52DCC" w:rsidP="007474A4">
            <w:pPr>
              <w:widowControl/>
              <w:jc w:val="center"/>
              <w:rPr>
                <w:rFonts w:ascii="新細明體" w:hAnsi="新細明體" w:cs="新細明體"/>
                <w:kern w:val="0"/>
              </w:rPr>
            </w:pPr>
          </w:p>
        </w:tc>
        <w:tc>
          <w:tcPr>
            <w:tcW w:w="4346" w:type="dxa"/>
            <w:gridSpan w:val="2"/>
            <w:tcBorders>
              <w:top w:val="nil"/>
              <w:left w:val="nil"/>
              <w:bottom w:val="nil"/>
              <w:right w:val="nil"/>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sz w:val="20"/>
                <w:szCs w:val="20"/>
              </w:rPr>
            </w:pPr>
            <w:r w:rsidRPr="004D451D">
              <w:rPr>
                <w:rFonts w:ascii="標楷體" w:eastAsia="標楷體" w:hAnsi="標楷體" w:cs="新細明體" w:hint="eastAsia"/>
                <w:kern w:val="0"/>
                <w:sz w:val="20"/>
                <w:szCs w:val="20"/>
              </w:rPr>
              <w:t>單位:NT仟元</w:t>
            </w:r>
          </w:p>
        </w:tc>
      </w:tr>
      <w:tr w:rsidR="004D451D" w:rsidRPr="004D451D" w:rsidTr="007474A4">
        <w:trPr>
          <w:trHeight w:val="594"/>
        </w:trPr>
        <w:tc>
          <w:tcPr>
            <w:tcW w:w="2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產業</w:t>
            </w:r>
          </w:p>
        </w:tc>
        <w:tc>
          <w:tcPr>
            <w:tcW w:w="2739" w:type="dxa"/>
            <w:tcBorders>
              <w:top w:val="single" w:sz="4" w:space="0" w:color="auto"/>
              <w:left w:val="nil"/>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暴險額</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減損暴險額</w:t>
            </w:r>
          </w:p>
        </w:tc>
        <w:tc>
          <w:tcPr>
            <w:tcW w:w="1794" w:type="dxa"/>
            <w:tcBorders>
              <w:top w:val="single" w:sz="4" w:space="0" w:color="auto"/>
              <w:left w:val="nil"/>
              <w:bottom w:val="single" w:sz="4" w:space="0" w:color="auto"/>
              <w:right w:val="single" w:sz="4" w:space="0" w:color="auto"/>
            </w:tcBorders>
            <w:shd w:val="clear" w:color="auto" w:fill="auto"/>
            <w:vAlign w:val="center"/>
          </w:tcPr>
          <w:p w:rsidR="00B52DCC" w:rsidRPr="004D451D" w:rsidRDefault="00B52DCC"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轉銷金額</w:t>
            </w:r>
          </w:p>
        </w:tc>
      </w:tr>
      <w:tr w:rsidR="004D451D" w:rsidRPr="004D451D"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 民營企業</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124,882,622,364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13,340,538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52,746 </w:t>
            </w:r>
          </w:p>
        </w:tc>
      </w:tr>
      <w:tr w:rsidR="004D451D" w:rsidRPr="004D451D"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 公營企業</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   </w:t>
            </w:r>
          </w:p>
        </w:tc>
      </w:tr>
      <w:tr w:rsidR="004D451D" w:rsidRPr="004D451D"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 政府機關</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   </w:t>
            </w:r>
          </w:p>
        </w:tc>
      </w:tr>
      <w:tr w:rsidR="004D451D" w:rsidRPr="004D451D" w:rsidTr="007474A4">
        <w:trPr>
          <w:trHeight w:val="232"/>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 私人</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32,420,176,999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22,636,785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1,576,367 </w:t>
            </w:r>
          </w:p>
        </w:tc>
      </w:tr>
      <w:tr w:rsidR="004D451D" w:rsidRPr="004D451D"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 金融機構</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   </w:t>
            </w:r>
          </w:p>
        </w:tc>
      </w:tr>
      <w:tr w:rsidR="004D451D" w:rsidRPr="004D451D"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 xml:space="preserve"> 其他</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174,356,781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0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   </w:t>
            </w:r>
          </w:p>
        </w:tc>
      </w:tr>
      <w:tr w:rsidR="00FA760B" w:rsidRPr="004D451D" w:rsidTr="007474A4">
        <w:trPr>
          <w:trHeight w:val="378"/>
        </w:trPr>
        <w:tc>
          <w:tcPr>
            <w:tcW w:w="2506" w:type="dxa"/>
            <w:tcBorders>
              <w:top w:val="nil"/>
              <w:left w:val="single" w:sz="4" w:space="0" w:color="auto"/>
              <w:bottom w:val="single" w:sz="4" w:space="0" w:color="auto"/>
              <w:right w:val="single" w:sz="4" w:space="0" w:color="auto"/>
            </w:tcBorders>
            <w:shd w:val="clear" w:color="auto" w:fill="auto"/>
            <w:noWrap/>
            <w:vAlign w:val="center"/>
            <w:hideMark/>
          </w:tcPr>
          <w:p w:rsidR="00FA760B" w:rsidRPr="004D451D" w:rsidRDefault="00FA760B" w:rsidP="007474A4">
            <w:pPr>
              <w:widowControl/>
              <w:jc w:val="center"/>
              <w:rPr>
                <w:rFonts w:ascii="標楷體" w:eastAsia="標楷體" w:hAnsi="標楷體" w:cs="新細明體"/>
                <w:kern w:val="0"/>
              </w:rPr>
            </w:pPr>
            <w:r w:rsidRPr="004D451D">
              <w:rPr>
                <w:rFonts w:ascii="標楷體" w:eastAsia="標楷體" w:hAnsi="標楷體" w:cs="新細明體" w:hint="eastAsia"/>
                <w:kern w:val="0"/>
              </w:rPr>
              <w:t>合計</w:t>
            </w:r>
          </w:p>
        </w:tc>
        <w:tc>
          <w:tcPr>
            <w:tcW w:w="2739"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157,477,156,144 </w:t>
            </w:r>
          </w:p>
        </w:tc>
        <w:tc>
          <w:tcPr>
            <w:tcW w:w="2552" w:type="dxa"/>
            <w:tcBorders>
              <w:top w:val="nil"/>
              <w:left w:val="nil"/>
              <w:bottom w:val="single" w:sz="4" w:space="0" w:color="auto"/>
              <w:right w:val="single" w:sz="4" w:space="0" w:color="auto"/>
            </w:tcBorders>
            <w:shd w:val="clear" w:color="auto" w:fill="auto"/>
            <w:noWrap/>
            <w:vAlign w:val="center"/>
            <w:hideMark/>
          </w:tcPr>
          <w:p w:rsidR="00FA760B" w:rsidRPr="004D451D" w:rsidRDefault="00FA760B" w:rsidP="00FA760B">
            <w:pPr>
              <w:jc w:val="right"/>
              <w:rPr>
                <w:rFonts w:ascii="Arial" w:hAnsi="Arial" w:cs="Arial"/>
              </w:rPr>
            </w:pPr>
            <w:r w:rsidRPr="004D451D">
              <w:rPr>
                <w:rFonts w:ascii="Arial" w:hAnsi="Arial" w:cs="Arial" w:hint="eastAsia"/>
              </w:rPr>
              <w:t xml:space="preserve">35,977,323 </w:t>
            </w:r>
          </w:p>
        </w:tc>
        <w:tc>
          <w:tcPr>
            <w:tcW w:w="1794" w:type="dxa"/>
            <w:tcBorders>
              <w:top w:val="nil"/>
              <w:left w:val="nil"/>
              <w:bottom w:val="single" w:sz="4" w:space="0" w:color="auto"/>
              <w:right w:val="single" w:sz="4" w:space="0" w:color="auto"/>
            </w:tcBorders>
            <w:shd w:val="clear" w:color="auto" w:fill="auto"/>
            <w:vAlign w:val="center"/>
          </w:tcPr>
          <w:p w:rsidR="00FA760B" w:rsidRPr="004D451D" w:rsidRDefault="00FA760B" w:rsidP="00FA760B">
            <w:pPr>
              <w:jc w:val="right"/>
              <w:rPr>
                <w:rFonts w:ascii="Arial" w:hAnsi="Arial" w:cs="Arial"/>
              </w:rPr>
            </w:pPr>
            <w:r w:rsidRPr="004D451D">
              <w:rPr>
                <w:rFonts w:ascii="Arial" w:hAnsi="Arial" w:cs="Arial" w:hint="eastAsia"/>
              </w:rPr>
              <w:t xml:space="preserve"> 1,629,113 </w:t>
            </w:r>
          </w:p>
        </w:tc>
      </w:tr>
    </w:tbl>
    <w:p w:rsidR="00B52DCC" w:rsidRPr="004D451D" w:rsidRDefault="00B52DCC" w:rsidP="00B52DCC">
      <w:pPr>
        <w:rPr>
          <w:rFonts w:eastAsia="標楷體"/>
          <w:b/>
          <w:kern w:val="0"/>
          <w:sz w:val="28"/>
          <w:szCs w:val="28"/>
        </w:rPr>
      </w:pPr>
    </w:p>
    <w:tbl>
      <w:tblPr>
        <w:tblW w:w="9690" w:type="dxa"/>
        <w:tblCellMar>
          <w:left w:w="28" w:type="dxa"/>
          <w:right w:w="28" w:type="dxa"/>
        </w:tblCellMar>
        <w:tblLook w:val="04A0" w:firstRow="1" w:lastRow="0" w:firstColumn="1" w:lastColumn="0" w:noHBand="0" w:noVBand="1"/>
      </w:tblPr>
      <w:tblGrid>
        <w:gridCol w:w="4022"/>
        <w:gridCol w:w="5668"/>
      </w:tblGrid>
      <w:tr w:rsidR="004D451D" w:rsidRPr="004D451D" w:rsidTr="007474A4">
        <w:trPr>
          <w:trHeight w:val="442"/>
        </w:trPr>
        <w:tc>
          <w:tcPr>
            <w:tcW w:w="9690" w:type="dxa"/>
            <w:gridSpan w:val="2"/>
            <w:tcBorders>
              <w:top w:val="nil"/>
              <w:left w:val="nil"/>
              <w:bottom w:val="nil"/>
              <w:right w:val="nil"/>
            </w:tcBorders>
            <w:shd w:val="clear" w:color="auto" w:fill="auto"/>
            <w:vAlign w:val="center"/>
            <w:hideMark/>
          </w:tcPr>
          <w:p w:rsidR="00B52DCC" w:rsidRPr="004D451D" w:rsidRDefault="00B52DCC" w:rsidP="007474A4">
            <w:pPr>
              <w:widowControl/>
              <w:rPr>
                <w:rFonts w:ascii="標楷體" w:eastAsia="標楷體" w:hAnsi="標楷體" w:cs="新細明體"/>
                <w:kern w:val="0"/>
                <w:sz w:val="22"/>
                <w:szCs w:val="22"/>
              </w:rPr>
            </w:pPr>
            <w:r w:rsidRPr="004D451D">
              <w:rPr>
                <w:rFonts w:ascii="標楷體" w:eastAsia="標楷體" w:hAnsi="標楷體" w:cs="新細明體" w:hint="eastAsia"/>
                <w:kern w:val="0"/>
                <w:sz w:val="22"/>
                <w:szCs w:val="22"/>
              </w:rPr>
              <w:t>3.逾期暴險之會計帳齡分析</w:t>
            </w:r>
          </w:p>
        </w:tc>
      </w:tr>
      <w:tr w:rsidR="004D451D" w:rsidRPr="004D451D" w:rsidTr="007474A4">
        <w:trPr>
          <w:trHeight w:val="442"/>
        </w:trPr>
        <w:tc>
          <w:tcPr>
            <w:tcW w:w="9690" w:type="dxa"/>
            <w:gridSpan w:val="2"/>
            <w:tcBorders>
              <w:top w:val="nil"/>
              <w:left w:val="nil"/>
              <w:bottom w:val="nil"/>
              <w:right w:val="nil"/>
            </w:tcBorders>
            <w:shd w:val="clear" w:color="auto" w:fill="auto"/>
            <w:vAlign w:val="center"/>
            <w:hideMark/>
          </w:tcPr>
          <w:p w:rsidR="00B52DCC" w:rsidRPr="004D451D" w:rsidRDefault="00B52DCC" w:rsidP="00FA760B">
            <w:pPr>
              <w:widowControl/>
              <w:rPr>
                <w:rFonts w:ascii="標楷體" w:eastAsia="標楷體" w:hAnsi="標楷體" w:cs="新細明體"/>
                <w:kern w:val="0"/>
                <w:sz w:val="22"/>
                <w:szCs w:val="22"/>
              </w:rPr>
            </w:pPr>
            <w:r w:rsidRPr="004D451D">
              <w:rPr>
                <w:rFonts w:ascii="標楷體" w:eastAsia="標楷體" w:hAnsi="標楷體" w:cs="新細明體" w:hint="eastAsia"/>
                <w:kern w:val="0"/>
              </w:rPr>
              <w:t>基準日:10</w:t>
            </w:r>
            <w:r w:rsidR="00FA760B" w:rsidRPr="004D451D">
              <w:rPr>
                <w:rFonts w:ascii="標楷體" w:eastAsia="標楷體" w:hAnsi="標楷體" w:cs="新細明體" w:hint="eastAsia"/>
                <w:kern w:val="0"/>
              </w:rPr>
              <w:t>7</w:t>
            </w:r>
            <w:r w:rsidRPr="004D451D">
              <w:rPr>
                <w:rFonts w:ascii="標楷體" w:eastAsia="標楷體" w:hAnsi="標楷體" w:cs="新細明體" w:hint="eastAsia"/>
                <w:kern w:val="0"/>
              </w:rPr>
              <w:t>.</w:t>
            </w:r>
            <w:r w:rsidR="00FA760B" w:rsidRPr="004D451D">
              <w:rPr>
                <w:rFonts w:ascii="標楷體" w:eastAsia="標楷體" w:hAnsi="標楷體" w:cs="新細明體" w:hint="eastAsia"/>
                <w:kern w:val="0"/>
              </w:rPr>
              <w:t>06</w:t>
            </w:r>
            <w:r w:rsidRPr="004D451D">
              <w:rPr>
                <w:rFonts w:ascii="標楷體" w:eastAsia="標楷體" w:hAnsi="標楷體" w:cs="新細明體" w:hint="eastAsia"/>
                <w:kern w:val="0"/>
              </w:rPr>
              <w:t>.3</w:t>
            </w:r>
            <w:r w:rsidR="00FA760B" w:rsidRPr="004D451D">
              <w:rPr>
                <w:rFonts w:ascii="標楷體" w:eastAsia="標楷體" w:hAnsi="標楷體" w:cs="新細明體" w:hint="eastAsia"/>
                <w:kern w:val="0"/>
              </w:rPr>
              <w:t>0</w:t>
            </w:r>
            <w:r w:rsidRPr="004D451D">
              <w:rPr>
                <w:rFonts w:eastAsia="標楷體" w:hint="eastAsia"/>
                <w:kern w:val="0"/>
                <w:sz w:val="22"/>
                <w:szCs w:val="22"/>
              </w:rPr>
              <w:t xml:space="preserve">                                                         </w:t>
            </w:r>
            <w:r w:rsidRPr="004D451D">
              <w:rPr>
                <w:rFonts w:eastAsia="標楷體" w:hint="eastAsia"/>
                <w:kern w:val="0"/>
                <w:sz w:val="22"/>
                <w:szCs w:val="22"/>
              </w:rPr>
              <w:t>單位</w:t>
            </w:r>
            <w:r w:rsidRPr="004D451D">
              <w:rPr>
                <w:rFonts w:eastAsia="標楷體" w:hint="eastAsia"/>
                <w:kern w:val="0"/>
                <w:sz w:val="22"/>
                <w:szCs w:val="22"/>
              </w:rPr>
              <w:t>:NT</w:t>
            </w:r>
            <w:r w:rsidRPr="004D451D">
              <w:rPr>
                <w:rFonts w:eastAsia="標楷體" w:hint="eastAsia"/>
                <w:kern w:val="0"/>
                <w:sz w:val="22"/>
                <w:szCs w:val="22"/>
              </w:rPr>
              <w:t>仟元</w:t>
            </w:r>
            <w:r w:rsidRPr="004D451D">
              <w:rPr>
                <w:rFonts w:eastAsia="標楷體"/>
                <w:kern w:val="0"/>
                <w:sz w:val="22"/>
                <w:szCs w:val="22"/>
              </w:rPr>
              <w:t xml:space="preserve">                             </w:t>
            </w:r>
            <w:r w:rsidRPr="004D451D">
              <w:rPr>
                <w:rFonts w:eastAsia="標楷體" w:hint="eastAsia"/>
                <w:kern w:val="0"/>
                <w:sz w:val="22"/>
                <w:szCs w:val="22"/>
              </w:rPr>
              <w:t xml:space="preserve">                  </w:t>
            </w:r>
          </w:p>
        </w:tc>
      </w:tr>
      <w:tr w:rsidR="004D451D" w:rsidRPr="004D451D" w:rsidTr="00482E54">
        <w:trPr>
          <w:trHeight w:val="442"/>
        </w:trPr>
        <w:tc>
          <w:tcPr>
            <w:tcW w:w="402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52DCC" w:rsidRPr="004D451D" w:rsidRDefault="00B52DCC" w:rsidP="007474A4">
            <w:pPr>
              <w:widowControl/>
              <w:jc w:val="center"/>
              <w:rPr>
                <w:rFonts w:ascii="標楷體" w:eastAsia="標楷體" w:hAnsi="標楷體" w:cs="新細明體"/>
                <w:kern w:val="0"/>
                <w:sz w:val="22"/>
                <w:szCs w:val="22"/>
              </w:rPr>
            </w:pPr>
            <w:r w:rsidRPr="004D451D">
              <w:rPr>
                <w:rFonts w:ascii="標楷體" w:eastAsia="標楷體" w:hAnsi="標楷體" w:cs="新細明體" w:hint="eastAsia"/>
                <w:kern w:val="0"/>
                <w:sz w:val="22"/>
                <w:szCs w:val="22"/>
              </w:rPr>
              <w:t>會計帳齡</w:t>
            </w:r>
          </w:p>
        </w:tc>
        <w:tc>
          <w:tcPr>
            <w:tcW w:w="5668" w:type="dxa"/>
            <w:tcBorders>
              <w:top w:val="single" w:sz="8" w:space="0" w:color="auto"/>
              <w:left w:val="nil"/>
              <w:bottom w:val="nil"/>
              <w:right w:val="single" w:sz="8" w:space="0" w:color="auto"/>
            </w:tcBorders>
            <w:shd w:val="clear" w:color="auto" w:fill="auto"/>
            <w:vAlign w:val="center"/>
            <w:hideMark/>
          </w:tcPr>
          <w:p w:rsidR="00B52DCC" w:rsidRPr="004D451D" w:rsidRDefault="00B52DCC" w:rsidP="007474A4">
            <w:pPr>
              <w:widowControl/>
              <w:jc w:val="center"/>
              <w:rPr>
                <w:rFonts w:ascii="標楷體" w:eastAsia="標楷體" w:hAnsi="標楷體" w:cs="新細明體"/>
                <w:kern w:val="0"/>
                <w:sz w:val="22"/>
                <w:szCs w:val="22"/>
              </w:rPr>
            </w:pPr>
            <w:r w:rsidRPr="004D451D">
              <w:rPr>
                <w:rFonts w:ascii="標楷體" w:eastAsia="標楷體" w:hAnsi="標楷體" w:cs="新細明體" w:hint="eastAsia"/>
                <w:kern w:val="0"/>
                <w:sz w:val="22"/>
                <w:szCs w:val="22"/>
              </w:rPr>
              <w:t>逾期暴險額</w:t>
            </w:r>
          </w:p>
        </w:tc>
      </w:tr>
      <w:tr w:rsidR="004D451D" w:rsidRPr="004D451D" w:rsidTr="00482E54">
        <w:trPr>
          <w:trHeight w:val="442"/>
        </w:trPr>
        <w:tc>
          <w:tcPr>
            <w:tcW w:w="4022" w:type="dxa"/>
            <w:vMerge/>
            <w:tcBorders>
              <w:top w:val="single" w:sz="8" w:space="0" w:color="auto"/>
              <w:left w:val="single" w:sz="8" w:space="0" w:color="auto"/>
              <w:bottom w:val="single" w:sz="8" w:space="0" w:color="000000"/>
              <w:right w:val="single" w:sz="8" w:space="0" w:color="000000"/>
            </w:tcBorders>
            <w:vAlign w:val="center"/>
            <w:hideMark/>
          </w:tcPr>
          <w:p w:rsidR="00B52DCC" w:rsidRPr="004D451D" w:rsidRDefault="00B52DCC" w:rsidP="007474A4">
            <w:pPr>
              <w:widowControl/>
              <w:rPr>
                <w:rFonts w:ascii="標楷體" w:eastAsia="標楷體" w:hAnsi="標楷體" w:cs="新細明體"/>
                <w:kern w:val="0"/>
                <w:sz w:val="22"/>
                <w:szCs w:val="22"/>
              </w:rPr>
            </w:pPr>
          </w:p>
        </w:tc>
        <w:tc>
          <w:tcPr>
            <w:tcW w:w="5668" w:type="dxa"/>
            <w:tcBorders>
              <w:top w:val="nil"/>
              <w:left w:val="nil"/>
              <w:bottom w:val="single" w:sz="8" w:space="0" w:color="auto"/>
              <w:right w:val="single" w:sz="8" w:space="0" w:color="auto"/>
            </w:tcBorders>
            <w:shd w:val="clear" w:color="auto" w:fill="auto"/>
            <w:vAlign w:val="center"/>
            <w:hideMark/>
          </w:tcPr>
          <w:p w:rsidR="00B52DCC" w:rsidRPr="004D451D" w:rsidRDefault="00B52DCC" w:rsidP="007474A4">
            <w:pPr>
              <w:widowControl/>
              <w:jc w:val="center"/>
              <w:rPr>
                <w:kern w:val="0"/>
                <w:sz w:val="22"/>
                <w:szCs w:val="22"/>
              </w:rPr>
            </w:pPr>
            <w:r w:rsidRPr="004D451D">
              <w:rPr>
                <w:kern w:val="0"/>
                <w:sz w:val="22"/>
                <w:szCs w:val="22"/>
              </w:rPr>
              <w:t>(</w:t>
            </w:r>
            <w:r w:rsidRPr="004D451D">
              <w:rPr>
                <w:rFonts w:ascii="標楷體" w:eastAsia="標楷體" w:hAnsi="標楷體" w:hint="eastAsia"/>
                <w:kern w:val="0"/>
                <w:sz w:val="22"/>
                <w:szCs w:val="22"/>
              </w:rPr>
              <w:t>會計</w:t>
            </w:r>
            <w:r w:rsidRPr="004D451D">
              <w:rPr>
                <w:kern w:val="0"/>
                <w:sz w:val="22"/>
                <w:szCs w:val="22"/>
              </w:rPr>
              <w:t>34</w:t>
            </w:r>
            <w:r w:rsidRPr="004D451D">
              <w:rPr>
                <w:rFonts w:ascii="標楷體" w:eastAsia="標楷體" w:hAnsi="標楷體" w:hint="eastAsia"/>
                <w:kern w:val="0"/>
                <w:sz w:val="22"/>
                <w:szCs w:val="22"/>
              </w:rPr>
              <w:t>號公報減損金額</w:t>
            </w:r>
            <w:r w:rsidRPr="004D451D">
              <w:rPr>
                <w:kern w:val="0"/>
                <w:sz w:val="22"/>
                <w:szCs w:val="22"/>
              </w:rPr>
              <w:t>)</w:t>
            </w:r>
          </w:p>
        </w:tc>
      </w:tr>
      <w:tr w:rsidR="004D451D" w:rsidRPr="004D451D" w:rsidTr="005F1B23">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F1B23" w:rsidRPr="004D451D" w:rsidRDefault="005F1B23" w:rsidP="005F1B23">
            <w:pPr>
              <w:spacing w:line="280" w:lineRule="exact"/>
              <w:jc w:val="center"/>
              <w:rPr>
                <w:rFonts w:eastAsia="標楷體"/>
                <w:sz w:val="22"/>
                <w:szCs w:val="22"/>
              </w:rPr>
            </w:pPr>
            <w:r w:rsidRPr="004D451D">
              <w:rPr>
                <w:rFonts w:eastAsia="標楷體" w:hint="eastAsia"/>
                <w:sz w:val="22"/>
                <w:szCs w:val="22"/>
              </w:rPr>
              <w:t>Stage2</w:t>
            </w:r>
          </w:p>
        </w:tc>
        <w:tc>
          <w:tcPr>
            <w:tcW w:w="5668" w:type="dxa"/>
            <w:tcBorders>
              <w:top w:val="nil"/>
              <w:left w:val="nil"/>
              <w:bottom w:val="single" w:sz="8" w:space="0" w:color="auto"/>
              <w:right w:val="single" w:sz="8" w:space="0" w:color="auto"/>
            </w:tcBorders>
            <w:shd w:val="clear" w:color="auto" w:fill="auto"/>
            <w:vAlign w:val="center"/>
            <w:hideMark/>
          </w:tcPr>
          <w:p w:rsidR="005F1B23" w:rsidRPr="004D451D" w:rsidRDefault="005F1B23" w:rsidP="005F1B23">
            <w:pPr>
              <w:jc w:val="center"/>
              <w:rPr>
                <w:rFonts w:ascii="Arial" w:hAnsi="Arial" w:cs="Arial"/>
              </w:rPr>
            </w:pPr>
            <w:r w:rsidRPr="004D451D">
              <w:rPr>
                <w:rFonts w:ascii="Arial" w:hAnsi="Arial" w:cs="Arial"/>
              </w:rPr>
              <w:t>4,043</w:t>
            </w:r>
          </w:p>
        </w:tc>
      </w:tr>
      <w:tr w:rsidR="004D451D" w:rsidRPr="004D451D" w:rsidTr="005F1B23">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F1B23" w:rsidRPr="004D451D" w:rsidRDefault="005F1B23" w:rsidP="005F1B23">
            <w:pPr>
              <w:spacing w:line="280" w:lineRule="exact"/>
              <w:jc w:val="center"/>
              <w:rPr>
                <w:rFonts w:eastAsia="標楷體"/>
                <w:sz w:val="22"/>
                <w:szCs w:val="22"/>
              </w:rPr>
            </w:pPr>
            <w:r w:rsidRPr="004D451D">
              <w:rPr>
                <w:rFonts w:eastAsia="標楷體" w:hint="eastAsia"/>
                <w:sz w:val="22"/>
                <w:szCs w:val="22"/>
              </w:rPr>
              <w:t>Stage3</w:t>
            </w:r>
          </w:p>
        </w:tc>
        <w:tc>
          <w:tcPr>
            <w:tcW w:w="5668" w:type="dxa"/>
            <w:tcBorders>
              <w:top w:val="nil"/>
              <w:left w:val="nil"/>
              <w:bottom w:val="single" w:sz="8" w:space="0" w:color="auto"/>
              <w:right w:val="single" w:sz="8" w:space="0" w:color="auto"/>
            </w:tcBorders>
            <w:shd w:val="clear" w:color="auto" w:fill="auto"/>
            <w:vAlign w:val="center"/>
            <w:hideMark/>
          </w:tcPr>
          <w:p w:rsidR="005F1B23" w:rsidRPr="004D451D" w:rsidRDefault="005F1B23" w:rsidP="005F1B23">
            <w:pPr>
              <w:jc w:val="center"/>
              <w:rPr>
                <w:rFonts w:ascii="Arial" w:hAnsi="Arial" w:cs="Arial"/>
              </w:rPr>
            </w:pPr>
            <w:r w:rsidRPr="004D451D">
              <w:rPr>
                <w:rFonts w:ascii="Arial" w:hAnsi="Arial" w:cs="Arial"/>
              </w:rPr>
              <w:t>157,703</w:t>
            </w:r>
          </w:p>
        </w:tc>
      </w:tr>
      <w:tr w:rsidR="004D451D" w:rsidRPr="004D451D" w:rsidTr="00482E54">
        <w:trPr>
          <w:trHeight w:val="442"/>
        </w:trPr>
        <w:tc>
          <w:tcPr>
            <w:tcW w:w="4022"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F1B23" w:rsidRPr="004D451D" w:rsidRDefault="005F1B23" w:rsidP="007474A4">
            <w:pPr>
              <w:widowControl/>
              <w:rPr>
                <w:rFonts w:ascii="標楷體" w:eastAsia="標楷體" w:hAnsi="標楷體" w:cs="新細明體"/>
                <w:kern w:val="0"/>
                <w:sz w:val="22"/>
                <w:szCs w:val="22"/>
              </w:rPr>
            </w:pPr>
            <w:r w:rsidRPr="004D451D">
              <w:rPr>
                <w:rFonts w:ascii="標楷體" w:eastAsia="標楷體" w:hAnsi="標楷體" w:cs="新細明體" w:hint="eastAsia"/>
                <w:kern w:val="0"/>
                <w:sz w:val="22"/>
                <w:szCs w:val="22"/>
              </w:rPr>
              <w:t>合計</w:t>
            </w:r>
          </w:p>
        </w:tc>
        <w:tc>
          <w:tcPr>
            <w:tcW w:w="5668" w:type="dxa"/>
            <w:tcBorders>
              <w:top w:val="nil"/>
              <w:left w:val="nil"/>
              <w:bottom w:val="single" w:sz="8" w:space="0" w:color="auto"/>
              <w:right w:val="single" w:sz="8" w:space="0" w:color="auto"/>
            </w:tcBorders>
            <w:shd w:val="clear" w:color="auto" w:fill="auto"/>
            <w:vAlign w:val="center"/>
            <w:hideMark/>
          </w:tcPr>
          <w:p w:rsidR="005F1B23" w:rsidRPr="004D451D" w:rsidRDefault="005F1B23" w:rsidP="005F1B23">
            <w:pPr>
              <w:jc w:val="center"/>
              <w:rPr>
                <w:rFonts w:ascii="Arial" w:hAnsi="Arial" w:cs="Arial"/>
              </w:rPr>
            </w:pPr>
            <w:r w:rsidRPr="004D451D">
              <w:rPr>
                <w:rFonts w:ascii="Arial" w:hAnsi="Arial" w:cs="Arial"/>
              </w:rPr>
              <w:t>161,746</w:t>
            </w:r>
          </w:p>
        </w:tc>
      </w:tr>
    </w:tbl>
    <w:p w:rsidR="00A020BC" w:rsidRPr="004D451D" w:rsidRDefault="00A020BC" w:rsidP="00A020BC">
      <w:pPr>
        <w:rPr>
          <w:rFonts w:eastAsia="標楷體"/>
          <w:b/>
          <w:kern w:val="0"/>
        </w:rPr>
      </w:pPr>
      <w:r w:rsidRPr="004D451D">
        <w:rPr>
          <w:rFonts w:eastAsia="標楷體"/>
          <w:b/>
          <w:kern w:val="0"/>
        </w:rPr>
        <w:t>填表說明：</w:t>
      </w:r>
    </w:p>
    <w:p w:rsidR="00A020BC" w:rsidRPr="004D451D" w:rsidRDefault="00A020BC" w:rsidP="00EF4134">
      <w:pPr>
        <w:numPr>
          <w:ilvl w:val="0"/>
          <w:numId w:val="34"/>
        </w:numPr>
        <w:spacing w:line="240" w:lineRule="atLeast"/>
        <w:ind w:leftChars="150" w:left="720" w:hangingChars="150"/>
        <w:rPr>
          <w:rFonts w:eastAsia="標楷體"/>
        </w:rPr>
      </w:pPr>
      <w:r w:rsidRPr="004D451D">
        <w:rPr>
          <w:rFonts w:eastAsia="標楷體"/>
        </w:rPr>
        <w:t>本表更新頻率：年。</w:t>
      </w:r>
    </w:p>
    <w:p w:rsidR="00096F52" w:rsidRPr="004D451D" w:rsidRDefault="00096F52" w:rsidP="00EF4134">
      <w:pPr>
        <w:numPr>
          <w:ilvl w:val="0"/>
          <w:numId w:val="34"/>
        </w:numPr>
        <w:spacing w:line="240" w:lineRule="atLeast"/>
        <w:ind w:leftChars="150" w:left="720" w:hangingChars="150"/>
        <w:rPr>
          <w:rFonts w:eastAsia="標楷體"/>
        </w:rPr>
      </w:pPr>
      <w:r w:rsidRPr="004D451D">
        <w:rPr>
          <w:rFonts w:eastAsia="標楷體"/>
        </w:rPr>
        <w:t>本表採個體基礎填報。</w:t>
      </w:r>
    </w:p>
    <w:p w:rsidR="00096F52" w:rsidRPr="004D451D" w:rsidRDefault="00096F52" w:rsidP="00EF4134">
      <w:pPr>
        <w:numPr>
          <w:ilvl w:val="0"/>
          <w:numId w:val="34"/>
        </w:numPr>
        <w:spacing w:line="240" w:lineRule="atLeast"/>
        <w:ind w:leftChars="150" w:left="720" w:hangingChars="150"/>
        <w:rPr>
          <w:rFonts w:eastAsia="標楷體"/>
        </w:rPr>
      </w:pPr>
      <w:r w:rsidRPr="004D451D">
        <w:rPr>
          <w:rFonts w:eastAsia="標楷體"/>
        </w:rPr>
        <w:t>本表定性揭露項目</w:t>
      </w:r>
      <w:r w:rsidRPr="004D451D">
        <w:rPr>
          <w:rFonts w:eastAsia="標楷體"/>
        </w:rPr>
        <w:t>4</w:t>
      </w:r>
      <w:r w:rsidRPr="004D451D">
        <w:rPr>
          <w:rFonts w:eastAsia="標楷體"/>
        </w:rPr>
        <w:t>、定量揭露項目</w:t>
      </w:r>
      <w:r w:rsidRPr="004D451D">
        <w:rPr>
          <w:rFonts w:eastAsia="標楷體"/>
        </w:rPr>
        <w:t>4</w:t>
      </w:r>
      <w:r w:rsidRPr="004D451D">
        <w:rPr>
          <w:rFonts w:eastAsia="標楷體"/>
        </w:rPr>
        <w:t>不適用，不須填列。</w:t>
      </w:r>
    </w:p>
    <w:p w:rsidR="00672B05" w:rsidRPr="004D451D" w:rsidRDefault="00672B05" w:rsidP="007D5AB5">
      <w:pPr>
        <w:spacing w:line="420" w:lineRule="exact"/>
        <w:ind w:left="180" w:hangingChars="75" w:hanging="180"/>
        <w:rPr>
          <w:rFonts w:eastAsia="標楷體"/>
        </w:rPr>
      </w:pPr>
    </w:p>
    <w:p w:rsidR="00672B05" w:rsidRPr="004D451D" w:rsidRDefault="00672B05" w:rsidP="000831F5">
      <w:pPr>
        <w:spacing w:line="420" w:lineRule="exact"/>
        <w:rPr>
          <w:rFonts w:ascii="Arial" w:eastAsia="標楷體" w:hAnsi="Arial" w:cs="Arial"/>
        </w:rPr>
      </w:pPr>
    </w:p>
    <w:p w:rsidR="00A10A84" w:rsidRPr="004D451D" w:rsidRDefault="00096F52" w:rsidP="00A10A84">
      <w:pPr>
        <w:widowControl/>
        <w:rPr>
          <w:rFonts w:eastAsia="標楷體"/>
          <w:sz w:val="32"/>
          <w:szCs w:val="32"/>
        </w:rPr>
      </w:pPr>
      <w:r w:rsidRPr="004D451D">
        <w:rPr>
          <w:rFonts w:ascii="Arial" w:eastAsia="標楷體" w:hAnsi="Arial" w:cs="Arial"/>
          <w:sz w:val="32"/>
          <w:szCs w:val="32"/>
        </w:rPr>
        <w:br w:type="page"/>
      </w:r>
      <w:r w:rsidR="00D243C4" w:rsidRPr="004D451D">
        <w:rPr>
          <w:rFonts w:eastAsia="標楷體"/>
          <w:b/>
          <w:sz w:val="32"/>
          <w:szCs w:val="32"/>
        </w:rPr>
        <w:t>【附表十</w:t>
      </w:r>
      <w:r w:rsidR="000A03CB" w:rsidRPr="004D451D">
        <w:rPr>
          <w:rFonts w:eastAsia="標楷體" w:hint="eastAsia"/>
          <w:b/>
          <w:sz w:val="32"/>
          <w:szCs w:val="32"/>
        </w:rPr>
        <w:t>七</w:t>
      </w:r>
      <w:r w:rsidR="00A10A84" w:rsidRPr="004D451D">
        <w:rPr>
          <w:rFonts w:eastAsia="標楷體"/>
          <w:b/>
          <w:sz w:val="32"/>
          <w:szCs w:val="32"/>
        </w:rPr>
        <w:t>】</w:t>
      </w:r>
    </w:p>
    <w:p w:rsidR="00A10A84" w:rsidRPr="004D451D" w:rsidRDefault="00A10A84" w:rsidP="00A10A84">
      <w:pPr>
        <w:jc w:val="center"/>
        <w:rPr>
          <w:rFonts w:eastAsia="標楷體"/>
          <w:b/>
          <w:bCs/>
          <w:sz w:val="32"/>
          <w:szCs w:val="32"/>
        </w:rPr>
      </w:pPr>
      <w:r w:rsidRPr="004D451D">
        <w:rPr>
          <w:rFonts w:eastAsia="標楷體"/>
          <w:b/>
          <w:bCs/>
          <w:sz w:val="32"/>
          <w:szCs w:val="32"/>
        </w:rPr>
        <w:t>信用風險抵減</w:t>
      </w:r>
    </w:p>
    <w:p w:rsidR="009A1E6E" w:rsidRPr="004D451D" w:rsidRDefault="009A1E6E" w:rsidP="009A1E6E">
      <w:pPr>
        <w:wordWrap w:val="0"/>
        <w:jc w:val="right"/>
        <w:rPr>
          <w:rFonts w:eastAsia="標楷體"/>
          <w:b/>
          <w:bCs/>
        </w:rPr>
      </w:pPr>
      <w:r w:rsidRPr="004D451D">
        <w:rPr>
          <w:rFonts w:eastAsia="標楷體"/>
          <w:b/>
          <w:bCs/>
          <w:sz w:val="32"/>
          <w:szCs w:val="32"/>
        </w:rPr>
        <w:t xml:space="preserve"> </w:t>
      </w:r>
      <w:r w:rsidRPr="004D451D">
        <w:rPr>
          <w:rFonts w:eastAsia="標楷體"/>
          <w:bCs/>
          <w:sz w:val="32"/>
          <w:szCs w:val="32"/>
        </w:rPr>
        <w:t xml:space="preserve">   </w:t>
      </w:r>
      <w:r w:rsidR="00B400B0" w:rsidRPr="004D451D">
        <w:rPr>
          <w:rFonts w:eastAsia="標楷體" w:hint="eastAsia"/>
          <w:bCs/>
          <w:sz w:val="32"/>
          <w:szCs w:val="32"/>
        </w:rPr>
        <w:t>10</w:t>
      </w:r>
      <w:r w:rsidR="005F1B23" w:rsidRPr="004D451D">
        <w:rPr>
          <w:rFonts w:eastAsia="標楷體" w:hint="eastAsia"/>
          <w:bCs/>
          <w:sz w:val="32"/>
          <w:szCs w:val="32"/>
        </w:rPr>
        <w:t>7</w:t>
      </w:r>
      <w:r w:rsidRPr="004D451D">
        <w:rPr>
          <w:rFonts w:eastAsia="標楷體"/>
          <w:bCs/>
          <w:sz w:val="32"/>
          <w:szCs w:val="32"/>
        </w:rPr>
        <w:t>年</w:t>
      </w:r>
      <w:r w:rsidR="005F1B23" w:rsidRPr="004D451D">
        <w:rPr>
          <w:rFonts w:eastAsia="標楷體" w:hint="eastAsia"/>
          <w:bCs/>
          <w:sz w:val="32"/>
          <w:szCs w:val="32"/>
        </w:rPr>
        <w:t>06</w:t>
      </w:r>
      <w:r w:rsidRPr="004D451D">
        <w:rPr>
          <w:rFonts w:eastAsia="標楷體"/>
          <w:bCs/>
          <w:sz w:val="32"/>
          <w:szCs w:val="32"/>
        </w:rPr>
        <w:t>月</w:t>
      </w:r>
      <w:r w:rsidR="00B400B0" w:rsidRPr="004D451D">
        <w:rPr>
          <w:rFonts w:eastAsia="標楷體" w:hint="eastAsia"/>
          <w:bCs/>
          <w:sz w:val="32"/>
          <w:szCs w:val="32"/>
        </w:rPr>
        <w:t>3</w:t>
      </w:r>
      <w:r w:rsidR="005F1B23" w:rsidRPr="004D451D">
        <w:rPr>
          <w:rFonts w:eastAsia="標楷體" w:hint="eastAsia"/>
          <w:bCs/>
          <w:sz w:val="32"/>
          <w:szCs w:val="32"/>
        </w:rPr>
        <w:t>0</w:t>
      </w:r>
      <w:r w:rsidRPr="004D451D">
        <w:rPr>
          <w:rFonts w:eastAsia="標楷體"/>
          <w:bCs/>
          <w:sz w:val="32"/>
          <w:szCs w:val="32"/>
        </w:rPr>
        <w:t>日</w:t>
      </w:r>
      <w:r w:rsidRPr="004D451D">
        <w:rPr>
          <w:rFonts w:eastAsia="標楷體" w:hint="eastAsia"/>
          <w:bCs/>
          <w:sz w:val="32"/>
          <w:szCs w:val="32"/>
        </w:rPr>
        <w:t xml:space="preserve">　　　　</w:t>
      </w:r>
      <w:r w:rsidR="00531C88" w:rsidRPr="004D451D">
        <w:rPr>
          <w:rFonts w:eastAsia="標楷體" w:hint="eastAsia"/>
          <w:bCs/>
          <w:szCs w:val="32"/>
        </w:rPr>
        <w:t>（</w:t>
      </w:r>
      <w:r w:rsidRPr="004D451D">
        <w:rPr>
          <w:rFonts w:eastAsia="標楷體"/>
          <w:bCs/>
        </w:rPr>
        <w:t>單位</w:t>
      </w:r>
      <w:r w:rsidRPr="004D451D">
        <w:rPr>
          <w:rFonts w:eastAsia="標楷體" w:hint="eastAsia"/>
          <w:bCs/>
        </w:rPr>
        <w:t>：</w:t>
      </w:r>
      <w:r w:rsidRPr="004D451D">
        <w:rPr>
          <w:rFonts w:eastAsia="標楷體"/>
          <w:bCs/>
        </w:rPr>
        <w:t>新臺幣千元</w:t>
      </w:r>
      <w:r w:rsidR="00531C88" w:rsidRPr="004D451D">
        <w:rPr>
          <w:rFonts w:eastAsia="標楷體" w:hint="eastAsia"/>
          <w:bCs/>
        </w:rPr>
        <w:t>）</w:t>
      </w:r>
    </w:p>
    <w:tbl>
      <w:tblPr>
        <w:tblW w:w="113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236"/>
        <w:gridCol w:w="1596"/>
        <w:gridCol w:w="1321"/>
        <w:gridCol w:w="1321"/>
        <w:gridCol w:w="1321"/>
        <w:gridCol w:w="1321"/>
        <w:gridCol w:w="1330"/>
        <w:gridCol w:w="1587"/>
      </w:tblGrid>
      <w:tr w:rsidR="004D451D" w:rsidRPr="004D451D" w:rsidTr="00080DEC">
        <w:trPr>
          <w:trHeight w:val="1795"/>
        </w:trPr>
        <w:tc>
          <w:tcPr>
            <w:tcW w:w="1572" w:type="dxa"/>
            <w:gridSpan w:val="2"/>
            <w:tcBorders>
              <w:left w:val="single" w:sz="4" w:space="0" w:color="auto"/>
            </w:tcBorders>
            <w:shd w:val="clear" w:color="auto" w:fill="auto"/>
            <w:vAlign w:val="center"/>
          </w:tcPr>
          <w:p w:rsidR="003D2F58" w:rsidRPr="004D451D" w:rsidRDefault="002F5DBE" w:rsidP="002F5DBE">
            <w:pPr>
              <w:spacing w:line="360" w:lineRule="auto"/>
              <w:jc w:val="center"/>
              <w:rPr>
                <w:rFonts w:eastAsia="標楷體"/>
              </w:rPr>
            </w:pPr>
            <w:r w:rsidRPr="004D451D">
              <w:rPr>
                <w:rFonts w:eastAsia="標楷體" w:hint="eastAsia"/>
              </w:rPr>
              <w:t>項目</w:t>
            </w:r>
          </w:p>
        </w:tc>
        <w:tc>
          <w:tcPr>
            <w:tcW w:w="1596" w:type="dxa"/>
            <w:shd w:val="clear" w:color="auto" w:fill="auto"/>
            <w:vAlign w:val="center"/>
          </w:tcPr>
          <w:p w:rsidR="003D2F58" w:rsidRPr="004D451D" w:rsidRDefault="003D2F58" w:rsidP="00080DEC">
            <w:pPr>
              <w:jc w:val="center"/>
              <w:rPr>
                <w:rFonts w:eastAsia="標楷體"/>
              </w:rPr>
            </w:pPr>
            <w:r w:rsidRPr="004D451D">
              <w:rPr>
                <w:rFonts w:eastAsia="標楷體"/>
              </w:rPr>
              <w:t>無擔保暴險金額</w:t>
            </w:r>
            <w:r w:rsidR="002F5DBE" w:rsidRPr="004D451D">
              <w:rPr>
                <w:rFonts w:eastAsia="標楷體" w:hint="eastAsia"/>
              </w:rPr>
              <w:t>A</w:t>
            </w:r>
          </w:p>
        </w:tc>
        <w:tc>
          <w:tcPr>
            <w:tcW w:w="1321" w:type="dxa"/>
            <w:shd w:val="clear" w:color="auto" w:fill="auto"/>
            <w:vAlign w:val="center"/>
          </w:tcPr>
          <w:p w:rsidR="003D2F58" w:rsidRPr="004D451D" w:rsidRDefault="003D2F58" w:rsidP="00080DEC">
            <w:pPr>
              <w:jc w:val="center"/>
              <w:rPr>
                <w:rFonts w:eastAsia="標楷體"/>
              </w:rPr>
            </w:pPr>
            <w:r w:rsidRPr="004D451D">
              <w:rPr>
                <w:rFonts w:eastAsia="標楷體"/>
              </w:rPr>
              <w:t>擔保暴險金額</w:t>
            </w:r>
            <w:r w:rsidRPr="004D451D">
              <w:rPr>
                <w:rFonts w:eastAsia="標楷體"/>
              </w:rPr>
              <w:t>─</w:t>
            </w:r>
            <w:r w:rsidRPr="004D451D">
              <w:rPr>
                <w:rFonts w:eastAsia="標楷體"/>
              </w:rPr>
              <w:t>擔保品</w:t>
            </w:r>
            <w:r w:rsidR="002F5DBE" w:rsidRPr="004D451D">
              <w:rPr>
                <w:rFonts w:eastAsia="標楷體" w:hint="eastAsia"/>
              </w:rPr>
              <w:t>B</w:t>
            </w:r>
          </w:p>
        </w:tc>
        <w:tc>
          <w:tcPr>
            <w:tcW w:w="1321" w:type="dxa"/>
            <w:shd w:val="clear" w:color="auto" w:fill="auto"/>
            <w:vAlign w:val="center"/>
          </w:tcPr>
          <w:p w:rsidR="003D2F58" w:rsidRPr="004D451D" w:rsidRDefault="003D2F58" w:rsidP="00080DEC">
            <w:pPr>
              <w:jc w:val="center"/>
              <w:rPr>
                <w:rFonts w:eastAsia="標楷體"/>
              </w:rPr>
            </w:pPr>
            <w:r w:rsidRPr="004D451D">
              <w:rPr>
                <w:rFonts w:eastAsia="標楷體"/>
              </w:rPr>
              <w:t>擔保暴險之擔保金額</w:t>
            </w:r>
            <w:r w:rsidRPr="004D451D">
              <w:rPr>
                <w:rFonts w:eastAsia="標楷體"/>
              </w:rPr>
              <w:t>─</w:t>
            </w:r>
            <w:r w:rsidRPr="004D451D">
              <w:rPr>
                <w:rFonts w:eastAsia="標楷體"/>
              </w:rPr>
              <w:t>擔保品</w:t>
            </w:r>
            <w:r w:rsidR="002F5DBE" w:rsidRPr="004D451D">
              <w:rPr>
                <w:rFonts w:eastAsia="標楷體" w:hint="eastAsia"/>
              </w:rPr>
              <w:t>C</w:t>
            </w:r>
          </w:p>
        </w:tc>
        <w:tc>
          <w:tcPr>
            <w:tcW w:w="1321" w:type="dxa"/>
            <w:shd w:val="clear" w:color="auto" w:fill="auto"/>
            <w:vAlign w:val="center"/>
          </w:tcPr>
          <w:p w:rsidR="003D2F58" w:rsidRPr="004D451D" w:rsidRDefault="003D2F58" w:rsidP="00080DEC">
            <w:pPr>
              <w:jc w:val="center"/>
              <w:rPr>
                <w:rFonts w:eastAsia="標楷體"/>
              </w:rPr>
            </w:pPr>
            <w:r w:rsidRPr="004D451D">
              <w:rPr>
                <w:rFonts w:eastAsia="標楷體"/>
              </w:rPr>
              <w:t>擔保暴險金額</w:t>
            </w:r>
            <w:r w:rsidRPr="004D451D">
              <w:rPr>
                <w:rFonts w:eastAsia="標楷體"/>
              </w:rPr>
              <w:t>─</w:t>
            </w:r>
            <w:r w:rsidRPr="004D451D">
              <w:rPr>
                <w:rFonts w:eastAsia="標楷體"/>
              </w:rPr>
              <w:t>財務保證</w:t>
            </w:r>
            <w:r w:rsidR="002F5DBE" w:rsidRPr="004D451D">
              <w:rPr>
                <w:rFonts w:eastAsia="標楷體" w:hint="eastAsia"/>
              </w:rPr>
              <w:t>D</w:t>
            </w:r>
          </w:p>
        </w:tc>
        <w:tc>
          <w:tcPr>
            <w:tcW w:w="1321" w:type="dxa"/>
            <w:shd w:val="clear" w:color="auto" w:fill="auto"/>
            <w:vAlign w:val="center"/>
          </w:tcPr>
          <w:p w:rsidR="003D2F58" w:rsidRPr="004D451D" w:rsidRDefault="003D2F58" w:rsidP="00080DEC">
            <w:pPr>
              <w:jc w:val="center"/>
              <w:rPr>
                <w:rFonts w:eastAsia="標楷體"/>
              </w:rPr>
            </w:pPr>
            <w:r w:rsidRPr="004D451D">
              <w:rPr>
                <w:rFonts w:eastAsia="標楷體"/>
              </w:rPr>
              <w:t>擔保暴險之擔保金額</w:t>
            </w:r>
            <w:r w:rsidRPr="004D451D">
              <w:rPr>
                <w:rFonts w:eastAsia="標楷體"/>
              </w:rPr>
              <w:t>─</w:t>
            </w:r>
            <w:r w:rsidRPr="004D451D">
              <w:rPr>
                <w:rFonts w:eastAsia="標楷體"/>
              </w:rPr>
              <w:t>財務保證</w:t>
            </w:r>
            <w:r w:rsidR="002F5DBE" w:rsidRPr="004D451D">
              <w:rPr>
                <w:rFonts w:eastAsia="標楷體" w:hint="eastAsia"/>
              </w:rPr>
              <w:t>E</w:t>
            </w:r>
          </w:p>
        </w:tc>
        <w:tc>
          <w:tcPr>
            <w:tcW w:w="1330" w:type="dxa"/>
            <w:shd w:val="clear" w:color="auto" w:fill="auto"/>
            <w:vAlign w:val="center"/>
          </w:tcPr>
          <w:p w:rsidR="003D2F58" w:rsidRPr="004D451D" w:rsidRDefault="003D2F58" w:rsidP="00080DEC">
            <w:pPr>
              <w:jc w:val="center"/>
              <w:rPr>
                <w:rFonts w:eastAsia="標楷體"/>
              </w:rPr>
            </w:pPr>
            <w:r w:rsidRPr="004D451D">
              <w:rPr>
                <w:rFonts w:eastAsia="標楷體"/>
              </w:rPr>
              <w:t>擔保暴險金額</w:t>
            </w:r>
            <w:r w:rsidRPr="004D451D">
              <w:rPr>
                <w:rFonts w:eastAsia="標楷體"/>
              </w:rPr>
              <w:t>─</w:t>
            </w:r>
            <w:r w:rsidRPr="004D451D">
              <w:rPr>
                <w:rFonts w:eastAsia="標楷體"/>
              </w:rPr>
              <w:t>信用衍生性商品</w:t>
            </w:r>
            <w:r w:rsidR="002F5DBE" w:rsidRPr="004D451D">
              <w:rPr>
                <w:rFonts w:eastAsia="標楷體" w:hint="eastAsia"/>
              </w:rPr>
              <w:t>F</w:t>
            </w:r>
          </w:p>
        </w:tc>
        <w:tc>
          <w:tcPr>
            <w:tcW w:w="1587" w:type="dxa"/>
            <w:shd w:val="clear" w:color="auto" w:fill="auto"/>
            <w:vAlign w:val="center"/>
          </w:tcPr>
          <w:p w:rsidR="003D2F58" w:rsidRPr="004D451D" w:rsidRDefault="003D2F58" w:rsidP="00080DEC">
            <w:pPr>
              <w:jc w:val="center"/>
              <w:rPr>
                <w:rFonts w:eastAsia="標楷體"/>
              </w:rPr>
            </w:pPr>
            <w:r w:rsidRPr="004D451D">
              <w:rPr>
                <w:rFonts w:eastAsia="標楷體"/>
              </w:rPr>
              <w:t>擔保暴險之擔保金額</w:t>
            </w:r>
            <w:r w:rsidRPr="004D451D">
              <w:rPr>
                <w:rFonts w:eastAsia="標楷體"/>
              </w:rPr>
              <w:t>─</w:t>
            </w:r>
            <w:r w:rsidRPr="004D451D">
              <w:rPr>
                <w:rFonts w:eastAsia="標楷體"/>
              </w:rPr>
              <w:t>信用衍生性商品</w:t>
            </w:r>
            <w:r w:rsidR="002F5DBE" w:rsidRPr="004D451D">
              <w:rPr>
                <w:rFonts w:eastAsia="標楷體" w:hint="eastAsia"/>
              </w:rPr>
              <w:t>G</w:t>
            </w:r>
          </w:p>
        </w:tc>
      </w:tr>
      <w:tr w:rsidR="004D451D" w:rsidRPr="004D451D" w:rsidTr="00080DEC">
        <w:trPr>
          <w:trHeight w:val="930"/>
        </w:trPr>
        <w:tc>
          <w:tcPr>
            <w:tcW w:w="336" w:type="dxa"/>
            <w:shd w:val="clear" w:color="auto" w:fill="auto"/>
            <w:vAlign w:val="center"/>
          </w:tcPr>
          <w:p w:rsidR="005F1B23" w:rsidRPr="004D451D" w:rsidRDefault="005F1B23" w:rsidP="002F5DBE">
            <w:pPr>
              <w:jc w:val="center"/>
              <w:rPr>
                <w:rFonts w:eastAsia="標楷體"/>
              </w:rPr>
            </w:pPr>
            <w:r w:rsidRPr="004D451D">
              <w:rPr>
                <w:rFonts w:eastAsia="標楷體"/>
              </w:rPr>
              <w:t>1</w:t>
            </w:r>
          </w:p>
        </w:tc>
        <w:tc>
          <w:tcPr>
            <w:tcW w:w="1236" w:type="dxa"/>
            <w:shd w:val="clear" w:color="auto" w:fill="auto"/>
            <w:vAlign w:val="center"/>
          </w:tcPr>
          <w:p w:rsidR="005F1B23" w:rsidRPr="004D451D" w:rsidRDefault="005F1B23" w:rsidP="002F5DBE">
            <w:pPr>
              <w:jc w:val="both"/>
              <w:rPr>
                <w:rFonts w:eastAsia="標楷體"/>
              </w:rPr>
            </w:pPr>
            <w:r w:rsidRPr="004D451D">
              <w:rPr>
                <w:rFonts w:eastAsia="標楷體"/>
              </w:rPr>
              <w:t>放款</w:t>
            </w:r>
          </w:p>
        </w:tc>
        <w:tc>
          <w:tcPr>
            <w:tcW w:w="1596"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152,708,240</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1,352,093</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1,352,093</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1,267,569</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1,267,569</w:t>
            </w:r>
          </w:p>
        </w:tc>
        <w:tc>
          <w:tcPr>
            <w:tcW w:w="1330" w:type="dxa"/>
            <w:shd w:val="clear" w:color="auto" w:fill="auto"/>
            <w:vAlign w:val="center"/>
          </w:tcPr>
          <w:p w:rsidR="005F1B23" w:rsidRPr="004D451D" w:rsidRDefault="005F1B23" w:rsidP="003F60B9">
            <w:pPr>
              <w:jc w:val="right"/>
              <w:rPr>
                <w:rFonts w:ascii="Arial" w:hAnsi="Arial" w:cs="Arial"/>
              </w:rPr>
            </w:pPr>
          </w:p>
        </w:tc>
        <w:tc>
          <w:tcPr>
            <w:tcW w:w="1587" w:type="dxa"/>
            <w:shd w:val="clear" w:color="auto" w:fill="auto"/>
            <w:vAlign w:val="center"/>
          </w:tcPr>
          <w:p w:rsidR="005F1B23" w:rsidRPr="004D451D" w:rsidRDefault="005F1B23" w:rsidP="003F60B9">
            <w:pPr>
              <w:jc w:val="right"/>
              <w:rPr>
                <w:rFonts w:ascii="Arial" w:hAnsi="Arial" w:cs="Arial"/>
              </w:rPr>
            </w:pPr>
          </w:p>
        </w:tc>
      </w:tr>
      <w:tr w:rsidR="004D451D" w:rsidRPr="004D451D" w:rsidTr="00080DEC">
        <w:trPr>
          <w:trHeight w:val="722"/>
        </w:trPr>
        <w:tc>
          <w:tcPr>
            <w:tcW w:w="336" w:type="dxa"/>
            <w:shd w:val="clear" w:color="auto" w:fill="auto"/>
            <w:vAlign w:val="center"/>
          </w:tcPr>
          <w:p w:rsidR="005F1B23" w:rsidRPr="004D451D" w:rsidRDefault="005F1B23" w:rsidP="002F5DBE">
            <w:pPr>
              <w:jc w:val="center"/>
              <w:rPr>
                <w:rFonts w:eastAsia="標楷體"/>
              </w:rPr>
            </w:pPr>
            <w:r w:rsidRPr="004D451D">
              <w:rPr>
                <w:rFonts w:eastAsia="標楷體"/>
              </w:rPr>
              <w:t>2</w:t>
            </w:r>
          </w:p>
        </w:tc>
        <w:tc>
          <w:tcPr>
            <w:tcW w:w="1236" w:type="dxa"/>
            <w:shd w:val="clear" w:color="auto" w:fill="auto"/>
            <w:vAlign w:val="center"/>
          </w:tcPr>
          <w:p w:rsidR="005F1B23" w:rsidRPr="004D451D" w:rsidRDefault="005F1B23" w:rsidP="002F5DBE">
            <w:pPr>
              <w:jc w:val="both"/>
              <w:rPr>
                <w:rFonts w:eastAsia="標楷體"/>
              </w:rPr>
            </w:pPr>
            <w:r w:rsidRPr="004D451D">
              <w:rPr>
                <w:rFonts w:eastAsia="標楷體"/>
              </w:rPr>
              <w:t>債權證券</w:t>
            </w:r>
          </w:p>
        </w:tc>
        <w:tc>
          <w:tcPr>
            <w:tcW w:w="1596"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56,600,788</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 xml:space="preserve">　</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 xml:space="preserve">　</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 xml:space="preserve">　</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 xml:space="preserve">　</w:t>
            </w:r>
          </w:p>
        </w:tc>
        <w:tc>
          <w:tcPr>
            <w:tcW w:w="1330" w:type="dxa"/>
            <w:shd w:val="clear" w:color="auto" w:fill="auto"/>
            <w:vAlign w:val="center"/>
          </w:tcPr>
          <w:p w:rsidR="005F1B23" w:rsidRPr="004D451D" w:rsidRDefault="005F1B23" w:rsidP="003F60B9">
            <w:pPr>
              <w:jc w:val="right"/>
              <w:rPr>
                <w:rFonts w:ascii="Arial" w:hAnsi="Arial" w:cs="Arial"/>
              </w:rPr>
            </w:pPr>
          </w:p>
        </w:tc>
        <w:tc>
          <w:tcPr>
            <w:tcW w:w="1587" w:type="dxa"/>
            <w:shd w:val="clear" w:color="auto" w:fill="auto"/>
            <w:vAlign w:val="center"/>
          </w:tcPr>
          <w:p w:rsidR="005F1B23" w:rsidRPr="004D451D" w:rsidRDefault="005F1B23" w:rsidP="003F60B9">
            <w:pPr>
              <w:jc w:val="right"/>
              <w:rPr>
                <w:rFonts w:ascii="Arial" w:hAnsi="Arial" w:cs="Arial"/>
              </w:rPr>
            </w:pPr>
          </w:p>
        </w:tc>
      </w:tr>
      <w:tr w:rsidR="004D451D" w:rsidRPr="004D451D" w:rsidTr="00080DEC">
        <w:trPr>
          <w:trHeight w:val="826"/>
        </w:trPr>
        <w:tc>
          <w:tcPr>
            <w:tcW w:w="336" w:type="dxa"/>
            <w:shd w:val="clear" w:color="auto" w:fill="auto"/>
            <w:vAlign w:val="center"/>
          </w:tcPr>
          <w:p w:rsidR="005F1B23" w:rsidRPr="004D451D" w:rsidRDefault="005F1B23" w:rsidP="002F5DBE">
            <w:pPr>
              <w:jc w:val="center"/>
              <w:rPr>
                <w:rFonts w:eastAsia="標楷體"/>
              </w:rPr>
            </w:pPr>
            <w:r w:rsidRPr="004D451D">
              <w:rPr>
                <w:rFonts w:eastAsia="標楷體"/>
              </w:rPr>
              <w:t>3</w:t>
            </w:r>
          </w:p>
        </w:tc>
        <w:tc>
          <w:tcPr>
            <w:tcW w:w="1236" w:type="dxa"/>
            <w:shd w:val="clear" w:color="auto" w:fill="auto"/>
            <w:vAlign w:val="center"/>
          </w:tcPr>
          <w:p w:rsidR="005F1B23" w:rsidRPr="004D451D" w:rsidRDefault="005F1B23" w:rsidP="002F5DBE">
            <w:pPr>
              <w:jc w:val="both"/>
              <w:rPr>
                <w:rFonts w:eastAsia="標楷體"/>
              </w:rPr>
            </w:pPr>
            <w:r w:rsidRPr="004D451D">
              <w:rPr>
                <w:rFonts w:eastAsia="標楷體"/>
              </w:rPr>
              <w:t>總計</w:t>
            </w:r>
          </w:p>
        </w:tc>
        <w:tc>
          <w:tcPr>
            <w:tcW w:w="1596"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209,309,028</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1,352,093</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1,352,093</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1,267,569</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1,267,569</w:t>
            </w:r>
          </w:p>
        </w:tc>
        <w:tc>
          <w:tcPr>
            <w:tcW w:w="1330" w:type="dxa"/>
            <w:shd w:val="clear" w:color="auto" w:fill="auto"/>
            <w:vAlign w:val="center"/>
          </w:tcPr>
          <w:p w:rsidR="005F1B23" w:rsidRPr="004D451D" w:rsidRDefault="005F1B23" w:rsidP="003F60B9">
            <w:pPr>
              <w:jc w:val="right"/>
              <w:rPr>
                <w:rFonts w:ascii="Arial" w:hAnsi="Arial" w:cs="Arial"/>
              </w:rPr>
            </w:pPr>
          </w:p>
        </w:tc>
        <w:tc>
          <w:tcPr>
            <w:tcW w:w="1587" w:type="dxa"/>
            <w:shd w:val="clear" w:color="auto" w:fill="auto"/>
            <w:vAlign w:val="center"/>
          </w:tcPr>
          <w:p w:rsidR="005F1B23" w:rsidRPr="004D451D" w:rsidRDefault="005F1B23" w:rsidP="003F60B9">
            <w:pPr>
              <w:jc w:val="right"/>
              <w:rPr>
                <w:rFonts w:ascii="Arial" w:hAnsi="Arial" w:cs="Arial"/>
              </w:rPr>
            </w:pPr>
          </w:p>
        </w:tc>
      </w:tr>
      <w:tr w:rsidR="004D451D" w:rsidRPr="004D451D" w:rsidTr="00080DEC">
        <w:trPr>
          <w:trHeight w:val="852"/>
        </w:trPr>
        <w:tc>
          <w:tcPr>
            <w:tcW w:w="336" w:type="dxa"/>
            <w:shd w:val="clear" w:color="auto" w:fill="auto"/>
            <w:vAlign w:val="center"/>
          </w:tcPr>
          <w:p w:rsidR="005F1B23" w:rsidRPr="004D451D" w:rsidRDefault="005F1B23" w:rsidP="002F5DBE">
            <w:pPr>
              <w:jc w:val="center"/>
              <w:rPr>
                <w:rFonts w:eastAsia="標楷體"/>
              </w:rPr>
            </w:pPr>
            <w:r w:rsidRPr="004D451D">
              <w:rPr>
                <w:rFonts w:eastAsia="標楷體"/>
              </w:rPr>
              <w:t>4</w:t>
            </w:r>
          </w:p>
        </w:tc>
        <w:tc>
          <w:tcPr>
            <w:tcW w:w="1236" w:type="dxa"/>
            <w:shd w:val="clear" w:color="auto" w:fill="auto"/>
            <w:vAlign w:val="center"/>
          </w:tcPr>
          <w:p w:rsidR="005F1B23" w:rsidRPr="004D451D" w:rsidRDefault="005F1B23" w:rsidP="002F5DBE">
            <w:pPr>
              <w:jc w:val="both"/>
              <w:rPr>
                <w:rFonts w:eastAsia="標楷體"/>
              </w:rPr>
            </w:pPr>
            <w:r w:rsidRPr="004D451D">
              <w:rPr>
                <w:rFonts w:eastAsia="標楷體"/>
              </w:rPr>
              <w:t>違約之放款與債權證券</w:t>
            </w:r>
          </w:p>
        </w:tc>
        <w:tc>
          <w:tcPr>
            <w:tcW w:w="1596"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16,525</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 xml:space="preserve">　</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 xml:space="preserve">　</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6,131</w:t>
            </w:r>
          </w:p>
        </w:tc>
        <w:tc>
          <w:tcPr>
            <w:tcW w:w="1321" w:type="dxa"/>
            <w:shd w:val="clear" w:color="auto" w:fill="auto"/>
            <w:vAlign w:val="center"/>
          </w:tcPr>
          <w:p w:rsidR="005F1B23" w:rsidRPr="004D451D" w:rsidRDefault="005F1B23" w:rsidP="003F60B9">
            <w:pPr>
              <w:jc w:val="right"/>
              <w:rPr>
                <w:rFonts w:ascii="Arial" w:hAnsi="Arial" w:cs="Arial"/>
              </w:rPr>
            </w:pPr>
            <w:r w:rsidRPr="004D451D">
              <w:rPr>
                <w:rFonts w:ascii="Arial" w:hAnsi="Arial" w:cs="Arial"/>
              </w:rPr>
              <w:t>6,131</w:t>
            </w:r>
          </w:p>
        </w:tc>
        <w:tc>
          <w:tcPr>
            <w:tcW w:w="1330" w:type="dxa"/>
            <w:shd w:val="clear" w:color="auto" w:fill="auto"/>
            <w:vAlign w:val="center"/>
          </w:tcPr>
          <w:p w:rsidR="005F1B23" w:rsidRPr="004D451D" w:rsidRDefault="005F1B23" w:rsidP="003F60B9">
            <w:pPr>
              <w:jc w:val="right"/>
              <w:rPr>
                <w:rFonts w:ascii="Arial" w:hAnsi="Arial" w:cs="Arial"/>
              </w:rPr>
            </w:pPr>
          </w:p>
        </w:tc>
        <w:tc>
          <w:tcPr>
            <w:tcW w:w="1587" w:type="dxa"/>
            <w:shd w:val="clear" w:color="auto" w:fill="auto"/>
            <w:vAlign w:val="center"/>
          </w:tcPr>
          <w:p w:rsidR="005F1B23" w:rsidRPr="004D451D" w:rsidRDefault="005F1B23" w:rsidP="003F60B9">
            <w:pPr>
              <w:jc w:val="right"/>
              <w:rPr>
                <w:rFonts w:ascii="Arial" w:hAnsi="Arial" w:cs="Arial"/>
              </w:rPr>
            </w:pPr>
          </w:p>
        </w:tc>
      </w:tr>
      <w:tr w:rsidR="004D451D" w:rsidRPr="004D451D" w:rsidTr="00B400B0">
        <w:trPr>
          <w:trHeight w:val="857"/>
        </w:trPr>
        <w:tc>
          <w:tcPr>
            <w:tcW w:w="11369" w:type="dxa"/>
            <w:gridSpan w:val="9"/>
            <w:shd w:val="clear" w:color="auto" w:fill="auto"/>
          </w:tcPr>
          <w:p w:rsidR="00AF7EF3" w:rsidRPr="004D451D" w:rsidRDefault="00AF7EF3" w:rsidP="00D50631">
            <w:pPr>
              <w:spacing w:line="360" w:lineRule="auto"/>
              <w:rPr>
                <w:rFonts w:eastAsia="標楷體"/>
              </w:rPr>
            </w:pPr>
            <w:r w:rsidRPr="004D451D">
              <w:rPr>
                <w:rFonts w:eastAsia="標楷體"/>
              </w:rPr>
              <w:t>重大變動原因及說明：</w:t>
            </w:r>
          </w:p>
        </w:tc>
      </w:tr>
    </w:tbl>
    <w:p w:rsidR="002F5DBE" w:rsidRPr="004D451D" w:rsidRDefault="002F5DBE" w:rsidP="002F5DBE">
      <w:pPr>
        <w:spacing w:line="240" w:lineRule="atLeast"/>
        <w:rPr>
          <w:rFonts w:eastAsia="標楷體"/>
          <w:b/>
          <w:kern w:val="0"/>
        </w:rPr>
      </w:pPr>
    </w:p>
    <w:p w:rsidR="002F1AD5" w:rsidRPr="004D451D" w:rsidRDefault="002F1AD5" w:rsidP="002F5DBE">
      <w:pPr>
        <w:spacing w:line="240" w:lineRule="atLeast"/>
        <w:rPr>
          <w:rFonts w:eastAsia="標楷體"/>
          <w:b/>
          <w:kern w:val="0"/>
        </w:rPr>
      </w:pPr>
      <w:r w:rsidRPr="004D451D">
        <w:rPr>
          <w:rFonts w:eastAsia="標楷體"/>
          <w:b/>
          <w:kern w:val="0"/>
        </w:rPr>
        <w:t>填表說明：</w:t>
      </w:r>
    </w:p>
    <w:p w:rsidR="002F1AD5" w:rsidRPr="004D451D" w:rsidRDefault="002F1AD5" w:rsidP="00EF4134">
      <w:pPr>
        <w:numPr>
          <w:ilvl w:val="0"/>
          <w:numId w:val="35"/>
        </w:numPr>
        <w:spacing w:line="240" w:lineRule="atLeast"/>
        <w:ind w:leftChars="150" w:left="720" w:hangingChars="150"/>
        <w:jc w:val="both"/>
        <w:rPr>
          <w:rFonts w:eastAsia="標楷體"/>
        </w:rPr>
      </w:pPr>
      <w:r w:rsidRPr="004D451D">
        <w:rPr>
          <w:rFonts w:eastAsia="標楷體"/>
        </w:rPr>
        <w:t>本表更新頻率：半年。</w:t>
      </w:r>
    </w:p>
    <w:p w:rsidR="002F5DBE" w:rsidRPr="004D451D" w:rsidRDefault="002F5DBE" w:rsidP="00EF4134">
      <w:pPr>
        <w:numPr>
          <w:ilvl w:val="0"/>
          <w:numId w:val="35"/>
        </w:numPr>
        <w:spacing w:line="240" w:lineRule="atLeast"/>
        <w:ind w:leftChars="150" w:left="720" w:hangingChars="150"/>
        <w:jc w:val="both"/>
        <w:rPr>
          <w:rFonts w:eastAsia="標楷體"/>
        </w:rPr>
      </w:pPr>
      <w:r w:rsidRPr="004D451D">
        <w:rPr>
          <w:rFonts w:eastAsia="標楷體"/>
        </w:rPr>
        <w:t>本表採個體基礎填報。</w:t>
      </w:r>
    </w:p>
    <w:p w:rsidR="002F5DBE" w:rsidRPr="004D451D" w:rsidRDefault="002F5DBE" w:rsidP="00EF4134">
      <w:pPr>
        <w:numPr>
          <w:ilvl w:val="0"/>
          <w:numId w:val="35"/>
        </w:numPr>
        <w:spacing w:line="240" w:lineRule="atLeast"/>
        <w:ind w:leftChars="150" w:left="720" w:hangingChars="150"/>
        <w:jc w:val="both"/>
        <w:rPr>
          <w:rFonts w:eastAsia="標楷體"/>
        </w:rPr>
      </w:pPr>
      <w:r w:rsidRPr="004D451D">
        <w:rPr>
          <w:rFonts w:eastAsia="標楷體"/>
        </w:rPr>
        <w:t>無擔保暴險金額：扣除損失準備</w:t>
      </w:r>
      <w:r w:rsidRPr="004D451D">
        <w:rPr>
          <w:rFonts w:eastAsia="標楷體"/>
        </w:rPr>
        <w:t>/</w:t>
      </w:r>
      <w:r w:rsidRPr="004D451D">
        <w:rPr>
          <w:rFonts w:eastAsia="標楷體"/>
        </w:rPr>
        <w:t>減損後，未運用信用風險抵減方法之暴險帳面金額，包含徵提非合格擔保品</w:t>
      </w:r>
      <w:r w:rsidRPr="004D451D">
        <w:rPr>
          <w:rFonts w:eastAsia="標楷體"/>
        </w:rPr>
        <w:t>(</w:t>
      </w:r>
      <w:r w:rsidRPr="004D451D">
        <w:rPr>
          <w:rFonts w:eastAsia="標楷體"/>
        </w:rPr>
        <w:t>如房地或機器等</w:t>
      </w:r>
      <w:r w:rsidRPr="004D451D">
        <w:rPr>
          <w:rFonts w:eastAsia="標楷體"/>
        </w:rPr>
        <w:t>)</w:t>
      </w:r>
      <w:r w:rsidRPr="004D451D">
        <w:rPr>
          <w:rFonts w:eastAsia="標楷體"/>
        </w:rPr>
        <w:t>之暴險金額。</w:t>
      </w:r>
    </w:p>
    <w:p w:rsidR="002F5DBE" w:rsidRPr="004D451D" w:rsidRDefault="002F5DBE" w:rsidP="00EF4134">
      <w:pPr>
        <w:numPr>
          <w:ilvl w:val="0"/>
          <w:numId w:val="35"/>
        </w:numPr>
        <w:spacing w:line="240" w:lineRule="atLeast"/>
        <w:ind w:leftChars="150" w:left="720" w:hangingChars="150"/>
        <w:jc w:val="both"/>
        <w:rPr>
          <w:rFonts w:eastAsia="標楷體"/>
        </w:rPr>
      </w:pPr>
      <w:r w:rsidRPr="004D451D">
        <w:rPr>
          <w:rFonts w:eastAsia="標楷體"/>
        </w:rPr>
        <w:t>擔保暴險金額</w:t>
      </w:r>
      <w:r w:rsidRPr="004D451D">
        <w:rPr>
          <w:rFonts w:eastAsia="標楷體"/>
        </w:rPr>
        <w:t>─</w:t>
      </w:r>
      <w:r w:rsidRPr="004D451D">
        <w:rPr>
          <w:rFonts w:eastAsia="標楷體"/>
        </w:rPr>
        <w:t>擔保品</w:t>
      </w:r>
      <w:r w:rsidRPr="004D451D">
        <w:rPr>
          <w:rFonts w:eastAsia="標楷體"/>
        </w:rPr>
        <w:t>/</w:t>
      </w:r>
      <w:r w:rsidRPr="004D451D">
        <w:rPr>
          <w:rFonts w:eastAsia="標楷體"/>
        </w:rPr>
        <w:t>財務保證</w:t>
      </w:r>
      <w:r w:rsidRPr="004D451D">
        <w:rPr>
          <w:rFonts w:eastAsia="標楷體"/>
        </w:rPr>
        <w:t>/</w:t>
      </w:r>
      <w:r w:rsidRPr="004D451D">
        <w:rPr>
          <w:rFonts w:eastAsia="標楷體"/>
        </w:rPr>
        <w:t>信用衍生性商品：扣除損失準備</w:t>
      </w:r>
      <w:r w:rsidRPr="004D451D">
        <w:rPr>
          <w:rFonts w:eastAsia="標楷體"/>
        </w:rPr>
        <w:t>/</w:t>
      </w:r>
      <w:r w:rsidRPr="004D451D">
        <w:rPr>
          <w:rFonts w:eastAsia="標楷體"/>
        </w:rPr>
        <w:t>減損後，部分或全部以擔保品</w:t>
      </w:r>
      <w:r w:rsidRPr="004D451D">
        <w:rPr>
          <w:rFonts w:eastAsia="標楷體"/>
        </w:rPr>
        <w:t>/</w:t>
      </w:r>
      <w:r w:rsidRPr="004D451D">
        <w:rPr>
          <w:rFonts w:eastAsia="標楷體"/>
        </w:rPr>
        <w:t>財務保證</w:t>
      </w:r>
      <w:r w:rsidRPr="004D451D">
        <w:rPr>
          <w:rFonts w:eastAsia="標楷體"/>
        </w:rPr>
        <w:t>/</w:t>
      </w:r>
      <w:r w:rsidRPr="004D451D">
        <w:rPr>
          <w:rFonts w:eastAsia="標楷體"/>
        </w:rPr>
        <w:t>信用衍生性商品擔保的暴險帳面金額。</w:t>
      </w:r>
    </w:p>
    <w:p w:rsidR="002F1AD5" w:rsidRPr="004D451D" w:rsidRDefault="002F5DBE" w:rsidP="00EF4134">
      <w:pPr>
        <w:numPr>
          <w:ilvl w:val="0"/>
          <w:numId w:val="35"/>
        </w:numPr>
        <w:spacing w:line="240" w:lineRule="atLeast"/>
        <w:ind w:leftChars="150" w:left="720" w:hangingChars="150"/>
        <w:jc w:val="both"/>
        <w:rPr>
          <w:rFonts w:eastAsia="標楷體"/>
        </w:rPr>
      </w:pPr>
      <w:r w:rsidRPr="004D451D">
        <w:rPr>
          <w:rFonts w:eastAsia="標楷體"/>
        </w:rPr>
        <w:t>擔保暴險之擔保金額</w:t>
      </w:r>
      <w:r w:rsidRPr="004D451D">
        <w:rPr>
          <w:rFonts w:eastAsia="標楷體"/>
        </w:rPr>
        <w:t>─</w:t>
      </w:r>
      <w:r w:rsidRPr="004D451D">
        <w:rPr>
          <w:rFonts w:eastAsia="標楷體"/>
        </w:rPr>
        <w:t>擔保品</w:t>
      </w:r>
      <w:r w:rsidRPr="004D451D">
        <w:rPr>
          <w:rFonts w:eastAsia="標楷體"/>
        </w:rPr>
        <w:t>/</w:t>
      </w:r>
      <w:r w:rsidRPr="004D451D">
        <w:rPr>
          <w:rFonts w:eastAsia="標楷體"/>
        </w:rPr>
        <w:t>財務保證</w:t>
      </w:r>
      <w:r w:rsidRPr="004D451D">
        <w:rPr>
          <w:rFonts w:eastAsia="標楷體"/>
        </w:rPr>
        <w:t>/</w:t>
      </w:r>
      <w:r w:rsidRPr="004D451D">
        <w:rPr>
          <w:rFonts w:eastAsia="標楷體"/>
        </w:rPr>
        <w:t>信用衍生性商品：暴險金額中有擔保品</w:t>
      </w:r>
      <w:r w:rsidRPr="004D451D">
        <w:rPr>
          <w:rFonts w:eastAsia="標楷體"/>
        </w:rPr>
        <w:t>/</w:t>
      </w:r>
      <w:r w:rsidRPr="004D451D">
        <w:rPr>
          <w:rFonts w:eastAsia="標楷體"/>
        </w:rPr>
        <w:t>財務保證</w:t>
      </w:r>
      <w:r w:rsidRPr="004D451D">
        <w:rPr>
          <w:rFonts w:eastAsia="標楷體"/>
        </w:rPr>
        <w:t>/</w:t>
      </w:r>
      <w:r w:rsidRPr="004D451D">
        <w:rPr>
          <w:rFonts w:eastAsia="標楷體"/>
        </w:rPr>
        <w:t>信用衍生性商品擔保的部分。若擔保品</w:t>
      </w:r>
      <w:r w:rsidRPr="004D451D">
        <w:rPr>
          <w:rFonts w:eastAsia="標楷體"/>
        </w:rPr>
        <w:t>/</w:t>
      </w:r>
      <w:r w:rsidRPr="004D451D">
        <w:rPr>
          <w:rFonts w:eastAsia="標楷體"/>
        </w:rPr>
        <w:t>財務保證</w:t>
      </w:r>
      <w:r w:rsidRPr="004D451D">
        <w:rPr>
          <w:rFonts w:eastAsia="標楷體"/>
        </w:rPr>
        <w:t>/</w:t>
      </w:r>
      <w:r w:rsidRPr="004D451D">
        <w:rPr>
          <w:rFonts w:eastAsia="標楷體"/>
        </w:rPr>
        <w:t>信用衍生性商品價值</w:t>
      </w:r>
      <w:r w:rsidRPr="004D451D">
        <w:rPr>
          <w:rFonts w:eastAsia="標楷體"/>
        </w:rPr>
        <w:t>(</w:t>
      </w:r>
      <w:r w:rsidRPr="004D451D">
        <w:rPr>
          <w:rFonts w:eastAsia="標楷體"/>
        </w:rPr>
        <w:t>指處分擔保品</w:t>
      </w:r>
      <w:r w:rsidRPr="004D451D">
        <w:rPr>
          <w:rFonts w:eastAsia="標楷體"/>
        </w:rPr>
        <w:t>/</w:t>
      </w:r>
      <w:r w:rsidRPr="004D451D">
        <w:rPr>
          <w:rFonts w:eastAsia="標楷體"/>
        </w:rPr>
        <w:t>信用衍生性商品金額</w:t>
      </w:r>
      <w:r w:rsidRPr="004D451D">
        <w:rPr>
          <w:rFonts w:eastAsia="標楷體"/>
        </w:rPr>
        <w:t>)</w:t>
      </w:r>
      <w:r w:rsidRPr="004D451D">
        <w:rPr>
          <w:rFonts w:eastAsia="標楷體"/>
        </w:rPr>
        <w:t>或保證價值</w:t>
      </w:r>
      <w:r w:rsidRPr="004D451D">
        <w:rPr>
          <w:rFonts w:eastAsia="標楷體"/>
        </w:rPr>
        <w:t>(</w:t>
      </w:r>
      <w:r w:rsidRPr="004D451D">
        <w:rPr>
          <w:rFonts w:eastAsia="標楷體"/>
        </w:rPr>
        <w:t>保證要求履行時可獲得之金額</w:t>
      </w:r>
      <w:r w:rsidRPr="004D451D">
        <w:rPr>
          <w:rFonts w:eastAsia="標楷體"/>
        </w:rPr>
        <w:t>)</w:t>
      </w:r>
      <w:r w:rsidRPr="004D451D">
        <w:rPr>
          <w:rFonts w:eastAsia="標楷體"/>
        </w:rPr>
        <w:t>超過暴險價值，填報暴險金額，不填報超額部分。</w:t>
      </w:r>
    </w:p>
    <w:p w:rsidR="00022282" w:rsidRPr="004D451D" w:rsidRDefault="0034436A" w:rsidP="00022282">
      <w:pPr>
        <w:widowControl/>
        <w:rPr>
          <w:rFonts w:eastAsia="標楷體"/>
          <w:sz w:val="32"/>
          <w:szCs w:val="32"/>
        </w:rPr>
      </w:pPr>
      <w:r w:rsidRPr="004D451D">
        <w:rPr>
          <w:rFonts w:ascii="Arial" w:eastAsia="標楷體" w:hAnsi="Arial" w:cs="Arial"/>
          <w:sz w:val="32"/>
          <w:szCs w:val="32"/>
        </w:rPr>
        <w:br w:type="page"/>
      </w:r>
      <w:r w:rsidR="00022282" w:rsidRPr="004D451D">
        <w:rPr>
          <w:rFonts w:eastAsia="標楷體"/>
          <w:b/>
          <w:sz w:val="32"/>
          <w:szCs w:val="32"/>
        </w:rPr>
        <w:t>【附表</w:t>
      </w:r>
      <w:r w:rsidR="002C1B48" w:rsidRPr="004D451D">
        <w:rPr>
          <w:rFonts w:eastAsia="標楷體"/>
          <w:b/>
          <w:sz w:val="32"/>
          <w:szCs w:val="32"/>
        </w:rPr>
        <w:t>十</w:t>
      </w:r>
      <w:r w:rsidR="000A03CB" w:rsidRPr="004D451D">
        <w:rPr>
          <w:rFonts w:eastAsia="標楷體" w:hint="eastAsia"/>
          <w:b/>
          <w:sz w:val="32"/>
          <w:szCs w:val="32"/>
        </w:rPr>
        <w:t>八</w:t>
      </w:r>
      <w:r w:rsidR="00022282" w:rsidRPr="004D451D">
        <w:rPr>
          <w:rFonts w:eastAsia="標楷體"/>
          <w:b/>
          <w:sz w:val="32"/>
          <w:szCs w:val="32"/>
        </w:rPr>
        <w:t>】</w:t>
      </w:r>
    </w:p>
    <w:p w:rsidR="00022282" w:rsidRPr="004D451D" w:rsidRDefault="00DA3ADF" w:rsidP="00022282">
      <w:pPr>
        <w:jc w:val="center"/>
        <w:rPr>
          <w:rFonts w:eastAsia="標楷體"/>
          <w:b/>
          <w:bCs/>
          <w:sz w:val="32"/>
          <w:szCs w:val="32"/>
        </w:rPr>
      </w:pPr>
      <w:r w:rsidRPr="004D451D">
        <w:rPr>
          <w:rFonts w:eastAsia="標楷體"/>
          <w:b/>
          <w:bCs/>
          <w:sz w:val="32"/>
          <w:szCs w:val="32"/>
        </w:rPr>
        <w:t>銀行於信用風險標準法下使用外部評</w:t>
      </w:r>
      <w:r w:rsidR="00C70874" w:rsidRPr="004D451D">
        <w:rPr>
          <w:rFonts w:eastAsia="標楷體"/>
          <w:b/>
          <w:bCs/>
          <w:sz w:val="32"/>
          <w:szCs w:val="32"/>
        </w:rPr>
        <w:t>等之定性揭露</w:t>
      </w:r>
    </w:p>
    <w:p w:rsidR="006948F8" w:rsidRPr="004D451D" w:rsidRDefault="007474A4" w:rsidP="006948F8">
      <w:pPr>
        <w:spacing w:line="360" w:lineRule="auto"/>
        <w:jc w:val="center"/>
        <w:rPr>
          <w:rFonts w:eastAsia="標楷體"/>
          <w:bCs/>
          <w:sz w:val="32"/>
          <w:szCs w:val="32"/>
        </w:rPr>
      </w:pPr>
      <w:r w:rsidRPr="004D451D">
        <w:rPr>
          <w:rFonts w:eastAsia="標楷體" w:hint="eastAsia"/>
          <w:bCs/>
          <w:sz w:val="32"/>
          <w:szCs w:val="32"/>
        </w:rPr>
        <w:t>10</w:t>
      </w:r>
      <w:r w:rsidR="009C31D6" w:rsidRPr="004D451D">
        <w:rPr>
          <w:rFonts w:eastAsia="標楷體" w:hint="eastAsia"/>
          <w:bCs/>
          <w:sz w:val="32"/>
          <w:szCs w:val="32"/>
        </w:rPr>
        <w:t>7</w:t>
      </w:r>
      <w:r w:rsidR="006948F8" w:rsidRPr="004D451D">
        <w:rPr>
          <w:rFonts w:eastAsia="標楷體"/>
          <w:bCs/>
          <w:sz w:val="32"/>
          <w:szCs w:val="32"/>
        </w:rPr>
        <w:t>年</w:t>
      </w:r>
      <w:r w:rsidR="00080DEC" w:rsidRPr="004D451D">
        <w:rPr>
          <w:rFonts w:eastAsia="標楷體" w:hint="eastAsia"/>
          <w:bCs/>
          <w:sz w:val="32"/>
          <w:szCs w:val="32"/>
        </w:rPr>
        <w:t>6</w:t>
      </w:r>
      <w:r w:rsidR="00080DEC" w:rsidRPr="004D451D">
        <w:rPr>
          <w:rFonts w:eastAsia="標楷體" w:hint="eastAsia"/>
          <w:bCs/>
          <w:sz w:val="32"/>
          <w:szCs w:val="32"/>
        </w:rPr>
        <w:t>月</w:t>
      </w:r>
      <w:r w:rsidR="00080DEC" w:rsidRPr="004D451D">
        <w:rPr>
          <w:rFonts w:eastAsia="標楷體" w:hint="eastAsia"/>
          <w:bCs/>
          <w:sz w:val="32"/>
          <w:szCs w:val="32"/>
        </w:rPr>
        <w:t>30</w:t>
      </w:r>
      <w:r w:rsidR="00080DEC" w:rsidRPr="004D451D">
        <w:rPr>
          <w:rFonts w:eastAsia="標楷體" w:hint="eastAsia"/>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4357"/>
        <w:gridCol w:w="4758"/>
      </w:tblGrid>
      <w:tr w:rsidR="004D451D" w:rsidRPr="004D451D" w:rsidTr="00080DEC">
        <w:trPr>
          <w:trHeight w:val="510"/>
        </w:trPr>
        <w:tc>
          <w:tcPr>
            <w:tcW w:w="4977" w:type="dxa"/>
            <w:gridSpan w:val="2"/>
            <w:tcBorders>
              <w:top w:val="single" w:sz="4" w:space="0" w:color="auto"/>
              <w:left w:val="single" w:sz="4" w:space="0" w:color="auto"/>
              <w:bottom w:val="single" w:sz="4" w:space="0" w:color="auto"/>
              <w:right w:val="single" w:sz="4" w:space="0" w:color="auto"/>
            </w:tcBorders>
            <w:noWrap/>
            <w:vAlign w:val="center"/>
          </w:tcPr>
          <w:p w:rsidR="005E47DE" w:rsidRPr="004D451D" w:rsidRDefault="005E47DE" w:rsidP="00A97363">
            <w:pPr>
              <w:widowControl/>
              <w:jc w:val="center"/>
              <w:rPr>
                <w:rFonts w:eastAsia="標楷體"/>
                <w:kern w:val="0"/>
              </w:rPr>
            </w:pPr>
            <w:r w:rsidRPr="004D451D">
              <w:rPr>
                <w:rFonts w:eastAsia="標楷體"/>
                <w:kern w:val="0"/>
              </w:rPr>
              <w:t>項目</w:t>
            </w:r>
          </w:p>
        </w:tc>
        <w:tc>
          <w:tcPr>
            <w:tcW w:w="4758" w:type="dxa"/>
            <w:tcBorders>
              <w:top w:val="single" w:sz="4" w:space="0" w:color="auto"/>
              <w:left w:val="nil"/>
              <w:bottom w:val="single" w:sz="4" w:space="0" w:color="auto"/>
              <w:right w:val="single" w:sz="4" w:space="0" w:color="auto"/>
            </w:tcBorders>
            <w:noWrap/>
            <w:vAlign w:val="center"/>
          </w:tcPr>
          <w:p w:rsidR="005E47DE" w:rsidRPr="004D451D" w:rsidRDefault="005E47DE" w:rsidP="00A97363">
            <w:pPr>
              <w:widowControl/>
              <w:jc w:val="center"/>
              <w:rPr>
                <w:rFonts w:eastAsia="標楷體"/>
                <w:kern w:val="0"/>
              </w:rPr>
            </w:pPr>
            <w:r w:rsidRPr="004D451D">
              <w:rPr>
                <w:rFonts w:eastAsia="標楷體"/>
                <w:kern w:val="0"/>
              </w:rPr>
              <w:t>內容</w:t>
            </w:r>
          </w:p>
        </w:tc>
      </w:tr>
      <w:tr w:rsidR="004D451D" w:rsidRPr="004D451D" w:rsidTr="00080DEC">
        <w:trPr>
          <w:trHeight w:val="1561"/>
        </w:trPr>
        <w:tc>
          <w:tcPr>
            <w:tcW w:w="620" w:type="dxa"/>
            <w:tcBorders>
              <w:top w:val="nil"/>
              <w:left w:val="single" w:sz="4" w:space="0" w:color="auto"/>
              <w:bottom w:val="single" w:sz="4" w:space="0" w:color="auto"/>
              <w:right w:val="single" w:sz="4" w:space="0" w:color="auto"/>
            </w:tcBorders>
            <w:noWrap/>
            <w:vAlign w:val="center"/>
          </w:tcPr>
          <w:p w:rsidR="007474A4" w:rsidRPr="004D451D" w:rsidRDefault="007474A4" w:rsidP="00A97363">
            <w:pPr>
              <w:widowControl/>
              <w:jc w:val="center"/>
              <w:rPr>
                <w:rFonts w:eastAsia="標楷體"/>
                <w:kern w:val="0"/>
              </w:rPr>
            </w:pPr>
            <w:r w:rsidRPr="004D451D">
              <w:rPr>
                <w:rFonts w:eastAsia="標楷體"/>
                <w:kern w:val="0"/>
              </w:rPr>
              <w:t>1</w:t>
            </w:r>
          </w:p>
        </w:tc>
        <w:tc>
          <w:tcPr>
            <w:tcW w:w="4357" w:type="dxa"/>
            <w:tcBorders>
              <w:top w:val="single" w:sz="4" w:space="0" w:color="auto"/>
              <w:left w:val="nil"/>
              <w:bottom w:val="single" w:sz="4" w:space="0" w:color="auto"/>
              <w:right w:val="single" w:sz="4" w:space="0" w:color="000000"/>
            </w:tcBorders>
            <w:vAlign w:val="center"/>
          </w:tcPr>
          <w:p w:rsidR="007474A4" w:rsidRPr="004D451D" w:rsidRDefault="007474A4" w:rsidP="000A03CB">
            <w:pPr>
              <w:widowControl/>
              <w:jc w:val="both"/>
              <w:rPr>
                <w:rFonts w:eastAsia="標楷體"/>
                <w:kern w:val="0"/>
              </w:rPr>
            </w:pPr>
            <w:r w:rsidRPr="004D451D">
              <w:rPr>
                <w:rFonts w:eastAsia="標楷體"/>
                <w:kern w:val="0"/>
              </w:rPr>
              <w:t>銀行採用外部信用評等機構</w:t>
            </w:r>
            <w:r w:rsidRPr="004D451D">
              <w:rPr>
                <w:rFonts w:eastAsia="標楷體"/>
                <w:kern w:val="0"/>
              </w:rPr>
              <w:t>(ECAIS)</w:t>
            </w:r>
            <w:r w:rsidRPr="004D451D">
              <w:rPr>
                <w:rFonts w:eastAsia="標楷體"/>
                <w:kern w:val="0"/>
              </w:rPr>
              <w:t>及出口信用機構</w:t>
            </w:r>
            <w:r w:rsidRPr="004D451D">
              <w:rPr>
                <w:rFonts w:eastAsia="標楷體"/>
                <w:kern w:val="0"/>
              </w:rPr>
              <w:t>(ECAS)</w:t>
            </w:r>
            <w:r w:rsidRPr="004D451D">
              <w:rPr>
                <w:rFonts w:eastAsia="標楷體"/>
                <w:kern w:val="0"/>
              </w:rPr>
              <w:t>之名稱，且於報表期間若有變動必須說明</w:t>
            </w:r>
          </w:p>
        </w:tc>
        <w:tc>
          <w:tcPr>
            <w:tcW w:w="4758" w:type="dxa"/>
            <w:tcBorders>
              <w:top w:val="single" w:sz="4" w:space="0" w:color="auto"/>
              <w:left w:val="nil"/>
              <w:bottom w:val="single" w:sz="4" w:space="0" w:color="auto"/>
              <w:right w:val="single" w:sz="4" w:space="0" w:color="auto"/>
            </w:tcBorders>
            <w:noWrap/>
            <w:vAlign w:val="center"/>
          </w:tcPr>
          <w:p w:rsidR="007474A4" w:rsidRPr="004D451D" w:rsidRDefault="007474A4" w:rsidP="007474A4">
            <w:pPr>
              <w:widowControl/>
              <w:spacing w:line="280" w:lineRule="exact"/>
              <w:rPr>
                <w:rFonts w:eastAsia="標楷體"/>
                <w:kern w:val="0"/>
              </w:rPr>
            </w:pPr>
            <w:r w:rsidRPr="004D451D">
              <w:rPr>
                <w:rFonts w:eastAsia="標楷體" w:hint="eastAsia"/>
              </w:rPr>
              <w:t>本行主要採用中華信用評等</w:t>
            </w:r>
            <w:r w:rsidRPr="004D451D">
              <w:rPr>
                <w:rFonts w:eastAsia="標楷體" w:hint="eastAsia"/>
              </w:rPr>
              <w:t>(</w:t>
            </w:r>
            <w:r w:rsidRPr="004D451D">
              <w:rPr>
                <w:rFonts w:eastAsia="標楷體" w:hint="eastAsia"/>
              </w:rPr>
              <w:t>股</w:t>
            </w:r>
            <w:r w:rsidRPr="004D451D">
              <w:rPr>
                <w:rFonts w:eastAsia="標楷體" w:hint="eastAsia"/>
              </w:rPr>
              <w:t>)</w:t>
            </w:r>
            <w:r w:rsidRPr="004D451D">
              <w:rPr>
                <w:rFonts w:eastAsia="標楷體" w:hint="eastAsia"/>
              </w:rPr>
              <w:t>公司、標準普爾</w:t>
            </w:r>
            <w:r w:rsidRPr="004D451D">
              <w:rPr>
                <w:rFonts w:hint="eastAsia"/>
              </w:rPr>
              <w:t>（</w:t>
            </w:r>
            <w:r w:rsidRPr="004D451D">
              <w:rPr>
                <w:rFonts w:hint="eastAsia"/>
              </w:rPr>
              <w:t>Standard  &amp;</w:t>
            </w:r>
            <w:r w:rsidRPr="004D451D">
              <w:rPr>
                <w:rFonts w:hint="eastAsia"/>
              </w:rPr>
              <w:t xml:space="preserve">　</w:t>
            </w:r>
            <w:r w:rsidRPr="004D451D">
              <w:rPr>
                <w:rFonts w:hint="eastAsia"/>
              </w:rPr>
              <w:t>Poor</w:t>
            </w:r>
            <w:r w:rsidRPr="004D451D">
              <w:t>’</w:t>
            </w:r>
            <w:r w:rsidRPr="004D451D">
              <w:rPr>
                <w:rFonts w:hint="eastAsia"/>
              </w:rPr>
              <w:t>s</w:t>
            </w:r>
            <w:r w:rsidRPr="004D451D">
              <w:rPr>
                <w:rFonts w:hint="eastAsia"/>
              </w:rPr>
              <w:t>）</w:t>
            </w:r>
            <w:r w:rsidRPr="004D451D">
              <w:rPr>
                <w:rFonts w:eastAsia="標楷體" w:hint="eastAsia"/>
              </w:rPr>
              <w:t>公司</w:t>
            </w:r>
            <w:r w:rsidRPr="004D451D">
              <w:rPr>
                <w:rFonts w:ascii="新細明體" w:hAnsi="新細明體" w:hint="eastAsia"/>
              </w:rPr>
              <w:t>、</w:t>
            </w:r>
            <w:r w:rsidRPr="004D451D">
              <w:rPr>
                <w:rFonts w:ascii="Arial" w:eastAsia="標楷體" w:hAnsi="Arial" w:cs="Arial" w:hint="eastAsia"/>
              </w:rPr>
              <w:t>穆迪</w:t>
            </w:r>
            <w:r w:rsidRPr="004D451D">
              <w:rPr>
                <w:rFonts w:hint="eastAsia"/>
                <w:spacing w:val="-12"/>
              </w:rPr>
              <w:t>（</w:t>
            </w:r>
            <w:r w:rsidRPr="004D451D">
              <w:rPr>
                <w:rFonts w:hint="eastAsia"/>
                <w:spacing w:val="-12"/>
              </w:rPr>
              <w:t>Moody</w:t>
            </w:r>
            <w:r w:rsidRPr="004D451D">
              <w:rPr>
                <w:spacing w:val="-12"/>
              </w:rPr>
              <w:t>’</w:t>
            </w:r>
            <w:r w:rsidRPr="004D451D">
              <w:rPr>
                <w:rFonts w:hint="eastAsia"/>
                <w:spacing w:val="-12"/>
              </w:rPr>
              <w:t>s</w:t>
            </w:r>
            <w:r w:rsidRPr="004D451D">
              <w:rPr>
                <w:rFonts w:hint="eastAsia"/>
                <w:spacing w:val="-12"/>
              </w:rPr>
              <w:t>）</w:t>
            </w:r>
            <w:r w:rsidRPr="004D451D">
              <w:rPr>
                <w:rFonts w:ascii="Arial" w:eastAsia="標楷體" w:hAnsi="Arial" w:cs="Arial" w:hint="eastAsia"/>
              </w:rPr>
              <w:t>信用評等</w:t>
            </w:r>
            <w:r w:rsidRPr="004D451D">
              <w:rPr>
                <w:rFonts w:ascii="Arial" w:eastAsia="標楷體" w:hAnsi="Arial" w:cs="Arial" w:hint="eastAsia"/>
              </w:rPr>
              <w:t>(</w:t>
            </w:r>
            <w:r w:rsidRPr="004D451D">
              <w:rPr>
                <w:rFonts w:ascii="Arial" w:eastAsia="標楷體" w:hAnsi="Arial" w:cs="Arial" w:hint="eastAsia"/>
              </w:rPr>
              <w:t>股</w:t>
            </w:r>
            <w:r w:rsidRPr="004D451D">
              <w:rPr>
                <w:rFonts w:ascii="Arial" w:eastAsia="標楷體" w:hAnsi="Arial" w:cs="Arial" w:hint="eastAsia"/>
              </w:rPr>
              <w:t>)</w:t>
            </w:r>
            <w:r w:rsidRPr="004D451D">
              <w:rPr>
                <w:rFonts w:eastAsia="標楷體" w:hint="eastAsia"/>
              </w:rPr>
              <w:t>公司</w:t>
            </w:r>
            <w:r w:rsidRPr="004D451D">
              <w:rPr>
                <w:rFonts w:ascii="新細明體" w:hAnsi="新細明體" w:hint="eastAsia"/>
              </w:rPr>
              <w:t>、</w:t>
            </w:r>
            <w:r w:rsidRPr="004D451D">
              <w:rPr>
                <w:rFonts w:ascii="Arial" w:eastAsia="標楷體" w:hAnsi="Arial" w:cs="Arial" w:hint="eastAsia"/>
                <w:spacing w:val="-20"/>
              </w:rPr>
              <w:t>惠譽</w:t>
            </w:r>
            <w:r w:rsidRPr="004D451D">
              <w:rPr>
                <w:rFonts w:hint="eastAsia"/>
              </w:rPr>
              <w:t>（</w:t>
            </w:r>
            <w:r w:rsidRPr="004D451D">
              <w:rPr>
                <w:rFonts w:hint="eastAsia"/>
              </w:rPr>
              <w:t>Fitch</w:t>
            </w:r>
            <w:r w:rsidRPr="004D451D">
              <w:rPr>
                <w:rFonts w:hint="eastAsia"/>
              </w:rPr>
              <w:t>）</w:t>
            </w:r>
            <w:r w:rsidRPr="004D451D">
              <w:rPr>
                <w:rFonts w:ascii="Arial" w:eastAsia="標楷體" w:hAnsi="Arial" w:cs="Arial" w:hint="eastAsia"/>
                <w:spacing w:val="-20"/>
              </w:rPr>
              <w:t>國際信用評等</w:t>
            </w:r>
            <w:r w:rsidRPr="004D451D">
              <w:rPr>
                <w:rFonts w:ascii="Arial" w:eastAsia="標楷體" w:hAnsi="Arial" w:cs="Arial" w:hint="eastAsia"/>
                <w:spacing w:val="-20"/>
              </w:rPr>
              <w:t>(</w:t>
            </w:r>
            <w:r w:rsidRPr="004D451D">
              <w:rPr>
                <w:rFonts w:ascii="Arial" w:eastAsia="標楷體" w:hAnsi="Arial" w:cs="Arial" w:hint="eastAsia"/>
              </w:rPr>
              <w:t>股</w:t>
            </w:r>
            <w:r w:rsidRPr="004D451D">
              <w:rPr>
                <w:rFonts w:ascii="Arial" w:eastAsia="標楷體" w:hAnsi="Arial" w:cs="Arial" w:hint="eastAsia"/>
              </w:rPr>
              <w:t>)</w:t>
            </w:r>
            <w:r w:rsidRPr="004D451D">
              <w:rPr>
                <w:rFonts w:eastAsia="標楷體" w:hint="eastAsia"/>
              </w:rPr>
              <w:t>公司等</w:t>
            </w:r>
            <w:r w:rsidRPr="004D451D">
              <w:rPr>
                <w:rFonts w:ascii="標楷體" w:eastAsia="標楷體" w:hAnsi="標楷體" w:hint="eastAsia"/>
              </w:rPr>
              <w:t>。</w:t>
            </w:r>
          </w:p>
        </w:tc>
      </w:tr>
      <w:tr w:rsidR="004D451D" w:rsidRPr="004D451D" w:rsidTr="00080DEC">
        <w:trPr>
          <w:trHeight w:val="1680"/>
        </w:trPr>
        <w:tc>
          <w:tcPr>
            <w:tcW w:w="620" w:type="dxa"/>
            <w:tcBorders>
              <w:top w:val="nil"/>
              <w:left w:val="single" w:sz="4" w:space="0" w:color="auto"/>
              <w:bottom w:val="single" w:sz="4" w:space="0" w:color="auto"/>
              <w:right w:val="single" w:sz="4" w:space="0" w:color="auto"/>
            </w:tcBorders>
            <w:noWrap/>
            <w:vAlign w:val="center"/>
          </w:tcPr>
          <w:p w:rsidR="007474A4" w:rsidRPr="004D451D" w:rsidRDefault="007474A4" w:rsidP="00A97363">
            <w:pPr>
              <w:widowControl/>
              <w:jc w:val="center"/>
              <w:rPr>
                <w:rFonts w:eastAsia="標楷體"/>
                <w:kern w:val="0"/>
              </w:rPr>
            </w:pPr>
            <w:r w:rsidRPr="004D451D">
              <w:rPr>
                <w:rFonts w:eastAsia="標楷體"/>
                <w:kern w:val="0"/>
              </w:rPr>
              <w:t>2</w:t>
            </w:r>
          </w:p>
        </w:tc>
        <w:tc>
          <w:tcPr>
            <w:tcW w:w="4357" w:type="dxa"/>
            <w:tcBorders>
              <w:top w:val="single" w:sz="4" w:space="0" w:color="auto"/>
              <w:left w:val="nil"/>
              <w:bottom w:val="single" w:sz="4" w:space="0" w:color="auto"/>
              <w:right w:val="single" w:sz="4" w:space="0" w:color="000000"/>
            </w:tcBorders>
            <w:vAlign w:val="center"/>
          </w:tcPr>
          <w:p w:rsidR="007474A4" w:rsidRPr="004D451D" w:rsidRDefault="007474A4" w:rsidP="000A03CB">
            <w:pPr>
              <w:widowControl/>
              <w:jc w:val="both"/>
              <w:rPr>
                <w:rFonts w:eastAsia="標楷體"/>
                <w:kern w:val="0"/>
              </w:rPr>
            </w:pPr>
            <w:r w:rsidRPr="004D451D">
              <w:rPr>
                <w:rFonts w:eastAsia="標楷體"/>
                <w:kern w:val="0"/>
              </w:rPr>
              <w:t>每一資產分類所採用的外部信用評等機構或出口信用機構</w:t>
            </w:r>
          </w:p>
        </w:tc>
        <w:tc>
          <w:tcPr>
            <w:tcW w:w="4758" w:type="dxa"/>
            <w:tcBorders>
              <w:top w:val="single" w:sz="4" w:space="0" w:color="auto"/>
              <w:left w:val="nil"/>
              <w:bottom w:val="single" w:sz="4" w:space="0" w:color="auto"/>
              <w:right w:val="single" w:sz="4" w:space="0" w:color="auto"/>
            </w:tcBorders>
            <w:noWrap/>
            <w:vAlign w:val="center"/>
          </w:tcPr>
          <w:p w:rsidR="007474A4" w:rsidRPr="004D451D" w:rsidRDefault="007474A4" w:rsidP="007474A4">
            <w:pPr>
              <w:widowControl/>
              <w:spacing w:line="280" w:lineRule="exact"/>
              <w:rPr>
                <w:rFonts w:eastAsia="標楷體"/>
                <w:kern w:val="0"/>
              </w:rPr>
            </w:pPr>
            <w:r w:rsidRPr="004D451D">
              <w:rPr>
                <w:rFonts w:eastAsia="標楷體"/>
                <w:kern w:val="0"/>
              </w:rPr>
              <w:t>每一資產</w:t>
            </w:r>
            <w:r w:rsidRPr="004D451D">
              <w:rPr>
                <w:rFonts w:eastAsia="標楷體" w:hint="eastAsia"/>
                <w:kern w:val="0"/>
              </w:rPr>
              <w:t>分類以採用中華信用評等</w:t>
            </w:r>
            <w:r w:rsidRPr="004D451D">
              <w:rPr>
                <w:rFonts w:eastAsia="標楷體" w:hint="eastAsia"/>
                <w:kern w:val="0"/>
              </w:rPr>
              <w:t>(</w:t>
            </w:r>
            <w:r w:rsidRPr="004D451D">
              <w:rPr>
                <w:rFonts w:eastAsia="標楷體" w:hint="eastAsia"/>
                <w:kern w:val="0"/>
              </w:rPr>
              <w:t>股</w:t>
            </w:r>
            <w:r w:rsidRPr="004D451D">
              <w:rPr>
                <w:rFonts w:eastAsia="標楷體" w:hint="eastAsia"/>
                <w:kern w:val="0"/>
              </w:rPr>
              <w:t>)</w:t>
            </w:r>
            <w:r w:rsidRPr="004D451D">
              <w:rPr>
                <w:rFonts w:eastAsia="標楷體" w:hint="eastAsia"/>
                <w:kern w:val="0"/>
              </w:rPr>
              <w:t>公司、標準普爾（</w:t>
            </w:r>
            <w:r w:rsidRPr="004D451D">
              <w:rPr>
                <w:rFonts w:eastAsia="標楷體" w:hint="eastAsia"/>
                <w:kern w:val="0"/>
              </w:rPr>
              <w:t>Standard  &amp;</w:t>
            </w:r>
            <w:r w:rsidRPr="004D451D">
              <w:rPr>
                <w:rFonts w:eastAsia="標楷體" w:hint="eastAsia"/>
                <w:kern w:val="0"/>
              </w:rPr>
              <w:t xml:space="preserve">　</w:t>
            </w:r>
            <w:r w:rsidRPr="004D451D">
              <w:rPr>
                <w:rFonts w:eastAsia="標楷體" w:hint="eastAsia"/>
                <w:kern w:val="0"/>
              </w:rPr>
              <w:t>Poor</w:t>
            </w:r>
            <w:r w:rsidRPr="004D451D">
              <w:rPr>
                <w:rFonts w:eastAsia="標楷體" w:hint="eastAsia"/>
                <w:kern w:val="0"/>
              </w:rPr>
              <w:t>’</w:t>
            </w:r>
            <w:r w:rsidRPr="004D451D">
              <w:rPr>
                <w:rFonts w:eastAsia="標楷體" w:hint="eastAsia"/>
                <w:kern w:val="0"/>
              </w:rPr>
              <w:t>s</w:t>
            </w:r>
            <w:r w:rsidRPr="004D451D">
              <w:rPr>
                <w:rFonts w:eastAsia="標楷體" w:hint="eastAsia"/>
                <w:kern w:val="0"/>
              </w:rPr>
              <w:t>）公司、穆迪（</w:t>
            </w:r>
            <w:r w:rsidRPr="004D451D">
              <w:rPr>
                <w:rFonts w:eastAsia="標楷體" w:hint="eastAsia"/>
                <w:kern w:val="0"/>
              </w:rPr>
              <w:t>Moody</w:t>
            </w:r>
            <w:r w:rsidRPr="004D451D">
              <w:rPr>
                <w:rFonts w:eastAsia="標楷體" w:hint="eastAsia"/>
                <w:kern w:val="0"/>
              </w:rPr>
              <w:t>’</w:t>
            </w:r>
            <w:r w:rsidRPr="004D451D">
              <w:rPr>
                <w:rFonts w:eastAsia="標楷體" w:hint="eastAsia"/>
                <w:kern w:val="0"/>
              </w:rPr>
              <w:t>s</w:t>
            </w:r>
            <w:r w:rsidRPr="004D451D">
              <w:rPr>
                <w:rFonts w:eastAsia="標楷體" w:hint="eastAsia"/>
                <w:kern w:val="0"/>
              </w:rPr>
              <w:t>）信用評等</w:t>
            </w:r>
            <w:r w:rsidRPr="004D451D">
              <w:rPr>
                <w:rFonts w:eastAsia="標楷體" w:hint="eastAsia"/>
                <w:kern w:val="0"/>
              </w:rPr>
              <w:t>(</w:t>
            </w:r>
            <w:r w:rsidRPr="004D451D">
              <w:rPr>
                <w:rFonts w:eastAsia="標楷體" w:hint="eastAsia"/>
                <w:kern w:val="0"/>
              </w:rPr>
              <w:t>股</w:t>
            </w:r>
            <w:r w:rsidRPr="004D451D">
              <w:rPr>
                <w:rFonts w:eastAsia="標楷體" w:hint="eastAsia"/>
                <w:kern w:val="0"/>
              </w:rPr>
              <w:t>)</w:t>
            </w:r>
            <w:r w:rsidRPr="004D451D">
              <w:rPr>
                <w:rFonts w:eastAsia="標楷體" w:hint="eastAsia"/>
                <w:kern w:val="0"/>
              </w:rPr>
              <w:t>公司、惠譽（</w:t>
            </w:r>
            <w:r w:rsidRPr="004D451D">
              <w:rPr>
                <w:rFonts w:eastAsia="標楷體" w:hint="eastAsia"/>
                <w:kern w:val="0"/>
              </w:rPr>
              <w:t>Fitch</w:t>
            </w:r>
            <w:r w:rsidRPr="004D451D">
              <w:rPr>
                <w:rFonts w:eastAsia="標楷體" w:hint="eastAsia"/>
                <w:kern w:val="0"/>
              </w:rPr>
              <w:t>）國際信用評等</w:t>
            </w:r>
            <w:r w:rsidRPr="004D451D">
              <w:rPr>
                <w:rFonts w:eastAsia="標楷體" w:hint="eastAsia"/>
                <w:kern w:val="0"/>
              </w:rPr>
              <w:t>(</w:t>
            </w:r>
            <w:r w:rsidRPr="004D451D">
              <w:rPr>
                <w:rFonts w:eastAsia="標楷體" w:hint="eastAsia"/>
                <w:kern w:val="0"/>
              </w:rPr>
              <w:t>股</w:t>
            </w:r>
            <w:r w:rsidRPr="004D451D">
              <w:rPr>
                <w:rFonts w:eastAsia="標楷體" w:hint="eastAsia"/>
                <w:kern w:val="0"/>
              </w:rPr>
              <w:t>)</w:t>
            </w:r>
            <w:r w:rsidRPr="004D451D">
              <w:rPr>
                <w:rFonts w:eastAsia="標楷體" w:hint="eastAsia"/>
                <w:kern w:val="0"/>
              </w:rPr>
              <w:t>公司等。為主要管理依據。</w:t>
            </w:r>
          </w:p>
        </w:tc>
      </w:tr>
      <w:tr w:rsidR="004D451D" w:rsidRPr="004D451D" w:rsidTr="00080DEC">
        <w:trPr>
          <w:trHeight w:val="1704"/>
        </w:trPr>
        <w:tc>
          <w:tcPr>
            <w:tcW w:w="620" w:type="dxa"/>
            <w:tcBorders>
              <w:top w:val="nil"/>
              <w:left w:val="single" w:sz="4" w:space="0" w:color="auto"/>
              <w:bottom w:val="single" w:sz="4" w:space="0" w:color="auto"/>
              <w:right w:val="single" w:sz="4" w:space="0" w:color="auto"/>
            </w:tcBorders>
            <w:noWrap/>
            <w:vAlign w:val="center"/>
          </w:tcPr>
          <w:p w:rsidR="007474A4" w:rsidRPr="004D451D" w:rsidRDefault="007474A4" w:rsidP="00A97363">
            <w:pPr>
              <w:widowControl/>
              <w:jc w:val="center"/>
              <w:rPr>
                <w:rFonts w:eastAsia="標楷體"/>
                <w:kern w:val="0"/>
              </w:rPr>
            </w:pPr>
            <w:r w:rsidRPr="004D451D">
              <w:rPr>
                <w:rFonts w:eastAsia="標楷體"/>
                <w:kern w:val="0"/>
              </w:rPr>
              <w:t>3</w:t>
            </w:r>
          </w:p>
        </w:tc>
        <w:tc>
          <w:tcPr>
            <w:tcW w:w="4357" w:type="dxa"/>
            <w:tcBorders>
              <w:top w:val="single" w:sz="4" w:space="0" w:color="auto"/>
              <w:left w:val="nil"/>
              <w:bottom w:val="single" w:sz="4" w:space="0" w:color="auto"/>
              <w:right w:val="single" w:sz="4" w:space="0" w:color="000000"/>
            </w:tcBorders>
            <w:vAlign w:val="center"/>
          </w:tcPr>
          <w:p w:rsidR="007474A4" w:rsidRPr="004D451D" w:rsidRDefault="007474A4" w:rsidP="000A03CB">
            <w:pPr>
              <w:widowControl/>
              <w:jc w:val="both"/>
              <w:rPr>
                <w:rFonts w:eastAsia="標楷體"/>
                <w:kern w:val="0"/>
              </w:rPr>
            </w:pPr>
            <w:r w:rsidRPr="004D451D">
              <w:rPr>
                <w:rFonts w:eastAsia="標楷體"/>
                <w:kern w:val="0"/>
              </w:rPr>
              <w:t>描述將發行者信用評等轉換為銀行簿中可比較資產之評等對應流程</w:t>
            </w:r>
          </w:p>
        </w:tc>
        <w:tc>
          <w:tcPr>
            <w:tcW w:w="4758" w:type="dxa"/>
            <w:tcBorders>
              <w:top w:val="single" w:sz="4" w:space="0" w:color="auto"/>
              <w:left w:val="nil"/>
              <w:bottom w:val="single" w:sz="4" w:space="0" w:color="auto"/>
              <w:right w:val="single" w:sz="4" w:space="0" w:color="auto"/>
            </w:tcBorders>
            <w:noWrap/>
            <w:vAlign w:val="center"/>
          </w:tcPr>
          <w:p w:rsidR="007474A4" w:rsidRPr="004D451D" w:rsidRDefault="007474A4" w:rsidP="007474A4">
            <w:pPr>
              <w:widowControl/>
              <w:spacing w:line="280" w:lineRule="exact"/>
              <w:rPr>
                <w:rFonts w:eastAsia="標楷體"/>
                <w:kern w:val="0"/>
              </w:rPr>
            </w:pPr>
            <w:r w:rsidRPr="004D451D">
              <w:rPr>
                <w:rFonts w:ascii="標楷體" w:eastAsia="標楷體" w:hAnsi="標楷體" w:cs="Arial" w:hint="eastAsia"/>
              </w:rPr>
              <w:t>使用外部信用評等之原則，係依金管會發布之「銀行自有資本與風險性資產之計算方法說明及表格」規定，並依合格外部信用評等公司之評等對照表，</w:t>
            </w:r>
            <w:r w:rsidRPr="004D451D">
              <w:rPr>
                <w:rFonts w:eastAsia="標楷體"/>
                <w:kern w:val="0"/>
              </w:rPr>
              <w:t>轉換為可比較資產之評等</w:t>
            </w:r>
            <w:r w:rsidRPr="004D451D">
              <w:rPr>
                <w:rFonts w:ascii="標楷體" w:eastAsia="標楷體" w:hAnsi="標楷體" w:hint="eastAsia"/>
                <w:kern w:val="0"/>
              </w:rPr>
              <w:t>。對於其他未評等之債權只能以未評等債權處理。</w:t>
            </w:r>
          </w:p>
        </w:tc>
      </w:tr>
      <w:tr w:rsidR="007474A4" w:rsidRPr="004D451D" w:rsidTr="00080DEC">
        <w:trPr>
          <w:trHeight w:val="1560"/>
        </w:trPr>
        <w:tc>
          <w:tcPr>
            <w:tcW w:w="620" w:type="dxa"/>
            <w:tcBorders>
              <w:top w:val="nil"/>
              <w:left w:val="single" w:sz="4" w:space="0" w:color="auto"/>
              <w:bottom w:val="single" w:sz="4" w:space="0" w:color="auto"/>
              <w:right w:val="single" w:sz="4" w:space="0" w:color="auto"/>
            </w:tcBorders>
            <w:noWrap/>
            <w:vAlign w:val="center"/>
          </w:tcPr>
          <w:p w:rsidR="007474A4" w:rsidRPr="004D451D" w:rsidRDefault="007474A4" w:rsidP="00A97363">
            <w:pPr>
              <w:widowControl/>
              <w:jc w:val="center"/>
              <w:rPr>
                <w:rFonts w:eastAsia="標楷體"/>
                <w:kern w:val="0"/>
              </w:rPr>
            </w:pPr>
            <w:r w:rsidRPr="004D451D">
              <w:rPr>
                <w:rFonts w:eastAsia="標楷體"/>
                <w:kern w:val="0"/>
              </w:rPr>
              <w:t>4</w:t>
            </w:r>
          </w:p>
        </w:tc>
        <w:tc>
          <w:tcPr>
            <w:tcW w:w="4357" w:type="dxa"/>
            <w:tcBorders>
              <w:top w:val="single" w:sz="4" w:space="0" w:color="auto"/>
              <w:left w:val="nil"/>
              <w:bottom w:val="single" w:sz="4" w:space="0" w:color="auto"/>
              <w:right w:val="single" w:sz="4" w:space="0" w:color="000000"/>
            </w:tcBorders>
            <w:vAlign w:val="center"/>
          </w:tcPr>
          <w:p w:rsidR="007474A4" w:rsidRPr="004D451D" w:rsidRDefault="007474A4" w:rsidP="000A03CB">
            <w:pPr>
              <w:widowControl/>
              <w:jc w:val="both"/>
              <w:rPr>
                <w:rFonts w:eastAsia="標楷體"/>
                <w:kern w:val="0"/>
              </w:rPr>
            </w:pPr>
            <w:r w:rsidRPr="004D451D">
              <w:rPr>
                <w:rFonts w:eastAsia="標楷體"/>
                <w:kern w:val="0"/>
              </w:rPr>
              <w:t>所使用的外部信用評等機構對信用風險等級之排列情形</w:t>
            </w:r>
            <w:r w:rsidRPr="004D451D">
              <w:rPr>
                <w:rFonts w:eastAsia="標楷體"/>
                <w:kern w:val="0"/>
              </w:rPr>
              <w:t>(</w:t>
            </w:r>
            <w:r w:rsidRPr="004D451D">
              <w:rPr>
                <w:rFonts w:eastAsia="標楷體"/>
                <w:kern w:val="0"/>
              </w:rPr>
              <w:t>除非主管機關發布銀行須遵守之對照標準程序</w:t>
            </w:r>
            <w:r w:rsidRPr="004D451D">
              <w:rPr>
                <w:rFonts w:eastAsia="標楷體"/>
                <w:kern w:val="0"/>
              </w:rPr>
              <w:t>)</w:t>
            </w:r>
          </w:p>
        </w:tc>
        <w:tc>
          <w:tcPr>
            <w:tcW w:w="4758" w:type="dxa"/>
            <w:tcBorders>
              <w:top w:val="single" w:sz="4" w:space="0" w:color="auto"/>
              <w:left w:val="nil"/>
              <w:bottom w:val="single" w:sz="4" w:space="0" w:color="auto"/>
              <w:right w:val="single" w:sz="4" w:space="0" w:color="auto"/>
            </w:tcBorders>
            <w:noWrap/>
            <w:vAlign w:val="center"/>
          </w:tcPr>
          <w:p w:rsidR="007474A4" w:rsidRPr="004D451D" w:rsidRDefault="007474A4" w:rsidP="007474A4">
            <w:pPr>
              <w:widowControl/>
              <w:spacing w:line="280" w:lineRule="exact"/>
              <w:rPr>
                <w:rFonts w:eastAsia="標楷體"/>
                <w:kern w:val="0"/>
              </w:rPr>
            </w:pPr>
            <w:r w:rsidRPr="004D451D">
              <w:rPr>
                <w:rFonts w:ascii="標楷體" w:eastAsia="標楷體" w:hAnsi="標楷體" w:cs="Arial" w:hint="eastAsia"/>
              </w:rPr>
              <w:t>針對外</w:t>
            </w:r>
            <w:r w:rsidRPr="004D451D">
              <w:rPr>
                <w:rFonts w:ascii="Arial" w:eastAsia="標楷體" w:hAnsi="Arial" w:cs="Arial" w:hint="eastAsia"/>
              </w:rPr>
              <w:t>部信用評等使用係</w:t>
            </w:r>
            <w:r w:rsidRPr="004D451D">
              <w:rPr>
                <w:rFonts w:ascii="標楷體" w:eastAsia="標楷體" w:hAnsi="標楷體" w:cs="Arial" w:hint="eastAsia"/>
              </w:rPr>
              <w:t>依金管會發布之「銀行自有資本與風險性資產之計算方法說明及表格」之規定辦理</w:t>
            </w:r>
            <w:r w:rsidRPr="004D451D">
              <w:rPr>
                <w:rFonts w:ascii="標楷體" w:eastAsia="標楷體" w:hAnsi="標楷體" w:hint="eastAsia"/>
                <w:kern w:val="0"/>
              </w:rPr>
              <w:t>。</w:t>
            </w:r>
            <w:r w:rsidRPr="004D451D">
              <w:rPr>
                <w:rFonts w:eastAsia="標楷體"/>
                <w:kern w:val="0"/>
              </w:rPr>
              <w:t xml:space="preserve">　</w:t>
            </w:r>
          </w:p>
        </w:tc>
      </w:tr>
    </w:tbl>
    <w:p w:rsidR="006948F8" w:rsidRPr="004D451D" w:rsidRDefault="006948F8" w:rsidP="006948F8">
      <w:pPr>
        <w:spacing w:line="360" w:lineRule="auto"/>
        <w:rPr>
          <w:rFonts w:eastAsia="標楷體"/>
          <w:szCs w:val="28"/>
        </w:rPr>
      </w:pPr>
    </w:p>
    <w:p w:rsidR="006948F8" w:rsidRPr="004D451D" w:rsidRDefault="006948F8" w:rsidP="00357F7F">
      <w:pPr>
        <w:spacing w:line="240" w:lineRule="atLeast"/>
        <w:rPr>
          <w:rFonts w:eastAsia="標楷體"/>
          <w:b/>
          <w:kern w:val="0"/>
        </w:rPr>
      </w:pPr>
      <w:r w:rsidRPr="004D451D">
        <w:rPr>
          <w:rFonts w:eastAsia="標楷體"/>
          <w:b/>
          <w:kern w:val="0"/>
        </w:rPr>
        <w:t>填表說明：</w:t>
      </w:r>
    </w:p>
    <w:p w:rsidR="006948F8" w:rsidRPr="004D451D" w:rsidRDefault="006948F8" w:rsidP="00EF4134">
      <w:pPr>
        <w:numPr>
          <w:ilvl w:val="0"/>
          <w:numId w:val="36"/>
        </w:numPr>
        <w:spacing w:line="240" w:lineRule="atLeast"/>
        <w:ind w:leftChars="150" w:left="720" w:hangingChars="150"/>
        <w:rPr>
          <w:rFonts w:eastAsia="標楷體"/>
        </w:rPr>
      </w:pPr>
      <w:r w:rsidRPr="004D451D">
        <w:rPr>
          <w:rFonts w:eastAsia="標楷體"/>
        </w:rPr>
        <w:t>本表更新頻率：年。</w:t>
      </w:r>
    </w:p>
    <w:p w:rsidR="00357F7F" w:rsidRPr="004D451D" w:rsidRDefault="00357F7F" w:rsidP="00EF4134">
      <w:pPr>
        <w:numPr>
          <w:ilvl w:val="0"/>
          <w:numId w:val="36"/>
        </w:numPr>
        <w:spacing w:line="240" w:lineRule="atLeast"/>
        <w:ind w:leftChars="150" w:left="720" w:hangingChars="150"/>
        <w:rPr>
          <w:rFonts w:eastAsia="標楷體"/>
        </w:rPr>
      </w:pPr>
      <w:r w:rsidRPr="004D451D">
        <w:rPr>
          <w:rFonts w:eastAsia="標楷體"/>
        </w:rPr>
        <w:t>本表採個體基礎填報。</w:t>
      </w:r>
    </w:p>
    <w:p w:rsidR="000E0EEC" w:rsidRPr="004D451D" w:rsidRDefault="000E0EEC" w:rsidP="002E4D3A">
      <w:pPr>
        <w:widowControl/>
        <w:rPr>
          <w:rFonts w:ascii="Arial" w:eastAsia="標楷體" w:hAnsi="Arial" w:cs="Arial"/>
          <w:sz w:val="32"/>
          <w:szCs w:val="32"/>
        </w:rPr>
      </w:pPr>
    </w:p>
    <w:p w:rsidR="000E0EEC" w:rsidRPr="004D451D" w:rsidRDefault="000E0EEC" w:rsidP="002E4D3A">
      <w:pPr>
        <w:widowControl/>
        <w:rPr>
          <w:rFonts w:ascii="Arial" w:eastAsia="標楷體" w:hAnsi="Arial" w:cs="Arial"/>
          <w:sz w:val="32"/>
          <w:szCs w:val="32"/>
        </w:rPr>
      </w:pPr>
    </w:p>
    <w:p w:rsidR="000E0EEC" w:rsidRPr="004D451D" w:rsidRDefault="000E0EEC" w:rsidP="002E4D3A">
      <w:pPr>
        <w:widowControl/>
        <w:rPr>
          <w:rFonts w:ascii="Arial" w:eastAsia="標楷體" w:hAnsi="Arial" w:cs="Arial"/>
          <w:sz w:val="32"/>
          <w:szCs w:val="32"/>
        </w:rPr>
      </w:pPr>
    </w:p>
    <w:p w:rsidR="000E0EEC" w:rsidRPr="004D451D" w:rsidRDefault="000E0EEC" w:rsidP="002E4D3A">
      <w:pPr>
        <w:widowControl/>
        <w:rPr>
          <w:rFonts w:ascii="Arial" w:eastAsia="標楷體" w:hAnsi="Arial" w:cs="Arial"/>
          <w:sz w:val="32"/>
          <w:szCs w:val="32"/>
        </w:rPr>
      </w:pPr>
    </w:p>
    <w:p w:rsidR="000E0EEC" w:rsidRPr="004D451D" w:rsidRDefault="000E0EEC" w:rsidP="002E4D3A">
      <w:pPr>
        <w:widowControl/>
        <w:rPr>
          <w:rFonts w:ascii="Arial" w:eastAsia="標楷體" w:hAnsi="Arial" w:cs="Arial"/>
          <w:sz w:val="32"/>
          <w:szCs w:val="32"/>
        </w:rPr>
      </w:pPr>
    </w:p>
    <w:p w:rsidR="002E4D3A" w:rsidRPr="004D451D" w:rsidRDefault="00357F7F" w:rsidP="00D961B4">
      <w:pPr>
        <w:widowControl/>
        <w:spacing w:line="480" w:lineRule="exact"/>
        <w:rPr>
          <w:rFonts w:eastAsia="標楷體"/>
          <w:sz w:val="32"/>
          <w:szCs w:val="32"/>
        </w:rPr>
      </w:pPr>
      <w:r w:rsidRPr="004D451D">
        <w:rPr>
          <w:rFonts w:ascii="Arial" w:eastAsia="標楷體" w:hAnsi="Arial" w:cs="Arial"/>
          <w:sz w:val="32"/>
          <w:szCs w:val="32"/>
        </w:rPr>
        <w:br w:type="page"/>
      </w:r>
      <w:r w:rsidR="000E0EEC" w:rsidRPr="004D451D">
        <w:rPr>
          <w:rFonts w:eastAsia="標楷體"/>
          <w:b/>
          <w:sz w:val="32"/>
          <w:szCs w:val="32"/>
        </w:rPr>
        <w:t>【附表</w:t>
      </w:r>
      <w:r w:rsidR="002C1B48" w:rsidRPr="004D451D">
        <w:rPr>
          <w:rFonts w:eastAsia="標楷體"/>
          <w:b/>
          <w:sz w:val="32"/>
          <w:szCs w:val="32"/>
        </w:rPr>
        <w:t>十</w:t>
      </w:r>
      <w:r w:rsidR="000A03CB" w:rsidRPr="004D451D">
        <w:rPr>
          <w:rFonts w:eastAsia="標楷體" w:hint="eastAsia"/>
          <w:b/>
          <w:sz w:val="32"/>
          <w:szCs w:val="32"/>
        </w:rPr>
        <w:t>九</w:t>
      </w:r>
      <w:r w:rsidR="002E4D3A" w:rsidRPr="004D451D">
        <w:rPr>
          <w:rFonts w:eastAsia="標楷體"/>
          <w:b/>
          <w:sz w:val="32"/>
          <w:szCs w:val="32"/>
        </w:rPr>
        <w:t>】</w:t>
      </w:r>
    </w:p>
    <w:p w:rsidR="002E4D3A" w:rsidRPr="004D451D" w:rsidRDefault="002E4D3A" w:rsidP="00D961B4">
      <w:pPr>
        <w:spacing w:line="480" w:lineRule="exact"/>
        <w:jc w:val="center"/>
        <w:rPr>
          <w:rFonts w:eastAsia="標楷體"/>
          <w:b/>
          <w:bCs/>
          <w:sz w:val="32"/>
          <w:szCs w:val="32"/>
        </w:rPr>
      </w:pPr>
      <w:r w:rsidRPr="004D451D">
        <w:rPr>
          <w:rFonts w:eastAsia="標楷體"/>
          <w:b/>
          <w:bCs/>
          <w:sz w:val="32"/>
          <w:szCs w:val="32"/>
        </w:rPr>
        <w:t>信用風險暴險及信用風險抵減之效果</w:t>
      </w:r>
      <w:r w:rsidR="00F3145A" w:rsidRPr="004D451D">
        <w:rPr>
          <w:rFonts w:hint="eastAsia"/>
          <w:b/>
        </w:rPr>
        <w:t>─</w:t>
      </w:r>
      <w:r w:rsidR="00F3145A" w:rsidRPr="004D451D">
        <w:rPr>
          <w:rFonts w:eastAsia="標楷體"/>
          <w:b/>
          <w:bCs/>
          <w:sz w:val="32"/>
          <w:szCs w:val="32"/>
        </w:rPr>
        <w:t>標準法</w:t>
      </w:r>
    </w:p>
    <w:p w:rsidR="009A1E6E" w:rsidRPr="004D451D" w:rsidRDefault="009A1E6E" w:rsidP="00D961B4">
      <w:pPr>
        <w:spacing w:line="480" w:lineRule="exact"/>
        <w:jc w:val="right"/>
        <w:rPr>
          <w:rFonts w:eastAsia="標楷體"/>
          <w:b/>
          <w:bCs/>
        </w:rPr>
      </w:pPr>
      <w:r w:rsidRPr="004D451D">
        <w:rPr>
          <w:rFonts w:eastAsia="標楷體"/>
          <w:b/>
          <w:bCs/>
          <w:sz w:val="32"/>
          <w:szCs w:val="32"/>
        </w:rPr>
        <w:t xml:space="preserve"> </w:t>
      </w:r>
      <w:r w:rsidRPr="004D451D">
        <w:rPr>
          <w:rFonts w:eastAsia="標楷體"/>
          <w:bCs/>
          <w:sz w:val="32"/>
          <w:szCs w:val="32"/>
        </w:rPr>
        <w:t xml:space="preserve">   </w:t>
      </w:r>
      <w:r w:rsidR="00E00E57" w:rsidRPr="004D451D">
        <w:rPr>
          <w:rFonts w:eastAsia="標楷體" w:hint="eastAsia"/>
          <w:bCs/>
          <w:sz w:val="32"/>
          <w:szCs w:val="32"/>
        </w:rPr>
        <w:t>10</w:t>
      </w:r>
      <w:r w:rsidR="003F60B9" w:rsidRPr="004D451D">
        <w:rPr>
          <w:rFonts w:eastAsia="標楷體" w:hint="eastAsia"/>
          <w:bCs/>
          <w:sz w:val="32"/>
          <w:szCs w:val="32"/>
        </w:rPr>
        <w:t>7</w:t>
      </w:r>
      <w:r w:rsidRPr="004D451D">
        <w:rPr>
          <w:rFonts w:eastAsia="標楷體"/>
          <w:bCs/>
          <w:sz w:val="32"/>
          <w:szCs w:val="32"/>
        </w:rPr>
        <w:t>年</w:t>
      </w:r>
      <w:r w:rsidR="003F60B9" w:rsidRPr="004D451D">
        <w:rPr>
          <w:rFonts w:eastAsia="標楷體" w:hint="eastAsia"/>
          <w:bCs/>
          <w:sz w:val="32"/>
          <w:szCs w:val="32"/>
        </w:rPr>
        <w:t>06</w:t>
      </w:r>
      <w:r w:rsidRPr="004D451D">
        <w:rPr>
          <w:rFonts w:eastAsia="標楷體"/>
          <w:bCs/>
          <w:sz w:val="32"/>
          <w:szCs w:val="32"/>
        </w:rPr>
        <w:t>月</w:t>
      </w:r>
      <w:r w:rsidR="00E00E57" w:rsidRPr="004D451D">
        <w:rPr>
          <w:rFonts w:eastAsia="標楷體" w:hint="eastAsia"/>
          <w:bCs/>
          <w:sz w:val="32"/>
          <w:szCs w:val="32"/>
        </w:rPr>
        <w:t>3</w:t>
      </w:r>
      <w:r w:rsidR="003F60B9" w:rsidRPr="004D451D">
        <w:rPr>
          <w:rFonts w:eastAsia="標楷體" w:hint="eastAsia"/>
          <w:bCs/>
          <w:sz w:val="32"/>
          <w:szCs w:val="32"/>
        </w:rPr>
        <w:t>0</w:t>
      </w:r>
      <w:r w:rsidRPr="004D451D">
        <w:rPr>
          <w:rFonts w:eastAsia="標楷體"/>
          <w:bCs/>
          <w:sz w:val="32"/>
          <w:szCs w:val="32"/>
        </w:rPr>
        <w:t>日</w:t>
      </w:r>
      <w:r w:rsidRPr="004D451D">
        <w:rPr>
          <w:rFonts w:eastAsia="標楷體" w:hint="eastAsia"/>
          <w:bCs/>
          <w:sz w:val="32"/>
          <w:szCs w:val="32"/>
        </w:rPr>
        <w:t xml:space="preserve">　　　</w:t>
      </w:r>
      <w:r w:rsidR="00033FC5" w:rsidRPr="004D451D">
        <w:rPr>
          <w:rFonts w:ascii="標楷體" w:eastAsia="標楷體" w:hAnsi="標楷體" w:cs="Arial" w:hint="eastAsia"/>
        </w:rPr>
        <w:t>（</w:t>
      </w:r>
      <w:r w:rsidRPr="004D451D">
        <w:rPr>
          <w:rFonts w:eastAsia="標楷體"/>
          <w:bCs/>
        </w:rPr>
        <w:t>單位</w:t>
      </w:r>
      <w:r w:rsidRPr="004D451D">
        <w:rPr>
          <w:rFonts w:eastAsia="標楷體" w:hint="eastAsia"/>
          <w:bCs/>
        </w:rPr>
        <w:t>：</w:t>
      </w:r>
      <w:r w:rsidRPr="004D451D">
        <w:rPr>
          <w:rFonts w:eastAsia="標楷體"/>
          <w:bCs/>
        </w:rPr>
        <w:t>新臺幣千元</w:t>
      </w:r>
      <w:r w:rsidRPr="004D451D">
        <w:rPr>
          <w:rFonts w:eastAsia="標楷體" w:hint="eastAsia"/>
          <w:bCs/>
        </w:rPr>
        <w:t>；</w:t>
      </w:r>
      <w:r w:rsidRPr="004D451D">
        <w:rPr>
          <w:rFonts w:eastAsia="標楷體" w:hint="eastAsia"/>
          <w:bCs/>
        </w:rPr>
        <w:t>%</w:t>
      </w:r>
      <w:r w:rsidR="00033FC5" w:rsidRPr="004D451D">
        <w:rPr>
          <w:rFonts w:ascii="標楷體" w:eastAsia="標楷體" w:hAnsi="標楷體" w:cs="Arial" w:hint="eastAsia"/>
        </w:rPr>
        <w:t>）</w:t>
      </w:r>
    </w:p>
    <w:tbl>
      <w:tblPr>
        <w:tblW w:w="10886"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1873"/>
        <w:gridCol w:w="1551"/>
        <w:gridCol w:w="1423"/>
        <w:gridCol w:w="1556"/>
        <w:gridCol w:w="1423"/>
        <w:gridCol w:w="1556"/>
        <w:gridCol w:w="1168"/>
      </w:tblGrid>
      <w:tr w:rsidR="004D451D" w:rsidRPr="004D451D" w:rsidTr="003F60B9">
        <w:trPr>
          <w:trHeight w:val="802"/>
          <w:jc w:val="center"/>
        </w:trPr>
        <w:tc>
          <w:tcPr>
            <w:tcW w:w="2209" w:type="dxa"/>
            <w:gridSpan w:val="2"/>
            <w:tcBorders>
              <w:left w:val="single" w:sz="4" w:space="0" w:color="auto"/>
            </w:tcBorders>
            <w:shd w:val="clear" w:color="auto" w:fill="auto"/>
            <w:vAlign w:val="center"/>
          </w:tcPr>
          <w:p w:rsidR="003D2F58" w:rsidRPr="004D451D" w:rsidRDefault="001934E3" w:rsidP="00D50631">
            <w:pPr>
              <w:spacing w:line="360" w:lineRule="auto"/>
              <w:jc w:val="center"/>
              <w:rPr>
                <w:rFonts w:eastAsia="標楷體"/>
              </w:rPr>
            </w:pPr>
            <w:r w:rsidRPr="004D451D">
              <w:rPr>
                <w:rFonts w:eastAsia="標楷體"/>
              </w:rPr>
              <w:t>項目</w:t>
            </w:r>
          </w:p>
        </w:tc>
        <w:tc>
          <w:tcPr>
            <w:tcW w:w="2974" w:type="dxa"/>
            <w:gridSpan w:val="2"/>
            <w:shd w:val="clear" w:color="auto" w:fill="auto"/>
            <w:vAlign w:val="center"/>
          </w:tcPr>
          <w:p w:rsidR="003D2F58" w:rsidRPr="004D451D" w:rsidRDefault="00945A03" w:rsidP="001934E3">
            <w:pPr>
              <w:jc w:val="center"/>
              <w:rPr>
                <w:rFonts w:eastAsia="標楷體"/>
              </w:rPr>
            </w:pPr>
            <w:r w:rsidRPr="004D451D">
              <w:rPr>
                <w:rFonts w:eastAsia="標楷體"/>
              </w:rPr>
              <w:t>考慮信用轉換係數與信用風險抵減前暴險額</w:t>
            </w:r>
          </w:p>
        </w:tc>
        <w:tc>
          <w:tcPr>
            <w:tcW w:w="2979" w:type="dxa"/>
            <w:gridSpan w:val="2"/>
            <w:shd w:val="clear" w:color="auto" w:fill="auto"/>
            <w:vAlign w:val="center"/>
          </w:tcPr>
          <w:p w:rsidR="003D2F58" w:rsidRPr="004D451D" w:rsidRDefault="003353DC" w:rsidP="001934E3">
            <w:pPr>
              <w:jc w:val="center"/>
              <w:rPr>
                <w:rFonts w:eastAsia="標楷體"/>
              </w:rPr>
            </w:pPr>
            <w:r w:rsidRPr="004D451D">
              <w:rPr>
                <w:rFonts w:eastAsia="標楷體"/>
              </w:rPr>
              <w:t>考慮信用轉換係數與信用風險抵減後暴險額</w:t>
            </w:r>
          </w:p>
        </w:tc>
        <w:tc>
          <w:tcPr>
            <w:tcW w:w="2724" w:type="dxa"/>
            <w:gridSpan w:val="2"/>
            <w:shd w:val="clear" w:color="auto" w:fill="auto"/>
            <w:vAlign w:val="center"/>
          </w:tcPr>
          <w:p w:rsidR="003D2F58" w:rsidRPr="004D451D" w:rsidRDefault="003D2F58" w:rsidP="001934E3">
            <w:pPr>
              <w:jc w:val="center"/>
              <w:rPr>
                <w:rFonts w:eastAsia="標楷體"/>
              </w:rPr>
            </w:pPr>
            <w:r w:rsidRPr="004D451D">
              <w:rPr>
                <w:rFonts w:eastAsia="標楷體"/>
              </w:rPr>
              <w:t>風險性資產與平均風險權數</w:t>
            </w:r>
          </w:p>
        </w:tc>
      </w:tr>
      <w:tr w:rsidR="004D451D" w:rsidRPr="004D451D" w:rsidTr="003F60B9">
        <w:trPr>
          <w:trHeight w:val="572"/>
          <w:jc w:val="center"/>
        </w:trPr>
        <w:tc>
          <w:tcPr>
            <w:tcW w:w="2209" w:type="dxa"/>
            <w:gridSpan w:val="2"/>
            <w:shd w:val="clear" w:color="auto" w:fill="auto"/>
            <w:vAlign w:val="center"/>
          </w:tcPr>
          <w:p w:rsidR="003D2F58" w:rsidRPr="004D451D" w:rsidRDefault="003D2F58" w:rsidP="00C57753">
            <w:pPr>
              <w:spacing w:line="360" w:lineRule="auto"/>
              <w:jc w:val="center"/>
              <w:rPr>
                <w:rFonts w:eastAsia="標楷體"/>
              </w:rPr>
            </w:pPr>
            <w:r w:rsidRPr="004D451D">
              <w:rPr>
                <w:rFonts w:eastAsia="標楷體"/>
              </w:rPr>
              <w:t>暴險類型</w:t>
            </w:r>
          </w:p>
        </w:tc>
        <w:tc>
          <w:tcPr>
            <w:tcW w:w="1551" w:type="dxa"/>
            <w:shd w:val="clear" w:color="auto" w:fill="auto"/>
            <w:vAlign w:val="center"/>
          </w:tcPr>
          <w:p w:rsidR="003D2F58" w:rsidRPr="004D451D" w:rsidRDefault="003D2F58" w:rsidP="001934E3">
            <w:pPr>
              <w:jc w:val="center"/>
              <w:rPr>
                <w:rFonts w:eastAsia="標楷體"/>
              </w:rPr>
            </w:pPr>
            <w:r w:rsidRPr="004D451D">
              <w:rPr>
                <w:rFonts w:eastAsia="標楷體"/>
              </w:rPr>
              <w:t>表內金額</w:t>
            </w:r>
            <w:r w:rsidR="001934E3" w:rsidRPr="004D451D">
              <w:rPr>
                <w:rFonts w:eastAsia="標楷體"/>
              </w:rPr>
              <w:t>A</w:t>
            </w:r>
          </w:p>
        </w:tc>
        <w:tc>
          <w:tcPr>
            <w:tcW w:w="1423" w:type="dxa"/>
            <w:shd w:val="clear" w:color="auto" w:fill="auto"/>
            <w:vAlign w:val="center"/>
          </w:tcPr>
          <w:p w:rsidR="003D2F58" w:rsidRPr="004D451D" w:rsidRDefault="003D2F58" w:rsidP="001934E3">
            <w:pPr>
              <w:jc w:val="center"/>
              <w:rPr>
                <w:rFonts w:eastAsia="標楷體"/>
              </w:rPr>
            </w:pPr>
            <w:r w:rsidRPr="004D451D">
              <w:rPr>
                <w:rFonts w:eastAsia="標楷體"/>
              </w:rPr>
              <w:t>表外金額</w:t>
            </w:r>
            <w:r w:rsidR="001934E3" w:rsidRPr="004D451D">
              <w:rPr>
                <w:rFonts w:eastAsia="標楷體"/>
              </w:rPr>
              <w:t>B</w:t>
            </w:r>
          </w:p>
        </w:tc>
        <w:tc>
          <w:tcPr>
            <w:tcW w:w="1556" w:type="dxa"/>
            <w:shd w:val="clear" w:color="auto" w:fill="auto"/>
            <w:vAlign w:val="center"/>
          </w:tcPr>
          <w:p w:rsidR="003D2F58" w:rsidRPr="004D451D" w:rsidRDefault="003D2F58" w:rsidP="001934E3">
            <w:pPr>
              <w:jc w:val="center"/>
              <w:rPr>
                <w:rFonts w:eastAsia="標楷體"/>
              </w:rPr>
            </w:pPr>
            <w:r w:rsidRPr="004D451D">
              <w:rPr>
                <w:rFonts w:eastAsia="標楷體"/>
              </w:rPr>
              <w:t>表內金額</w:t>
            </w:r>
            <w:r w:rsidR="001934E3" w:rsidRPr="004D451D">
              <w:rPr>
                <w:rFonts w:eastAsia="標楷體"/>
              </w:rPr>
              <w:t>C</w:t>
            </w:r>
          </w:p>
        </w:tc>
        <w:tc>
          <w:tcPr>
            <w:tcW w:w="1423" w:type="dxa"/>
            <w:shd w:val="clear" w:color="auto" w:fill="auto"/>
            <w:vAlign w:val="center"/>
          </w:tcPr>
          <w:p w:rsidR="003D2F58" w:rsidRPr="004D451D" w:rsidRDefault="003D2F58" w:rsidP="001934E3">
            <w:pPr>
              <w:jc w:val="center"/>
              <w:rPr>
                <w:rFonts w:eastAsia="標楷體"/>
              </w:rPr>
            </w:pPr>
            <w:r w:rsidRPr="004D451D">
              <w:rPr>
                <w:rFonts w:eastAsia="標楷體"/>
              </w:rPr>
              <w:t>表外金額</w:t>
            </w:r>
            <w:r w:rsidR="001934E3" w:rsidRPr="004D451D">
              <w:rPr>
                <w:rFonts w:eastAsia="標楷體"/>
              </w:rPr>
              <w:t>D</w:t>
            </w:r>
          </w:p>
        </w:tc>
        <w:tc>
          <w:tcPr>
            <w:tcW w:w="1556" w:type="dxa"/>
            <w:shd w:val="clear" w:color="auto" w:fill="auto"/>
            <w:vAlign w:val="center"/>
          </w:tcPr>
          <w:p w:rsidR="003D2F58" w:rsidRPr="004D451D" w:rsidRDefault="003D2F58" w:rsidP="001934E3">
            <w:pPr>
              <w:jc w:val="center"/>
              <w:rPr>
                <w:rFonts w:eastAsia="標楷體"/>
              </w:rPr>
            </w:pPr>
            <w:r w:rsidRPr="004D451D">
              <w:rPr>
                <w:rFonts w:eastAsia="標楷體"/>
              </w:rPr>
              <w:t>風險性資產</w:t>
            </w:r>
            <w:r w:rsidR="001934E3" w:rsidRPr="004D451D">
              <w:rPr>
                <w:rFonts w:eastAsia="標楷體"/>
              </w:rPr>
              <w:t>E</w:t>
            </w:r>
          </w:p>
        </w:tc>
        <w:tc>
          <w:tcPr>
            <w:tcW w:w="1168" w:type="dxa"/>
            <w:shd w:val="clear" w:color="auto" w:fill="auto"/>
            <w:vAlign w:val="center"/>
          </w:tcPr>
          <w:p w:rsidR="003D2F58" w:rsidRPr="004D451D" w:rsidRDefault="003D2F58" w:rsidP="001934E3">
            <w:pPr>
              <w:jc w:val="center"/>
              <w:rPr>
                <w:rFonts w:eastAsia="標楷體"/>
              </w:rPr>
            </w:pPr>
            <w:r w:rsidRPr="004D451D">
              <w:rPr>
                <w:rFonts w:eastAsia="標楷體"/>
              </w:rPr>
              <w:t>平均風險權數</w:t>
            </w:r>
            <w:r w:rsidR="001934E3" w:rsidRPr="004D451D">
              <w:rPr>
                <w:rFonts w:eastAsia="標楷體"/>
              </w:rPr>
              <w:t>F</w:t>
            </w:r>
          </w:p>
        </w:tc>
      </w:tr>
      <w:tr w:rsidR="004D451D" w:rsidRPr="004D451D" w:rsidTr="003F60B9">
        <w:trPr>
          <w:trHeight w:val="523"/>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1</w:t>
            </w:r>
          </w:p>
        </w:tc>
        <w:tc>
          <w:tcPr>
            <w:tcW w:w="1873" w:type="dxa"/>
            <w:shd w:val="clear" w:color="auto" w:fill="auto"/>
            <w:vAlign w:val="center"/>
          </w:tcPr>
          <w:p w:rsidR="003F60B9" w:rsidRPr="004D451D" w:rsidRDefault="003F60B9" w:rsidP="001934E3">
            <w:pPr>
              <w:spacing w:line="360" w:lineRule="auto"/>
              <w:jc w:val="both"/>
              <w:rPr>
                <w:rFonts w:eastAsia="標楷體"/>
              </w:rPr>
            </w:pPr>
            <w:r w:rsidRPr="004D451D">
              <w:rPr>
                <w:rFonts w:eastAsia="標楷體"/>
              </w:rPr>
              <w:t>主權國家</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47,386,938</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47,386,938</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0.00%</w:t>
            </w:r>
          </w:p>
        </w:tc>
      </w:tr>
      <w:tr w:rsidR="004D451D" w:rsidRPr="004D451D" w:rsidTr="003F60B9">
        <w:trPr>
          <w:trHeight w:val="687"/>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2</w:t>
            </w:r>
          </w:p>
        </w:tc>
        <w:tc>
          <w:tcPr>
            <w:tcW w:w="1873" w:type="dxa"/>
            <w:shd w:val="clear" w:color="auto" w:fill="auto"/>
            <w:vAlign w:val="center"/>
          </w:tcPr>
          <w:p w:rsidR="003F60B9" w:rsidRPr="004D451D" w:rsidRDefault="003F60B9" w:rsidP="001934E3">
            <w:pPr>
              <w:spacing w:line="240" w:lineRule="atLeast"/>
              <w:jc w:val="both"/>
              <w:rPr>
                <w:rFonts w:eastAsia="標楷體"/>
              </w:rPr>
            </w:pPr>
            <w:r w:rsidRPr="004D451D">
              <w:rPr>
                <w:rFonts w:eastAsia="標楷體"/>
              </w:rPr>
              <w:t>非中央政府公共部門</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r>
      <w:tr w:rsidR="004D451D" w:rsidRPr="004D451D" w:rsidTr="003F60B9">
        <w:trPr>
          <w:trHeight w:val="726"/>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3</w:t>
            </w:r>
          </w:p>
        </w:tc>
        <w:tc>
          <w:tcPr>
            <w:tcW w:w="1873" w:type="dxa"/>
            <w:shd w:val="clear" w:color="auto" w:fill="auto"/>
            <w:vAlign w:val="center"/>
          </w:tcPr>
          <w:p w:rsidR="003F60B9" w:rsidRPr="004D451D" w:rsidRDefault="003F60B9" w:rsidP="001934E3">
            <w:pPr>
              <w:spacing w:line="240" w:lineRule="atLeast"/>
              <w:jc w:val="both"/>
              <w:rPr>
                <w:rFonts w:eastAsia="標楷體"/>
              </w:rPr>
            </w:pPr>
            <w:r w:rsidRPr="004D451D">
              <w:rPr>
                <w:rFonts w:eastAsia="標楷體"/>
              </w:rPr>
              <w:t>銀行</w:t>
            </w:r>
            <w:r w:rsidRPr="004D451D">
              <w:rPr>
                <w:rFonts w:eastAsia="標楷體"/>
              </w:rPr>
              <w:t>(</w:t>
            </w:r>
            <w:r w:rsidRPr="004D451D">
              <w:rPr>
                <w:rFonts w:eastAsia="標楷體"/>
              </w:rPr>
              <w:t>含多邊開發銀行</w:t>
            </w:r>
            <w:r w:rsidRPr="004D451D">
              <w:rPr>
                <w:rFonts w:eastAsia="標楷體"/>
              </w:rPr>
              <w:t>)</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5,125,316</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5,125,316</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3,087,188</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60.23%</w:t>
            </w:r>
          </w:p>
        </w:tc>
      </w:tr>
      <w:tr w:rsidR="004D451D" w:rsidRPr="004D451D" w:rsidTr="003F60B9">
        <w:trPr>
          <w:trHeight w:val="708"/>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4</w:t>
            </w:r>
          </w:p>
        </w:tc>
        <w:tc>
          <w:tcPr>
            <w:tcW w:w="1873" w:type="dxa"/>
            <w:shd w:val="clear" w:color="auto" w:fill="auto"/>
            <w:vAlign w:val="center"/>
          </w:tcPr>
          <w:p w:rsidR="003F60B9" w:rsidRPr="004D451D" w:rsidRDefault="003F60B9" w:rsidP="001934E3">
            <w:pPr>
              <w:spacing w:line="240" w:lineRule="atLeast"/>
              <w:jc w:val="both"/>
              <w:rPr>
                <w:rFonts w:eastAsia="標楷體"/>
              </w:rPr>
            </w:pPr>
            <w:r w:rsidRPr="004D451D">
              <w:rPr>
                <w:rFonts w:eastAsia="標楷體"/>
              </w:rPr>
              <w:t>企業</w:t>
            </w:r>
            <w:r w:rsidRPr="004D451D">
              <w:rPr>
                <w:rFonts w:eastAsia="標楷體"/>
              </w:rPr>
              <w:t>(</w:t>
            </w:r>
            <w:r w:rsidRPr="004D451D">
              <w:rPr>
                <w:rFonts w:eastAsia="標楷體"/>
              </w:rPr>
              <w:t>含證券與保險公司</w:t>
            </w:r>
            <w:r w:rsidRPr="004D451D">
              <w:rPr>
                <w:rFonts w:eastAsia="標楷體"/>
              </w:rPr>
              <w:t>)</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155,450,090</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15,998,994</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155,450,090</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7,017,177</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154,721,915</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95.23%</w:t>
            </w:r>
          </w:p>
        </w:tc>
      </w:tr>
      <w:tr w:rsidR="004D451D" w:rsidRPr="004D451D" w:rsidTr="003F60B9">
        <w:trPr>
          <w:trHeight w:val="574"/>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5</w:t>
            </w:r>
          </w:p>
        </w:tc>
        <w:tc>
          <w:tcPr>
            <w:tcW w:w="1873" w:type="dxa"/>
            <w:shd w:val="clear" w:color="auto" w:fill="auto"/>
            <w:vAlign w:val="center"/>
          </w:tcPr>
          <w:p w:rsidR="003F60B9" w:rsidRPr="004D451D" w:rsidRDefault="003F60B9" w:rsidP="001934E3">
            <w:pPr>
              <w:spacing w:line="360" w:lineRule="auto"/>
              <w:jc w:val="both"/>
              <w:rPr>
                <w:rFonts w:eastAsia="標楷體"/>
              </w:rPr>
            </w:pPr>
            <w:r w:rsidRPr="004D451D">
              <w:rPr>
                <w:rFonts w:eastAsia="標楷體"/>
              </w:rPr>
              <w:t>零售債權</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24,745,918</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4,589,038</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24,745,918</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1,141,224</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23,386,758</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90.34%</w:t>
            </w:r>
          </w:p>
        </w:tc>
      </w:tr>
      <w:tr w:rsidR="004D451D" w:rsidRPr="004D451D" w:rsidTr="003F60B9">
        <w:trPr>
          <w:trHeight w:val="476"/>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6</w:t>
            </w:r>
          </w:p>
        </w:tc>
        <w:tc>
          <w:tcPr>
            <w:tcW w:w="1873" w:type="dxa"/>
            <w:shd w:val="clear" w:color="auto" w:fill="auto"/>
            <w:vAlign w:val="center"/>
          </w:tcPr>
          <w:p w:rsidR="003F60B9" w:rsidRPr="004D451D" w:rsidRDefault="003F60B9" w:rsidP="001934E3">
            <w:pPr>
              <w:spacing w:line="360" w:lineRule="auto"/>
              <w:jc w:val="both"/>
              <w:rPr>
                <w:rFonts w:eastAsia="標楷體"/>
              </w:rPr>
            </w:pPr>
            <w:r w:rsidRPr="004D451D">
              <w:rPr>
                <w:rFonts w:eastAsia="標楷體"/>
              </w:rPr>
              <w:t>住宅用不動產</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10,084,162</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10,084,162</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5,498,772</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54.53%</w:t>
            </w:r>
          </w:p>
        </w:tc>
      </w:tr>
      <w:tr w:rsidR="004D451D" w:rsidRPr="004D451D" w:rsidTr="003F60B9">
        <w:trPr>
          <w:trHeight w:val="563"/>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7</w:t>
            </w:r>
          </w:p>
        </w:tc>
        <w:tc>
          <w:tcPr>
            <w:tcW w:w="1873" w:type="dxa"/>
            <w:shd w:val="clear" w:color="auto" w:fill="auto"/>
            <w:vAlign w:val="center"/>
          </w:tcPr>
          <w:p w:rsidR="003F60B9" w:rsidRPr="004D451D" w:rsidRDefault="003F60B9" w:rsidP="001934E3">
            <w:pPr>
              <w:spacing w:line="360" w:lineRule="auto"/>
              <w:jc w:val="both"/>
              <w:rPr>
                <w:rFonts w:eastAsia="標楷體"/>
              </w:rPr>
            </w:pPr>
            <w:r w:rsidRPr="004D451D">
              <w:rPr>
                <w:rFonts w:eastAsia="標楷體"/>
              </w:rPr>
              <w:t>權益證券投資</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16,301</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16,301</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16,301</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100.00%</w:t>
            </w:r>
          </w:p>
        </w:tc>
      </w:tr>
      <w:tr w:rsidR="004D451D" w:rsidRPr="004D451D" w:rsidTr="003F60B9">
        <w:trPr>
          <w:trHeight w:val="146"/>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8</w:t>
            </w:r>
          </w:p>
        </w:tc>
        <w:tc>
          <w:tcPr>
            <w:tcW w:w="1873" w:type="dxa"/>
            <w:shd w:val="clear" w:color="auto" w:fill="auto"/>
            <w:vAlign w:val="center"/>
          </w:tcPr>
          <w:p w:rsidR="003F60B9" w:rsidRPr="004D451D" w:rsidRDefault="003F60B9" w:rsidP="001934E3">
            <w:pPr>
              <w:spacing w:line="360" w:lineRule="auto"/>
              <w:jc w:val="both"/>
              <w:rPr>
                <w:rFonts w:eastAsia="標楷體"/>
              </w:rPr>
            </w:pPr>
            <w:r w:rsidRPr="004D451D">
              <w:rPr>
                <w:rFonts w:eastAsia="標楷體"/>
              </w:rPr>
              <w:t>其他資產</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6,054,312</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6,054,312</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 xml:space="preserve">　</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3,372,681</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55.71%</w:t>
            </w:r>
          </w:p>
        </w:tc>
      </w:tr>
      <w:tr w:rsidR="004D451D" w:rsidRPr="004D451D" w:rsidTr="003F60B9">
        <w:trPr>
          <w:trHeight w:val="146"/>
          <w:jc w:val="center"/>
        </w:trPr>
        <w:tc>
          <w:tcPr>
            <w:tcW w:w="336" w:type="dxa"/>
            <w:shd w:val="clear" w:color="auto" w:fill="auto"/>
            <w:vAlign w:val="center"/>
          </w:tcPr>
          <w:p w:rsidR="003F60B9" w:rsidRPr="004D451D" w:rsidRDefault="003F60B9" w:rsidP="001934E3">
            <w:pPr>
              <w:spacing w:line="360" w:lineRule="auto"/>
              <w:jc w:val="center"/>
              <w:rPr>
                <w:rFonts w:eastAsia="標楷體"/>
              </w:rPr>
            </w:pPr>
            <w:r w:rsidRPr="004D451D">
              <w:rPr>
                <w:rFonts w:eastAsia="標楷體"/>
              </w:rPr>
              <w:t>9</w:t>
            </w:r>
          </w:p>
        </w:tc>
        <w:tc>
          <w:tcPr>
            <w:tcW w:w="1873" w:type="dxa"/>
            <w:shd w:val="clear" w:color="auto" w:fill="auto"/>
            <w:vAlign w:val="center"/>
          </w:tcPr>
          <w:p w:rsidR="003F60B9" w:rsidRPr="004D451D" w:rsidRDefault="003F60B9" w:rsidP="001934E3">
            <w:pPr>
              <w:spacing w:line="360" w:lineRule="auto"/>
              <w:jc w:val="both"/>
              <w:rPr>
                <w:rFonts w:eastAsia="標楷體"/>
              </w:rPr>
            </w:pPr>
            <w:r w:rsidRPr="004D451D">
              <w:rPr>
                <w:rFonts w:eastAsia="標楷體"/>
              </w:rPr>
              <w:t>總計</w:t>
            </w:r>
          </w:p>
        </w:tc>
        <w:tc>
          <w:tcPr>
            <w:tcW w:w="1551"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248,863,037</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20,588,032</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248,863,037</w:t>
            </w:r>
          </w:p>
        </w:tc>
        <w:tc>
          <w:tcPr>
            <w:tcW w:w="1423"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8,158,401</w:t>
            </w:r>
          </w:p>
        </w:tc>
        <w:tc>
          <w:tcPr>
            <w:tcW w:w="1556"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190,083,616</w:t>
            </w:r>
          </w:p>
        </w:tc>
        <w:tc>
          <w:tcPr>
            <w:tcW w:w="1168" w:type="dxa"/>
            <w:shd w:val="clear" w:color="auto" w:fill="auto"/>
            <w:vAlign w:val="center"/>
          </w:tcPr>
          <w:p w:rsidR="003F60B9" w:rsidRPr="004D451D" w:rsidRDefault="003F60B9" w:rsidP="003F60B9">
            <w:pPr>
              <w:jc w:val="right"/>
              <w:rPr>
                <w:rFonts w:ascii="Arial" w:hAnsi="Arial" w:cs="Arial"/>
              </w:rPr>
            </w:pPr>
            <w:r w:rsidRPr="004D451D">
              <w:rPr>
                <w:rFonts w:ascii="Arial" w:hAnsi="Arial" w:cs="Arial"/>
              </w:rPr>
              <w:t>73.96%</w:t>
            </w:r>
          </w:p>
        </w:tc>
      </w:tr>
      <w:tr w:rsidR="004D451D" w:rsidRPr="004D451D" w:rsidTr="003F60B9">
        <w:trPr>
          <w:trHeight w:val="837"/>
          <w:jc w:val="center"/>
        </w:trPr>
        <w:tc>
          <w:tcPr>
            <w:tcW w:w="10886" w:type="dxa"/>
            <w:gridSpan w:val="8"/>
            <w:shd w:val="clear" w:color="auto" w:fill="auto"/>
          </w:tcPr>
          <w:p w:rsidR="00A03537" w:rsidRPr="004D451D" w:rsidRDefault="00A03537" w:rsidP="00D50631">
            <w:pPr>
              <w:spacing w:line="360" w:lineRule="auto"/>
              <w:rPr>
                <w:rFonts w:eastAsia="標楷體"/>
              </w:rPr>
            </w:pPr>
            <w:r w:rsidRPr="004D451D">
              <w:rPr>
                <w:rFonts w:eastAsia="標楷體"/>
              </w:rPr>
              <w:t>重大變動原因及說明</w:t>
            </w:r>
            <w:r w:rsidR="001934E3" w:rsidRPr="004D451D">
              <w:rPr>
                <w:rFonts w:eastAsia="標楷體" w:hint="eastAsia"/>
              </w:rPr>
              <w:t>：</w:t>
            </w:r>
          </w:p>
        </w:tc>
      </w:tr>
    </w:tbl>
    <w:p w:rsidR="001934E3" w:rsidRPr="004D451D" w:rsidRDefault="001934E3" w:rsidP="001934E3">
      <w:pPr>
        <w:spacing w:line="240" w:lineRule="atLeast"/>
        <w:rPr>
          <w:rFonts w:eastAsia="標楷體"/>
          <w:b/>
          <w:kern w:val="0"/>
        </w:rPr>
      </w:pPr>
    </w:p>
    <w:p w:rsidR="001567D2" w:rsidRPr="004D451D" w:rsidRDefault="001567D2" w:rsidP="001934E3">
      <w:pPr>
        <w:spacing w:line="240" w:lineRule="atLeast"/>
        <w:rPr>
          <w:rFonts w:eastAsia="標楷體"/>
          <w:b/>
          <w:kern w:val="0"/>
        </w:rPr>
      </w:pPr>
      <w:r w:rsidRPr="004D451D">
        <w:rPr>
          <w:rFonts w:eastAsia="標楷體"/>
          <w:b/>
          <w:kern w:val="0"/>
        </w:rPr>
        <w:t>填表說明：</w:t>
      </w:r>
    </w:p>
    <w:p w:rsidR="001567D2" w:rsidRPr="004D451D" w:rsidRDefault="001567D2" w:rsidP="00EF4134">
      <w:pPr>
        <w:numPr>
          <w:ilvl w:val="0"/>
          <w:numId w:val="37"/>
        </w:numPr>
        <w:spacing w:line="320" w:lineRule="exact"/>
        <w:ind w:leftChars="150" w:left="720" w:hangingChars="150"/>
        <w:rPr>
          <w:rFonts w:eastAsia="標楷體"/>
        </w:rPr>
      </w:pPr>
      <w:r w:rsidRPr="004D451D">
        <w:rPr>
          <w:rFonts w:eastAsia="標楷體"/>
        </w:rPr>
        <w:t>本表更新頻率：半年。</w:t>
      </w:r>
    </w:p>
    <w:p w:rsidR="001934E3" w:rsidRPr="004D451D" w:rsidRDefault="001934E3" w:rsidP="00EF4134">
      <w:pPr>
        <w:numPr>
          <w:ilvl w:val="0"/>
          <w:numId w:val="37"/>
        </w:numPr>
        <w:spacing w:line="320" w:lineRule="exact"/>
        <w:ind w:leftChars="150" w:left="720" w:hangingChars="150"/>
        <w:rPr>
          <w:rFonts w:eastAsia="標楷體"/>
        </w:rPr>
      </w:pPr>
      <w:r w:rsidRPr="004D451D">
        <w:rPr>
          <w:rFonts w:eastAsia="標楷體"/>
        </w:rPr>
        <w:t>本表採個體基礎填報。</w:t>
      </w:r>
    </w:p>
    <w:p w:rsidR="001934E3" w:rsidRPr="004D451D" w:rsidRDefault="001934E3" w:rsidP="00EF4134">
      <w:pPr>
        <w:numPr>
          <w:ilvl w:val="0"/>
          <w:numId w:val="37"/>
        </w:numPr>
        <w:spacing w:line="320" w:lineRule="exact"/>
        <w:ind w:leftChars="150" w:left="720" w:hangingChars="150"/>
        <w:rPr>
          <w:rFonts w:eastAsia="標楷體"/>
        </w:rPr>
      </w:pPr>
      <w:r w:rsidRPr="004D451D">
        <w:rPr>
          <w:rFonts w:eastAsia="標楷體"/>
        </w:rPr>
        <w:t>本表相關欄位填報說明如下：</w:t>
      </w:r>
    </w:p>
    <w:p w:rsidR="001934E3" w:rsidRPr="004D451D" w:rsidRDefault="001934E3" w:rsidP="00D961B4">
      <w:pPr>
        <w:numPr>
          <w:ilvl w:val="0"/>
          <w:numId w:val="38"/>
        </w:numPr>
        <w:spacing w:line="320" w:lineRule="exact"/>
        <w:ind w:leftChars="250" w:left="1080" w:hangingChars="200" w:hanging="480"/>
        <w:jc w:val="both"/>
        <w:rPr>
          <w:rFonts w:eastAsia="標楷體"/>
        </w:rPr>
      </w:pPr>
      <w:r w:rsidRPr="004D451D">
        <w:rPr>
          <w:rFonts w:eastAsia="標楷體"/>
        </w:rPr>
        <w:t>考慮信用轉換係數與信用風險抵減前暴險額</w:t>
      </w:r>
      <w:r w:rsidRPr="004D451D">
        <w:rPr>
          <w:rFonts w:eastAsia="標楷體"/>
        </w:rPr>
        <w:t>-</w:t>
      </w:r>
      <w:r w:rsidRPr="004D451D">
        <w:rPr>
          <w:rFonts w:eastAsia="標楷體"/>
        </w:rPr>
        <w:t>表內金額：未考慮信用風險抵減</w:t>
      </w:r>
      <w:r w:rsidRPr="004D451D">
        <w:rPr>
          <w:rFonts w:eastAsia="標楷體"/>
        </w:rPr>
        <w:t>(CRM)</w:t>
      </w:r>
      <w:r w:rsidRPr="004D451D">
        <w:rPr>
          <w:rFonts w:eastAsia="標楷體"/>
        </w:rPr>
        <w:t>之法定暴險額</w:t>
      </w:r>
      <w:r w:rsidRPr="004D451D">
        <w:rPr>
          <w:rFonts w:eastAsia="標楷體"/>
        </w:rPr>
        <w:t>(</w:t>
      </w:r>
      <w:r w:rsidRPr="004D451D">
        <w:rPr>
          <w:rFonts w:eastAsia="標楷體"/>
        </w:rPr>
        <w:t>扣除損失準備及轉銷呆帳後</w:t>
      </w:r>
      <w:r w:rsidRPr="004D451D">
        <w:rPr>
          <w:rFonts w:eastAsia="標楷體"/>
        </w:rPr>
        <w:t>)</w:t>
      </w:r>
      <w:r w:rsidRPr="004D451D">
        <w:rPr>
          <w:rFonts w:eastAsia="標楷體"/>
        </w:rPr>
        <w:t>。</w:t>
      </w:r>
    </w:p>
    <w:p w:rsidR="001934E3" w:rsidRPr="004D451D" w:rsidRDefault="001934E3" w:rsidP="00D961B4">
      <w:pPr>
        <w:numPr>
          <w:ilvl w:val="0"/>
          <w:numId w:val="38"/>
        </w:numPr>
        <w:spacing w:line="320" w:lineRule="exact"/>
        <w:ind w:leftChars="250" w:left="1080" w:hangingChars="200" w:hanging="480"/>
        <w:jc w:val="both"/>
        <w:rPr>
          <w:rFonts w:eastAsia="標楷體"/>
        </w:rPr>
      </w:pPr>
      <w:r w:rsidRPr="004D451D">
        <w:rPr>
          <w:rFonts w:eastAsia="標楷體"/>
        </w:rPr>
        <w:t>考慮信用轉換係數與信用風險抵減前暴險額</w:t>
      </w:r>
      <w:r w:rsidRPr="004D451D">
        <w:rPr>
          <w:rFonts w:eastAsia="標楷體"/>
        </w:rPr>
        <w:t>-</w:t>
      </w:r>
      <w:r w:rsidRPr="004D451D">
        <w:rPr>
          <w:rFonts w:eastAsia="標楷體"/>
        </w:rPr>
        <w:t>表外金額：未考慮信用轉換係數</w:t>
      </w:r>
      <w:r w:rsidRPr="004D451D">
        <w:rPr>
          <w:rFonts w:eastAsia="標楷體"/>
        </w:rPr>
        <w:t>(CCF)</w:t>
      </w:r>
      <w:r w:rsidRPr="004D451D">
        <w:rPr>
          <w:rFonts w:eastAsia="標楷體"/>
        </w:rPr>
        <w:t>及信用風險抵減</w:t>
      </w:r>
      <w:r w:rsidRPr="004D451D">
        <w:rPr>
          <w:rFonts w:eastAsia="標楷體"/>
        </w:rPr>
        <w:t>(CRM)</w:t>
      </w:r>
      <w:r w:rsidRPr="004D451D">
        <w:rPr>
          <w:rFonts w:eastAsia="標楷體"/>
        </w:rPr>
        <w:t>之暴險額。</w:t>
      </w:r>
    </w:p>
    <w:p w:rsidR="001934E3" w:rsidRPr="004D451D" w:rsidRDefault="001934E3" w:rsidP="00D961B4">
      <w:pPr>
        <w:numPr>
          <w:ilvl w:val="0"/>
          <w:numId w:val="38"/>
        </w:numPr>
        <w:spacing w:line="320" w:lineRule="exact"/>
        <w:ind w:leftChars="250" w:left="1080" w:hangingChars="200" w:hanging="480"/>
        <w:jc w:val="both"/>
        <w:rPr>
          <w:rFonts w:eastAsia="標楷體"/>
        </w:rPr>
      </w:pPr>
      <w:r w:rsidRPr="004D451D">
        <w:rPr>
          <w:rFonts w:eastAsia="標楷體"/>
        </w:rPr>
        <w:t>考慮信用轉換係數與信用風險抵減後暴險額：考慮信用轉換係數</w:t>
      </w:r>
      <w:r w:rsidRPr="004D451D">
        <w:rPr>
          <w:rFonts w:eastAsia="標楷體"/>
        </w:rPr>
        <w:t>(CCF)</w:t>
      </w:r>
      <w:r w:rsidRPr="004D451D">
        <w:rPr>
          <w:rFonts w:eastAsia="標楷體"/>
        </w:rPr>
        <w:t>與信用風險抵減</w:t>
      </w:r>
      <w:r w:rsidRPr="004D451D">
        <w:rPr>
          <w:rFonts w:eastAsia="標楷體"/>
        </w:rPr>
        <w:t>(CRM)</w:t>
      </w:r>
      <w:r w:rsidRPr="004D451D">
        <w:rPr>
          <w:rFonts w:eastAsia="標楷體"/>
        </w:rPr>
        <w:t>後之淨信用相當額，係用來計算資本要求之金額。</w:t>
      </w:r>
    </w:p>
    <w:p w:rsidR="001934E3" w:rsidRPr="004D451D" w:rsidRDefault="001934E3" w:rsidP="00D961B4">
      <w:pPr>
        <w:numPr>
          <w:ilvl w:val="0"/>
          <w:numId w:val="38"/>
        </w:numPr>
        <w:spacing w:line="320" w:lineRule="exact"/>
        <w:ind w:leftChars="250" w:left="1080" w:hangingChars="200" w:hanging="480"/>
        <w:jc w:val="both"/>
        <w:rPr>
          <w:rFonts w:eastAsia="標楷體"/>
        </w:rPr>
      </w:pPr>
      <w:r w:rsidRPr="004D451D">
        <w:rPr>
          <w:rFonts w:eastAsia="標楷體"/>
        </w:rPr>
        <w:t>平均風險權數：「風險性資產」占「考慮信用轉換係數與信用風險抵減後暴險額」之比率，以百分比表示。</w:t>
      </w:r>
    </w:p>
    <w:p w:rsidR="001934E3" w:rsidRPr="004D451D" w:rsidRDefault="001934E3" w:rsidP="00EF4134">
      <w:pPr>
        <w:numPr>
          <w:ilvl w:val="0"/>
          <w:numId w:val="37"/>
        </w:numPr>
        <w:spacing w:line="320" w:lineRule="exact"/>
        <w:ind w:leftChars="150" w:left="720" w:hangingChars="150"/>
        <w:rPr>
          <w:rFonts w:eastAsia="標楷體"/>
        </w:rPr>
      </w:pPr>
      <w:r w:rsidRPr="004D451D">
        <w:rPr>
          <w:rFonts w:eastAsia="標楷體"/>
        </w:rPr>
        <w:t>填表說明</w:t>
      </w:r>
      <w:r w:rsidRPr="004D451D">
        <w:rPr>
          <w:rFonts w:eastAsia="標楷體"/>
        </w:rPr>
        <w:t>3</w:t>
      </w:r>
      <w:r w:rsidRPr="004D451D">
        <w:rPr>
          <w:rFonts w:eastAsia="標楷體"/>
        </w:rPr>
        <w:t>之相關欄位，除項目</w:t>
      </w:r>
      <w:r w:rsidRPr="004D451D">
        <w:rPr>
          <w:rFonts w:eastAsia="標楷體"/>
        </w:rPr>
        <w:t>(2)</w:t>
      </w:r>
      <w:r w:rsidRPr="004D451D">
        <w:rPr>
          <w:rFonts w:eastAsia="標楷體"/>
        </w:rPr>
        <w:t>外，可與主管機關第一支柱申報表【表</w:t>
      </w:r>
      <w:r w:rsidRPr="004D451D">
        <w:rPr>
          <w:rFonts w:eastAsia="標楷體"/>
        </w:rPr>
        <w:t>2-C</w:t>
      </w:r>
      <w:r w:rsidRPr="004D451D">
        <w:rPr>
          <w:rFonts w:eastAsia="標楷體"/>
        </w:rPr>
        <w:t>】與【表</w:t>
      </w:r>
      <w:r w:rsidRPr="004D451D">
        <w:rPr>
          <w:rFonts w:eastAsia="標楷體"/>
        </w:rPr>
        <w:t>2-D</w:t>
      </w:r>
      <w:r w:rsidRPr="004D451D">
        <w:rPr>
          <w:rFonts w:eastAsia="標楷體"/>
        </w:rPr>
        <w:t>】勾稽。</w:t>
      </w:r>
    </w:p>
    <w:p w:rsidR="007A46C7" w:rsidRPr="004D451D" w:rsidRDefault="007A46C7" w:rsidP="001567D2">
      <w:pPr>
        <w:spacing w:line="360" w:lineRule="auto"/>
        <w:ind w:left="180" w:hangingChars="75" w:hanging="180"/>
        <w:rPr>
          <w:rFonts w:eastAsia="標楷體"/>
          <w:b/>
        </w:rPr>
      </w:pPr>
      <w:r w:rsidRPr="004D451D">
        <w:rPr>
          <w:rFonts w:eastAsia="標楷體"/>
          <w:b/>
        </w:rPr>
        <w:t>跨表檢核</w:t>
      </w:r>
      <w:r w:rsidR="00A363FE" w:rsidRPr="004D451D">
        <w:rPr>
          <w:rFonts w:eastAsia="標楷體" w:hint="eastAsia"/>
          <w:b/>
        </w:rPr>
        <w:t>：</w:t>
      </w:r>
    </w:p>
    <w:p w:rsidR="00D10B6B" w:rsidRPr="004D451D" w:rsidRDefault="000D5514" w:rsidP="00EF4134">
      <w:pPr>
        <w:numPr>
          <w:ilvl w:val="0"/>
          <w:numId w:val="39"/>
        </w:numPr>
        <w:ind w:leftChars="150" w:left="720" w:hangingChars="150"/>
        <w:rPr>
          <w:rFonts w:eastAsia="標楷體"/>
        </w:rPr>
      </w:pPr>
      <w:r w:rsidRPr="004D451D">
        <w:rPr>
          <w:rFonts w:eastAsia="標楷體"/>
        </w:rPr>
        <w:t>【附表十</w:t>
      </w:r>
      <w:r w:rsidR="000A03CB" w:rsidRPr="004D451D">
        <w:rPr>
          <w:rFonts w:eastAsia="標楷體" w:hint="eastAsia"/>
        </w:rPr>
        <w:t>九</w:t>
      </w:r>
      <w:r w:rsidRPr="004D451D">
        <w:rPr>
          <w:rFonts w:eastAsia="標楷體"/>
        </w:rPr>
        <w:t>】</w:t>
      </w:r>
      <w:r w:rsidR="00D10B6B" w:rsidRPr="004D451D">
        <w:rPr>
          <w:rFonts w:eastAsia="標楷體" w:hint="eastAsia"/>
        </w:rPr>
        <w:t>(</w:t>
      </w:r>
      <w:r w:rsidRPr="004D451D">
        <w:rPr>
          <w:rFonts w:eastAsia="標楷體"/>
        </w:rPr>
        <w:t>9</w:t>
      </w:r>
      <w:r w:rsidR="001934E3" w:rsidRPr="004D451D">
        <w:rPr>
          <w:rFonts w:eastAsia="標楷體" w:hint="eastAsia"/>
        </w:rPr>
        <w:t>C</w:t>
      </w:r>
      <w:r w:rsidRPr="004D451D">
        <w:rPr>
          <w:rFonts w:eastAsia="標楷體"/>
        </w:rPr>
        <w:t>+9</w:t>
      </w:r>
      <w:r w:rsidR="001934E3" w:rsidRPr="004D451D">
        <w:rPr>
          <w:rFonts w:eastAsia="標楷體" w:hint="eastAsia"/>
        </w:rPr>
        <w:t>D</w:t>
      </w:r>
      <w:r w:rsidR="00D10B6B" w:rsidRPr="004D451D">
        <w:rPr>
          <w:rFonts w:eastAsia="標楷體" w:hint="eastAsia"/>
        </w:rPr>
        <w:t>)</w:t>
      </w:r>
      <w:r w:rsidRPr="004D451D">
        <w:rPr>
          <w:rFonts w:eastAsia="標楷體"/>
        </w:rPr>
        <w:t>=</w:t>
      </w:r>
      <w:r w:rsidRPr="004D451D">
        <w:rPr>
          <w:rFonts w:eastAsia="標楷體"/>
        </w:rPr>
        <w:t>【附表</w:t>
      </w:r>
      <w:r w:rsidR="000A03CB" w:rsidRPr="004D451D">
        <w:rPr>
          <w:rFonts w:eastAsia="標楷體" w:hint="eastAsia"/>
        </w:rPr>
        <w:t>二</w:t>
      </w:r>
      <w:r w:rsidRPr="004D451D">
        <w:rPr>
          <w:rFonts w:eastAsia="標楷體"/>
        </w:rPr>
        <w:t>十】</w:t>
      </w:r>
      <w:r w:rsidRPr="004D451D">
        <w:rPr>
          <w:rFonts w:eastAsia="標楷體"/>
        </w:rPr>
        <w:t>9</w:t>
      </w:r>
      <w:r w:rsidR="00915B2E" w:rsidRPr="004D451D">
        <w:rPr>
          <w:rFonts w:eastAsia="標楷體" w:hint="eastAsia"/>
        </w:rPr>
        <w:t>N</w:t>
      </w:r>
    </w:p>
    <w:p w:rsidR="00915B2E" w:rsidRPr="004D451D" w:rsidRDefault="00915B2E" w:rsidP="00D57576">
      <w:pPr>
        <w:spacing w:line="360" w:lineRule="auto"/>
        <w:rPr>
          <w:rFonts w:ascii="Arial" w:eastAsia="標楷體" w:hAnsi="Arial" w:cs="Arial"/>
        </w:rPr>
        <w:sectPr w:rsidR="00915B2E" w:rsidRPr="004D451D" w:rsidSect="00C056B5">
          <w:footerReference w:type="even" r:id="rId11"/>
          <w:footerReference w:type="default" r:id="rId12"/>
          <w:pgSz w:w="11906" w:h="16838" w:code="9"/>
          <w:pgMar w:top="907" w:right="1247" w:bottom="737" w:left="1247" w:header="851" w:footer="397" w:gutter="0"/>
          <w:cols w:space="425"/>
          <w:docGrid w:type="lines" w:linePitch="360"/>
        </w:sectPr>
      </w:pPr>
    </w:p>
    <w:p w:rsidR="00721497" w:rsidRPr="004D451D" w:rsidRDefault="004418B7" w:rsidP="00721497">
      <w:pPr>
        <w:widowControl/>
        <w:rPr>
          <w:rFonts w:eastAsia="標楷體"/>
          <w:sz w:val="32"/>
          <w:szCs w:val="32"/>
        </w:rPr>
      </w:pPr>
      <w:r w:rsidRPr="004D451D">
        <w:rPr>
          <w:rFonts w:eastAsia="標楷體"/>
          <w:b/>
          <w:sz w:val="32"/>
          <w:szCs w:val="32"/>
        </w:rPr>
        <w:t>【附表</w:t>
      </w:r>
      <w:r w:rsidR="00744569" w:rsidRPr="004D451D">
        <w:rPr>
          <w:rFonts w:eastAsia="標楷體" w:hint="eastAsia"/>
          <w:b/>
          <w:sz w:val="32"/>
          <w:szCs w:val="32"/>
        </w:rPr>
        <w:t>二</w:t>
      </w:r>
      <w:r w:rsidR="002C1B48" w:rsidRPr="004D451D">
        <w:rPr>
          <w:rFonts w:eastAsia="標楷體"/>
          <w:b/>
          <w:sz w:val="32"/>
          <w:szCs w:val="32"/>
        </w:rPr>
        <w:t>十</w:t>
      </w:r>
      <w:r w:rsidR="00721497" w:rsidRPr="004D451D">
        <w:rPr>
          <w:rFonts w:eastAsia="標楷體"/>
          <w:b/>
          <w:sz w:val="32"/>
          <w:szCs w:val="32"/>
        </w:rPr>
        <w:t>】</w:t>
      </w:r>
    </w:p>
    <w:p w:rsidR="00721497" w:rsidRPr="004D451D" w:rsidRDefault="00E71033" w:rsidP="00721497">
      <w:pPr>
        <w:jc w:val="center"/>
        <w:rPr>
          <w:rFonts w:eastAsia="標楷體"/>
          <w:b/>
          <w:bCs/>
          <w:sz w:val="32"/>
          <w:szCs w:val="32"/>
        </w:rPr>
      </w:pPr>
      <w:bookmarkStart w:id="2" w:name="_Hlk434661403"/>
      <w:r w:rsidRPr="004D451D">
        <w:rPr>
          <w:rFonts w:eastAsia="標楷體"/>
          <w:b/>
          <w:bCs/>
          <w:sz w:val="32"/>
          <w:szCs w:val="32"/>
        </w:rPr>
        <w:t>各暴險類型</w:t>
      </w:r>
      <w:r w:rsidR="00721497" w:rsidRPr="004D451D">
        <w:rPr>
          <w:rFonts w:eastAsia="標楷體"/>
          <w:b/>
          <w:bCs/>
          <w:sz w:val="32"/>
          <w:szCs w:val="32"/>
        </w:rPr>
        <w:t>與風險權數下之暴險額</w:t>
      </w:r>
      <w:r w:rsidR="00F3145A" w:rsidRPr="004D451D">
        <w:rPr>
          <w:rFonts w:hint="eastAsia"/>
          <w:b/>
        </w:rPr>
        <w:t>─</w:t>
      </w:r>
      <w:r w:rsidR="00F3145A" w:rsidRPr="004D451D">
        <w:rPr>
          <w:rFonts w:eastAsia="標楷體"/>
          <w:b/>
          <w:bCs/>
          <w:sz w:val="32"/>
          <w:szCs w:val="32"/>
        </w:rPr>
        <w:t>標準法</w:t>
      </w:r>
    </w:p>
    <w:bookmarkEnd w:id="2"/>
    <w:p w:rsidR="00721497" w:rsidRPr="004D451D" w:rsidRDefault="00D40BEF" w:rsidP="00915B2E">
      <w:pPr>
        <w:spacing w:line="420" w:lineRule="exact"/>
        <w:jc w:val="right"/>
        <w:rPr>
          <w:rFonts w:eastAsia="標楷體"/>
          <w:b/>
          <w:bCs/>
        </w:rPr>
      </w:pPr>
      <w:r w:rsidRPr="004D451D">
        <w:rPr>
          <w:rFonts w:eastAsia="標楷體" w:hint="eastAsia"/>
          <w:bCs/>
          <w:sz w:val="32"/>
          <w:szCs w:val="32"/>
        </w:rPr>
        <w:t>10</w:t>
      </w:r>
      <w:r w:rsidR="00FF52AD" w:rsidRPr="004D451D">
        <w:rPr>
          <w:rFonts w:eastAsia="標楷體" w:hint="eastAsia"/>
          <w:bCs/>
          <w:sz w:val="32"/>
          <w:szCs w:val="32"/>
        </w:rPr>
        <w:t>7</w:t>
      </w:r>
      <w:r w:rsidR="00721497" w:rsidRPr="004D451D">
        <w:rPr>
          <w:rFonts w:eastAsia="標楷體"/>
          <w:bCs/>
          <w:sz w:val="32"/>
          <w:szCs w:val="32"/>
        </w:rPr>
        <w:t>年</w:t>
      </w:r>
      <w:r w:rsidR="00FF52AD" w:rsidRPr="004D451D">
        <w:rPr>
          <w:rFonts w:eastAsia="標楷體" w:hint="eastAsia"/>
          <w:bCs/>
          <w:sz w:val="32"/>
          <w:szCs w:val="32"/>
        </w:rPr>
        <w:t>06</w:t>
      </w:r>
      <w:r w:rsidR="00721497" w:rsidRPr="004D451D">
        <w:rPr>
          <w:rFonts w:eastAsia="標楷體"/>
          <w:bCs/>
          <w:sz w:val="32"/>
          <w:szCs w:val="32"/>
        </w:rPr>
        <w:t>月</w:t>
      </w:r>
      <w:r w:rsidRPr="004D451D">
        <w:rPr>
          <w:rFonts w:eastAsia="標楷體" w:hint="eastAsia"/>
          <w:bCs/>
          <w:sz w:val="32"/>
          <w:szCs w:val="32"/>
        </w:rPr>
        <w:t>3</w:t>
      </w:r>
      <w:r w:rsidR="00FF52AD" w:rsidRPr="004D451D">
        <w:rPr>
          <w:rFonts w:eastAsia="標楷體" w:hint="eastAsia"/>
          <w:bCs/>
          <w:sz w:val="32"/>
          <w:szCs w:val="32"/>
        </w:rPr>
        <w:t>0</w:t>
      </w:r>
      <w:r w:rsidR="00721497" w:rsidRPr="004D451D">
        <w:rPr>
          <w:rFonts w:eastAsia="標楷體"/>
          <w:bCs/>
          <w:sz w:val="32"/>
          <w:szCs w:val="32"/>
        </w:rPr>
        <w:t>日</w:t>
      </w:r>
      <w:r w:rsidR="009A1E6E" w:rsidRPr="004D451D">
        <w:rPr>
          <w:rFonts w:eastAsia="標楷體" w:hint="eastAsia"/>
          <w:bCs/>
          <w:sz w:val="32"/>
          <w:szCs w:val="32"/>
        </w:rPr>
        <w:t xml:space="preserve">　</w:t>
      </w:r>
      <w:r w:rsidR="00915B2E" w:rsidRPr="004D451D">
        <w:rPr>
          <w:rFonts w:eastAsia="標楷體" w:hint="eastAsia"/>
          <w:bCs/>
          <w:sz w:val="32"/>
          <w:szCs w:val="32"/>
        </w:rPr>
        <w:t xml:space="preserve">　</w:t>
      </w:r>
      <w:r w:rsidR="00A0282D" w:rsidRPr="004D451D">
        <w:rPr>
          <w:rFonts w:eastAsia="標楷體" w:hint="eastAsia"/>
          <w:bCs/>
          <w:sz w:val="32"/>
          <w:szCs w:val="32"/>
        </w:rPr>
        <w:t xml:space="preserve">　</w:t>
      </w:r>
      <w:r w:rsidR="00915B2E" w:rsidRPr="004D451D">
        <w:rPr>
          <w:rFonts w:eastAsia="標楷體" w:hint="eastAsia"/>
          <w:bCs/>
          <w:sz w:val="32"/>
          <w:szCs w:val="32"/>
        </w:rPr>
        <w:t xml:space="preserve">　　　　　　　　</w:t>
      </w:r>
      <w:r w:rsidR="00A0282D" w:rsidRPr="004D451D">
        <w:rPr>
          <w:rFonts w:ascii="標楷體" w:eastAsia="標楷體" w:hAnsi="標楷體" w:cs="Arial" w:hint="eastAsia"/>
        </w:rPr>
        <w:t>（</w:t>
      </w:r>
      <w:r w:rsidR="00A0282D" w:rsidRPr="004D451D">
        <w:rPr>
          <w:rFonts w:eastAsia="標楷體"/>
          <w:bCs/>
        </w:rPr>
        <w:t>單位</w:t>
      </w:r>
      <w:r w:rsidR="00A0282D" w:rsidRPr="004D451D">
        <w:rPr>
          <w:rFonts w:eastAsia="標楷體" w:hint="eastAsia"/>
          <w:bCs/>
        </w:rPr>
        <w:t>：</w:t>
      </w:r>
      <w:r w:rsidR="00A0282D" w:rsidRPr="004D451D">
        <w:rPr>
          <w:rFonts w:eastAsia="標楷體"/>
          <w:bCs/>
        </w:rPr>
        <w:t>新臺幣千元</w:t>
      </w:r>
      <w:r w:rsidR="00A0282D" w:rsidRPr="004D451D">
        <w:rPr>
          <w:rFonts w:eastAsia="標楷體" w:hint="eastAsia"/>
          <w:bCs/>
        </w:rPr>
        <w:t>；</w:t>
      </w:r>
      <w:r w:rsidR="00A0282D" w:rsidRPr="004D451D">
        <w:rPr>
          <w:rFonts w:eastAsia="標楷體" w:hint="eastAsia"/>
          <w:bCs/>
        </w:rPr>
        <w:t>%</w:t>
      </w:r>
      <w:r w:rsidR="00A0282D" w:rsidRPr="004D451D">
        <w:rPr>
          <w:rFonts w:ascii="標楷體" w:eastAsia="標楷體" w:hAnsi="標楷體" w:cs="Arial" w:hint="eastAsia"/>
        </w:rPr>
        <w:t>）</w:t>
      </w:r>
    </w:p>
    <w:tbl>
      <w:tblPr>
        <w:tblW w:w="1658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1418"/>
        <w:gridCol w:w="708"/>
        <w:gridCol w:w="1418"/>
        <w:gridCol w:w="1417"/>
        <w:gridCol w:w="709"/>
        <w:gridCol w:w="1418"/>
        <w:gridCol w:w="1417"/>
        <w:gridCol w:w="1559"/>
        <w:gridCol w:w="851"/>
        <w:gridCol w:w="1134"/>
        <w:gridCol w:w="992"/>
        <w:gridCol w:w="1559"/>
      </w:tblGrid>
      <w:tr w:rsidR="004D451D" w:rsidRPr="004D451D" w:rsidTr="008F25CF">
        <w:trPr>
          <w:trHeight w:val="1069"/>
        </w:trPr>
        <w:tc>
          <w:tcPr>
            <w:tcW w:w="1985" w:type="dxa"/>
            <w:gridSpan w:val="2"/>
            <w:tcBorders>
              <w:tl2br w:val="single" w:sz="4" w:space="0" w:color="auto"/>
            </w:tcBorders>
            <w:shd w:val="clear" w:color="auto" w:fill="auto"/>
            <w:vAlign w:val="center"/>
          </w:tcPr>
          <w:p w:rsidR="00F0751F" w:rsidRPr="004D451D" w:rsidRDefault="00F0751F" w:rsidP="00915B2E">
            <w:pPr>
              <w:spacing w:line="360" w:lineRule="auto"/>
              <w:jc w:val="right"/>
              <w:rPr>
                <w:rFonts w:eastAsia="標楷體"/>
              </w:rPr>
            </w:pPr>
            <w:r w:rsidRPr="004D451D">
              <w:rPr>
                <w:rFonts w:eastAsia="標楷體" w:hint="eastAsia"/>
              </w:rPr>
              <w:t>風險權數</w:t>
            </w:r>
            <w:r w:rsidRPr="004D451D">
              <w:rPr>
                <w:rFonts w:eastAsia="標楷體" w:hint="eastAsia"/>
              </w:rPr>
              <w:t>X</w:t>
            </w:r>
          </w:p>
          <w:p w:rsidR="00F0751F" w:rsidRPr="004D451D" w:rsidRDefault="00F0751F" w:rsidP="00D50631">
            <w:pPr>
              <w:spacing w:line="360" w:lineRule="auto"/>
              <w:rPr>
                <w:rFonts w:eastAsia="標楷體"/>
              </w:rPr>
            </w:pPr>
            <w:r w:rsidRPr="004D451D">
              <w:rPr>
                <w:rFonts w:eastAsia="標楷體" w:hint="eastAsia"/>
              </w:rPr>
              <w:t>暴險類型</w:t>
            </w:r>
          </w:p>
        </w:tc>
        <w:tc>
          <w:tcPr>
            <w:tcW w:w="1418"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0%</w:t>
            </w:r>
          </w:p>
          <w:p w:rsidR="00F0751F" w:rsidRPr="004D451D" w:rsidRDefault="00F0751F" w:rsidP="00915B2E">
            <w:pPr>
              <w:jc w:val="center"/>
              <w:rPr>
                <w:rFonts w:eastAsia="標楷體"/>
                <w:szCs w:val="16"/>
              </w:rPr>
            </w:pPr>
            <w:r w:rsidRPr="004D451D">
              <w:rPr>
                <w:rFonts w:eastAsia="標楷體" w:hint="eastAsia"/>
                <w:szCs w:val="16"/>
              </w:rPr>
              <w:t>A</w:t>
            </w:r>
          </w:p>
        </w:tc>
        <w:tc>
          <w:tcPr>
            <w:tcW w:w="708"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10%</w:t>
            </w:r>
          </w:p>
          <w:p w:rsidR="00F0751F" w:rsidRPr="004D451D" w:rsidRDefault="00F0751F" w:rsidP="00915B2E">
            <w:pPr>
              <w:jc w:val="center"/>
              <w:rPr>
                <w:rFonts w:eastAsia="標楷體"/>
                <w:szCs w:val="16"/>
              </w:rPr>
            </w:pPr>
            <w:r w:rsidRPr="004D451D">
              <w:rPr>
                <w:rFonts w:eastAsia="標楷體" w:hint="eastAsia"/>
                <w:szCs w:val="16"/>
              </w:rPr>
              <w:t>B</w:t>
            </w:r>
          </w:p>
        </w:tc>
        <w:tc>
          <w:tcPr>
            <w:tcW w:w="1418"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20%</w:t>
            </w:r>
          </w:p>
          <w:p w:rsidR="00F0751F" w:rsidRPr="004D451D" w:rsidRDefault="00F0751F" w:rsidP="00915B2E">
            <w:pPr>
              <w:jc w:val="center"/>
              <w:rPr>
                <w:rFonts w:eastAsia="標楷體"/>
                <w:szCs w:val="16"/>
              </w:rPr>
            </w:pPr>
            <w:r w:rsidRPr="004D451D">
              <w:rPr>
                <w:rFonts w:eastAsia="標楷體" w:hint="eastAsia"/>
                <w:szCs w:val="16"/>
              </w:rPr>
              <w:t>C</w:t>
            </w:r>
          </w:p>
        </w:tc>
        <w:tc>
          <w:tcPr>
            <w:tcW w:w="1417"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35%</w:t>
            </w:r>
          </w:p>
          <w:p w:rsidR="00F0751F" w:rsidRPr="004D451D" w:rsidRDefault="00F0751F" w:rsidP="00915B2E">
            <w:pPr>
              <w:jc w:val="center"/>
              <w:rPr>
                <w:rFonts w:eastAsia="標楷體"/>
                <w:szCs w:val="16"/>
              </w:rPr>
            </w:pPr>
            <w:r w:rsidRPr="004D451D">
              <w:rPr>
                <w:rFonts w:eastAsia="標楷體" w:hint="eastAsia"/>
                <w:szCs w:val="16"/>
              </w:rPr>
              <w:t>D</w:t>
            </w:r>
          </w:p>
        </w:tc>
        <w:tc>
          <w:tcPr>
            <w:tcW w:w="709"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45%</w:t>
            </w:r>
          </w:p>
          <w:p w:rsidR="00F0751F" w:rsidRPr="004D451D" w:rsidRDefault="00F0751F" w:rsidP="00915B2E">
            <w:pPr>
              <w:jc w:val="center"/>
              <w:rPr>
                <w:rFonts w:eastAsia="標楷體"/>
                <w:szCs w:val="16"/>
              </w:rPr>
            </w:pPr>
            <w:r w:rsidRPr="004D451D">
              <w:rPr>
                <w:rFonts w:eastAsia="標楷體" w:hint="eastAsia"/>
                <w:szCs w:val="16"/>
              </w:rPr>
              <w:t>E</w:t>
            </w:r>
          </w:p>
        </w:tc>
        <w:tc>
          <w:tcPr>
            <w:tcW w:w="1418"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50%</w:t>
            </w:r>
          </w:p>
          <w:p w:rsidR="00F0751F" w:rsidRPr="004D451D" w:rsidRDefault="00F0751F" w:rsidP="00915B2E">
            <w:pPr>
              <w:jc w:val="center"/>
              <w:rPr>
                <w:rFonts w:eastAsia="標楷體"/>
                <w:szCs w:val="16"/>
              </w:rPr>
            </w:pPr>
            <w:r w:rsidRPr="004D451D">
              <w:rPr>
                <w:rFonts w:eastAsia="標楷體" w:hint="eastAsia"/>
                <w:szCs w:val="16"/>
              </w:rPr>
              <w:t>F</w:t>
            </w:r>
          </w:p>
        </w:tc>
        <w:tc>
          <w:tcPr>
            <w:tcW w:w="1417"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75%</w:t>
            </w:r>
          </w:p>
          <w:p w:rsidR="00F0751F" w:rsidRPr="004D451D" w:rsidRDefault="00F0751F" w:rsidP="00915B2E">
            <w:pPr>
              <w:jc w:val="center"/>
              <w:rPr>
                <w:rFonts w:eastAsia="標楷體"/>
                <w:szCs w:val="16"/>
              </w:rPr>
            </w:pPr>
            <w:r w:rsidRPr="004D451D">
              <w:rPr>
                <w:rFonts w:eastAsia="標楷體" w:hint="eastAsia"/>
                <w:szCs w:val="16"/>
              </w:rPr>
              <w:t>G</w:t>
            </w:r>
          </w:p>
        </w:tc>
        <w:tc>
          <w:tcPr>
            <w:tcW w:w="1559"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100%</w:t>
            </w:r>
          </w:p>
          <w:p w:rsidR="00F0751F" w:rsidRPr="004D451D" w:rsidRDefault="00F0751F" w:rsidP="00915B2E">
            <w:pPr>
              <w:jc w:val="center"/>
              <w:rPr>
                <w:rFonts w:eastAsia="標楷體"/>
                <w:szCs w:val="16"/>
              </w:rPr>
            </w:pPr>
            <w:r w:rsidRPr="004D451D">
              <w:rPr>
                <w:rFonts w:eastAsia="標楷體" w:hint="eastAsia"/>
                <w:szCs w:val="16"/>
              </w:rPr>
              <w:t>H</w:t>
            </w:r>
          </w:p>
        </w:tc>
        <w:tc>
          <w:tcPr>
            <w:tcW w:w="851"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150%</w:t>
            </w:r>
          </w:p>
          <w:p w:rsidR="00F0751F" w:rsidRPr="004D451D" w:rsidRDefault="00F0751F" w:rsidP="00915B2E">
            <w:pPr>
              <w:jc w:val="center"/>
              <w:rPr>
                <w:rFonts w:eastAsia="標楷體"/>
                <w:szCs w:val="16"/>
              </w:rPr>
            </w:pPr>
            <w:r w:rsidRPr="004D451D">
              <w:rPr>
                <w:rFonts w:eastAsia="標楷體" w:hint="eastAsia"/>
                <w:szCs w:val="16"/>
              </w:rPr>
              <w:t>I</w:t>
            </w:r>
          </w:p>
        </w:tc>
        <w:tc>
          <w:tcPr>
            <w:tcW w:w="1134"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250%</w:t>
            </w:r>
          </w:p>
          <w:p w:rsidR="00F0751F" w:rsidRPr="004D451D" w:rsidRDefault="00F0751F" w:rsidP="00915B2E">
            <w:pPr>
              <w:jc w:val="center"/>
              <w:rPr>
                <w:rFonts w:eastAsia="標楷體"/>
                <w:szCs w:val="16"/>
              </w:rPr>
            </w:pPr>
            <w:r w:rsidRPr="004D451D">
              <w:rPr>
                <w:rFonts w:eastAsia="標楷體" w:hint="eastAsia"/>
                <w:szCs w:val="16"/>
              </w:rPr>
              <w:t>J</w:t>
            </w:r>
          </w:p>
        </w:tc>
        <w:tc>
          <w:tcPr>
            <w:tcW w:w="992" w:type="dxa"/>
            <w:shd w:val="clear" w:color="auto" w:fill="auto"/>
            <w:vAlign w:val="center"/>
          </w:tcPr>
          <w:p w:rsidR="00F0751F" w:rsidRPr="004D451D" w:rsidRDefault="00F0751F" w:rsidP="00915B2E">
            <w:pPr>
              <w:jc w:val="center"/>
              <w:rPr>
                <w:rFonts w:eastAsia="標楷體"/>
                <w:szCs w:val="16"/>
              </w:rPr>
            </w:pPr>
            <w:r w:rsidRPr="004D451D">
              <w:rPr>
                <w:rFonts w:eastAsia="標楷體"/>
                <w:szCs w:val="16"/>
              </w:rPr>
              <w:t>1250%</w:t>
            </w:r>
          </w:p>
          <w:p w:rsidR="00F0751F" w:rsidRPr="004D451D" w:rsidRDefault="00F0751F" w:rsidP="00915B2E">
            <w:pPr>
              <w:jc w:val="center"/>
              <w:rPr>
                <w:rFonts w:eastAsia="標楷體"/>
                <w:szCs w:val="16"/>
              </w:rPr>
            </w:pPr>
            <w:r w:rsidRPr="004D451D">
              <w:rPr>
                <w:rFonts w:eastAsia="標楷體" w:hint="eastAsia"/>
                <w:szCs w:val="16"/>
              </w:rPr>
              <w:t>M</w:t>
            </w:r>
          </w:p>
        </w:tc>
        <w:tc>
          <w:tcPr>
            <w:tcW w:w="1559" w:type="dxa"/>
            <w:shd w:val="clear" w:color="auto" w:fill="auto"/>
          </w:tcPr>
          <w:p w:rsidR="00F0751F" w:rsidRPr="004D451D" w:rsidRDefault="00F0751F" w:rsidP="008F25CF">
            <w:pPr>
              <w:spacing w:line="240" w:lineRule="exact"/>
              <w:rPr>
                <w:rFonts w:eastAsia="標楷體"/>
              </w:rPr>
            </w:pPr>
            <w:r w:rsidRPr="004D451D">
              <w:rPr>
                <w:rFonts w:eastAsia="標楷體"/>
              </w:rPr>
              <w:t>考慮信用轉換係數與信用風險抵減後暴險額</w:t>
            </w:r>
            <w:r w:rsidRPr="004D451D">
              <w:rPr>
                <w:rFonts w:eastAsia="標楷體" w:hint="eastAsia"/>
              </w:rPr>
              <w:t>N</w:t>
            </w:r>
          </w:p>
        </w:tc>
      </w:tr>
      <w:tr w:rsidR="004D451D" w:rsidRPr="004D451D" w:rsidTr="008F25CF">
        <w:trPr>
          <w:trHeight w:val="505"/>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1</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主權國家</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47,386,938</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47,386,938</w:t>
            </w:r>
          </w:p>
        </w:tc>
      </w:tr>
      <w:tr w:rsidR="004D451D" w:rsidRPr="004D451D" w:rsidTr="008F25CF">
        <w:trPr>
          <w:trHeight w:val="707"/>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2</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非中央政府公共部門</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r>
      <w:tr w:rsidR="004D451D" w:rsidRPr="004D451D" w:rsidTr="008F25CF">
        <w:trPr>
          <w:trHeight w:val="824"/>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3</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銀行</w:t>
            </w:r>
            <w:r w:rsidRPr="004D451D">
              <w:rPr>
                <w:rFonts w:eastAsia="標楷體"/>
              </w:rPr>
              <w:t>(</w:t>
            </w:r>
            <w:r w:rsidRPr="004D451D">
              <w:rPr>
                <w:rFonts w:eastAsia="標楷體"/>
              </w:rPr>
              <w:t>含多邊開發銀行</w:t>
            </w:r>
            <w:r w:rsidRPr="004D451D">
              <w:rPr>
                <w:rFonts w:eastAsia="標楷體"/>
              </w:rPr>
              <w:t>)</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1,431,929</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1,785,170</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1,908,217</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5,125,316</w:t>
            </w:r>
          </w:p>
        </w:tc>
      </w:tr>
      <w:tr w:rsidR="004D451D" w:rsidRPr="004D451D" w:rsidTr="008F25CF">
        <w:trPr>
          <w:trHeight w:val="836"/>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4</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企業</w:t>
            </w:r>
            <w:r w:rsidRPr="004D451D">
              <w:rPr>
                <w:rFonts w:eastAsia="標楷體"/>
              </w:rPr>
              <w:t>(</w:t>
            </w:r>
            <w:r w:rsidRPr="004D451D">
              <w:rPr>
                <w:rFonts w:eastAsia="標楷體"/>
              </w:rPr>
              <w:t>含證券與保險公司</w:t>
            </w:r>
            <w:r w:rsidRPr="004D451D">
              <w:rPr>
                <w:rFonts w:eastAsia="標楷體"/>
              </w:rPr>
              <w:t>)</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3,338,509</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1,202,237</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6,890,107</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151,036,414</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162,467,267</w:t>
            </w:r>
          </w:p>
        </w:tc>
      </w:tr>
      <w:tr w:rsidR="004D451D" w:rsidRPr="004D451D" w:rsidTr="008F25CF">
        <w:trPr>
          <w:trHeight w:val="564"/>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5</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零售債權</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180,822</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740,870</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6,907,464</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18,057,986</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25,887,142</w:t>
            </w:r>
          </w:p>
        </w:tc>
      </w:tr>
      <w:tr w:rsidR="004D451D" w:rsidRPr="004D451D" w:rsidTr="008F25CF">
        <w:trPr>
          <w:trHeight w:val="552"/>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6</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住宅用不動產</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80</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5,127,734</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63,867</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4,881,460</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11,020</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10,084,162</w:t>
            </w:r>
          </w:p>
        </w:tc>
      </w:tr>
      <w:tr w:rsidR="004D451D" w:rsidRPr="004D451D" w:rsidTr="008F25CF">
        <w:trPr>
          <w:trHeight w:val="145"/>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7</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權益證券投資</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16,301</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16,301</w:t>
            </w:r>
          </w:p>
        </w:tc>
      </w:tr>
      <w:tr w:rsidR="004D451D" w:rsidRPr="004D451D" w:rsidTr="008F25CF">
        <w:trPr>
          <w:trHeight w:val="145"/>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8</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其他資產</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3,113,040</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2,653,666</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287,606</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6,054,312</w:t>
            </w:r>
          </w:p>
        </w:tc>
      </w:tr>
      <w:tr w:rsidR="004D451D" w:rsidRPr="004D451D" w:rsidTr="008F25CF">
        <w:trPr>
          <w:trHeight w:val="145"/>
        </w:trPr>
        <w:tc>
          <w:tcPr>
            <w:tcW w:w="425" w:type="dxa"/>
            <w:shd w:val="clear" w:color="auto" w:fill="auto"/>
            <w:vAlign w:val="center"/>
          </w:tcPr>
          <w:p w:rsidR="00FF52AD" w:rsidRPr="004D451D" w:rsidRDefault="00FF52AD" w:rsidP="00D50631">
            <w:pPr>
              <w:spacing w:line="360" w:lineRule="auto"/>
              <w:jc w:val="center"/>
              <w:rPr>
                <w:rFonts w:eastAsia="標楷體"/>
              </w:rPr>
            </w:pPr>
            <w:r w:rsidRPr="004D451D">
              <w:rPr>
                <w:rFonts w:eastAsia="標楷體"/>
              </w:rPr>
              <w:t>9</w:t>
            </w:r>
          </w:p>
        </w:tc>
        <w:tc>
          <w:tcPr>
            <w:tcW w:w="1560" w:type="dxa"/>
            <w:shd w:val="clear" w:color="auto" w:fill="auto"/>
            <w:vAlign w:val="center"/>
          </w:tcPr>
          <w:p w:rsidR="00FF52AD" w:rsidRPr="004D451D" w:rsidRDefault="00FF52AD" w:rsidP="0025699F">
            <w:pPr>
              <w:rPr>
                <w:rFonts w:eastAsia="標楷體"/>
              </w:rPr>
            </w:pPr>
            <w:r w:rsidRPr="004D451D">
              <w:rPr>
                <w:rFonts w:eastAsia="標楷體"/>
              </w:rPr>
              <w:t>總計</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54,019,308</w:t>
            </w:r>
          </w:p>
        </w:tc>
        <w:tc>
          <w:tcPr>
            <w:tcW w:w="70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3,375,116</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5,127,734</w:t>
            </w:r>
          </w:p>
        </w:tc>
        <w:tc>
          <w:tcPr>
            <w:tcW w:w="70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8,739,144</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11,788,924</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173,683,605</w:t>
            </w:r>
          </w:p>
        </w:tc>
        <w:tc>
          <w:tcPr>
            <w:tcW w:w="851"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134"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287,606</w:t>
            </w:r>
          </w:p>
        </w:tc>
        <w:tc>
          <w:tcPr>
            <w:tcW w:w="992" w:type="dxa"/>
            <w:shd w:val="clear" w:color="auto" w:fill="auto"/>
            <w:vAlign w:val="center"/>
          </w:tcPr>
          <w:p w:rsidR="00FF52AD" w:rsidRPr="004D451D" w:rsidRDefault="00FF52AD" w:rsidP="00FF52AD">
            <w:pPr>
              <w:spacing w:line="360" w:lineRule="auto"/>
              <w:jc w:val="right"/>
              <w:rPr>
                <w:rFonts w:ascii="Arial" w:hAnsi="Arial" w:cs="Arial"/>
              </w:rPr>
            </w:pP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257,021,438</w:t>
            </w:r>
          </w:p>
        </w:tc>
      </w:tr>
      <w:tr w:rsidR="004D451D" w:rsidRPr="004D451D" w:rsidTr="008F25CF">
        <w:trPr>
          <w:trHeight w:val="766"/>
        </w:trPr>
        <w:tc>
          <w:tcPr>
            <w:tcW w:w="16585" w:type="dxa"/>
            <w:gridSpan w:val="14"/>
            <w:shd w:val="clear" w:color="auto" w:fill="auto"/>
          </w:tcPr>
          <w:p w:rsidR="00F0751F" w:rsidRPr="004D451D" w:rsidRDefault="00F0751F" w:rsidP="00F0751F">
            <w:pPr>
              <w:spacing w:line="360" w:lineRule="auto"/>
              <w:rPr>
                <w:rFonts w:eastAsia="標楷體"/>
              </w:rPr>
            </w:pPr>
            <w:r w:rsidRPr="004D451D">
              <w:rPr>
                <w:rFonts w:eastAsia="標楷體"/>
              </w:rPr>
              <w:t>重大變動原因及說明</w:t>
            </w:r>
            <w:r w:rsidRPr="004D451D">
              <w:rPr>
                <w:rFonts w:eastAsia="標楷體" w:hint="eastAsia"/>
              </w:rPr>
              <w:t>：</w:t>
            </w:r>
          </w:p>
        </w:tc>
      </w:tr>
    </w:tbl>
    <w:p w:rsidR="006172AE" w:rsidRPr="004D451D" w:rsidRDefault="006172AE" w:rsidP="006172AE">
      <w:pPr>
        <w:rPr>
          <w:rFonts w:eastAsia="標楷體"/>
          <w:b/>
          <w:kern w:val="0"/>
        </w:rPr>
      </w:pPr>
    </w:p>
    <w:p w:rsidR="006172AE" w:rsidRPr="004D451D" w:rsidRDefault="006172AE" w:rsidP="00915B2E">
      <w:pPr>
        <w:spacing w:line="240" w:lineRule="atLeast"/>
        <w:rPr>
          <w:rFonts w:eastAsia="標楷體"/>
          <w:b/>
          <w:kern w:val="0"/>
        </w:rPr>
      </w:pPr>
      <w:r w:rsidRPr="004D451D">
        <w:rPr>
          <w:rFonts w:eastAsia="標楷體"/>
          <w:b/>
          <w:kern w:val="0"/>
        </w:rPr>
        <w:t>填表說明：</w:t>
      </w:r>
    </w:p>
    <w:p w:rsidR="006172AE" w:rsidRPr="004D451D" w:rsidRDefault="006172AE" w:rsidP="00EF4134">
      <w:pPr>
        <w:numPr>
          <w:ilvl w:val="0"/>
          <w:numId w:val="40"/>
        </w:numPr>
        <w:spacing w:line="240" w:lineRule="atLeast"/>
        <w:ind w:leftChars="150" w:left="720" w:hangingChars="150"/>
        <w:jc w:val="both"/>
        <w:rPr>
          <w:rFonts w:eastAsia="標楷體"/>
        </w:rPr>
      </w:pPr>
      <w:r w:rsidRPr="004D451D">
        <w:rPr>
          <w:rFonts w:eastAsia="標楷體"/>
        </w:rPr>
        <w:t>本表更新頻率：半年。</w:t>
      </w:r>
    </w:p>
    <w:p w:rsidR="00915B2E" w:rsidRPr="004D451D" w:rsidRDefault="00915B2E" w:rsidP="00EF4134">
      <w:pPr>
        <w:numPr>
          <w:ilvl w:val="0"/>
          <w:numId w:val="40"/>
        </w:numPr>
        <w:spacing w:line="240" w:lineRule="atLeast"/>
        <w:ind w:leftChars="150" w:left="720" w:hangingChars="150"/>
        <w:jc w:val="both"/>
        <w:rPr>
          <w:rFonts w:eastAsia="標楷體"/>
        </w:rPr>
      </w:pPr>
      <w:r w:rsidRPr="004D451D">
        <w:rPr>
          <w:rFonts w:eastAsia="標楷體"/>
        </w:rPr>
        <w:t>本表採個體基礎填報。</w:t>
      </w:r>
    </w:p>
    <w:p w:rsidR="00915B2E" w:rsidRPr="004D451D" w:rsidRDefault="00915B2E" w:rsidP="00EF4134">
      <w:pPr>
        <w:numPr>
          <w:ilvl w:val="0"/>
          <w:numId w:val="40"/>
        </w:numPr>
        <w:spacing w:line="240" w:lineRule="atLeast"/>
        <w:ind w:leftChars="150" w:left="720" w:hangingChars="150"/>
        <w:jc w:val="both"/>
        <w:rPr>
          <w:rFonts w:eastAsia="標楷體"/>
        </w:rPr>
      </w:pPr>
      <w:r w:rsidRPr="004D451D">
        <w:rPr>
          <w:rFonts w:eastAsia="標楷體"/>
        </w:rPr>
        <w:t>考慮信用轉換係數與信用風險抵減後暴險額：用以計算資本要求</w:t>
      </w:r>
      <w:r w:rsidRPr="004D451D">
        <w:rPr>
          <w:rFonts w:eastAsia="標楷體"/>
        </w:rPr>
        <w:t>(</w:t>
      </w:r>
      <w:r w:rsidRPr="004D451D">
        <w:rPr>
          <w:rFonts w:eastAsia="標楷體"/>
        </w:rPr>
        <w:t>包含表內及表外</w:t>
      </w:r>
      <w:r w:rsidRPr="004D451D">
        <w:rPr>
          <w:rFonts w:eastAsia="標楷體"/>
        </w:rPr>
        <w:t>)</w:t>
      </w:r>
      <w:r w:rsidRPr="004D451D">
        <w:rPr>
          <w:rFonts w:eastAsia="標楷體"/>
        </w:rPr>
        <w:t>之金額，即扣除損失準備及轉銷呆帳後，並考慮信用轉換係數及信用風險抵減後，但尚未適用其對應風險權數前之金額。</w:t>
      </w:r>
    </w:p>
    <w:p w:rsidR="00915B2E" w:rsidRPr="004D451D" w:rsidRDefault="00915B2E" w:rsidP="00EF4134">
      <w:pPr>
        <w:numPr>
          <w:ilvl w:val="0"/>
          <w:numId w:val="40"/>
        </w:numPr>
        <w:spacing w:line="240" w:lineRule="atLeast"/>
        <w:ind w:leftChars="150" w:left="720" w:hangingChars="150"/>
        <w:jc w:val="both"/>
        <w:rPr>
          <w:rFonts w:eastAsia="標楷體"/>
        </w:rPr>
      </w:pPr>
      <w:r w:rsidRPr="004D451D">
        <w:rPr>
          <w:rFonts w:eastAsia="標楷體"/>
        </w:rPr>
        <w:t>本表可與主管機關第一支柱申報報表【表</w:t>
      </w:r>
      <w:r w:rsidRPr="004D451D">
        <w:rPr>
          <w:rFonts w:eastAsia="標楷體"/>
        </w:rPr>
        <w:t>2-C</w:t>
      </w:r>
      <w:r w:rsidRPr="004D451D">
        <w:rPr>
          <w:rFonts w:eastAsia="標楷體"/>
        </w:rPr>
        <w:t>】與【表</w:t>
      </w:r>
      <w:r w:rsidRPr="004D451D">
        <w:rPr>
          <w:rFonts w:eastAsia="標楷體"/>
        </w:rPr>
        <w:t>2-D</w:t>
      </w:r>
      <w:r w:rsidRPr="004D451D">
        <w:rPr>
          <w:rFonts w:eastAsia="標楷體"/>
        </w:rPr>
        <w:t>】勾稽。</w:t>
      </w:r>
    </w:p>
    <w:p w:rsidR="00CF6ABA" w:rsidRPr="004D451D" w:rsidRDefault="00CF6ABA" w:rsidP="00A0327F">
      <w:pPr>
        <w:spacing w:line="240" w:lineRule="atLeast"/>
        <w:rPr>
          <w:rFonts w:eastAsia="標楷體"/>
        </w:rPr>
      </w:pPr>
    </w:p>
    <w:p w:rsidR="00CF6ABA" w:rsidRPr="004D451D" w:rsidRDefault="00CF6ABA" w:rsidP="006172AE">
      <w:pPr>
        <w:spacing w:line="360" w:lineRule="auto"/>
        <w:ind w:left="180" w:hangingChars="75" w:hanging="180"/>
        <w:rPr>
          <w:rFonts w:ascii="Arial" w:eastAsia="標楷體" w:hAnsi="Arial" w:cs="Arial"/>
        </w:rPr>
      </w:pPr>
    </w:p>
    <w:p w:rsidR="00CF6ABA" w:rsidRPr="004D451D" w:rsidRDefault="00CF6ABA" w:rsidP="006172AE">
      <w:pPr>
        <w:spacing w:line="360" w:lineRule="auto"/>
        <w:ind w:left="180" w:hangingChars="75" w:hanging="180"/>
        <w:rPr>
          <w:rFonts w:ascii="Arial" w:eastAsia="標楷體" w:hAnsi="Arial" w:cs="Arial"/>
        </w:rPr>
      </w:pPr>
    </w:p>
    <w:p w:rsidR="00CF6ABA" w:rsidRPr="004D451D" w:rsidRDefault="00CF6ABA" w:rsidP="006172AE">
      <w:pPr>
        <w:spacing w:line="360" w:lineRule="auto"/>
        <w:ind w:left="180" w:hangingChars="75" w:hanging="180"/>
        <w:rPr>
          <w:rFonts w:ascii="Arial" w:eastAsia="標楷體" w:hAnsi="Arial" w:cs="Arial"/>
        </w:rPr>
      </w:pPr>
    </w:p>
    <w:p w:rsidR="00CF6ABA" w:rsidRPr="004D451D" w:rsidRDefault="00CF6ABA" w:rsidP="0051330C">
      <w:pPr>
        <w:spacing w:line="360" w:lineRule="auto"/>
        <w:rPr>
          <w:rFonts w:ascii="Arial" w:eastAsia="標楷體" w:hAnsi="Arial" w:cs="Arial"/>
        </w:rPr>
      </w:pPr>
    </w:p>
    <w:p w:rsidR="00B26EC8" w:rsidRPr="004D451D" w:rsidRDefault="00B26EC8" w:rsidP="0051330C">
      <w:pPr>
        <w:spacing w:line="360" w:lineRule="auto"/>
        <w:rPr>
          <w:rFonts w:ascii="Arial" w:eastAsia="標楷體" w:hAnsi="Arial" w:cs="Arial"/>
        </w:rPr>
      </w:pPr>
    </w:p>
    <w:p w:rsidR="00915B2E" w:rsidRPr="004D451D" w:rsidRDefault="00915B2E" w:rsidP="002208B7">
      <w:pPr>
        <w:widowControl/>
        <w:rPr>
          <w:rFonts w:ascii="Arial" w:eastAsia="標楷體" w:hAnsi="Arial" w:cs="Arial"/>
          <w:sz w:val="32"/>
          <w:szCs w:val="32"/>
        </w:rPr>
        <w:sectPr w:rsidR="00915B2E" w:rsidRPr="004D451D" w:rsidSect="00915B2E">
          <w:pgSz w:w="16838" w:h="11906" w:orient="landscape" w:code="9"/>
          <w:pgMar w:top="1440" w:right="1079" w:bottom="991" w:left="1440" w:header="851" w:footer="352" w:gutter="0"/>
          <w:cols w:space="425"/>
          <w:docGrid w:type="lines" w:linePitch="360"/>
        </w:sectPr>
      </w:pPr>
    </w:p>
    <w:p w:rsidR="002208B7" w:rsidRPr="004D451D" w:rsidRDefault="002208B7" w:rsidP="002208B7">
      <w:pPr>
        <w:widowControl/>
        <w:rPr>
          <w:rFonts w:eastAsia="標楷體"/>
          <w:sz w:val="32"/>
          <w:szCs w:val="32"/>
        </w:rPr>
      </w:pPr>
      <w:r w:rsidRPr="004D451D">
        <w:rPr>
          <w:rFonts w:eastAsia="標楷體"/>
          <w:b/>
          <w:sz w:val="32"/>
          <w:szCs w:val="32"/>
        </w:rPr>
        <w:t>【附</w:t>
      </w:r>
      <w:r w:rsidR="00B109AE" w:rsidRPr="004D451D">
        <w:rPr>
          <w:rFonts w:eastAsia="標楷體"/>
          <w:b/>
          <w:sz w:val="32"/>
          <w:szCs w:val="32"/>
        </w:rPr>
        <w:t>表二十</w:t>
      </w:r>
      <w:r w:rsidR="00744569" w:rsidRPr="004D451D">
        <w:rPr>
          <w:rFonts w:eastAsia="標楷體" w:hint="eastAsia"/>
          <w:b/>
          <w:sz w:val="32"/>
          <w:szCs w:val="32"/>
        </w:rPr>
        <w:t>一</w:t>
      </w:r>
      <w:r w:rsidRPr="004D451D">
        <w:rPr>
          <w:rFonts w:eastAsia="標楷體"/>
          <w:b/>
          <w:sz w:val="32"/>
          <w:szCs w:val="32"/>
        </w:rPr>
        <w:t>】</w:t>
      </w:r>
    </w:p>
    <w:p w:rsidR="002208B7" w:rsidRPr="004D451D" w:rsidRDefault="002208B7" w:rsidP="002208B7">
      <w:pPr>
        <w:jc w:val="center"/>
        <w:rPr>
          <w:rFonts w:eastAsia="標楷體"/>
          <w:b/>
          <w:bCs/>
          <w:sz w:val="32"/>
          <w:szCs w:val="32"/>
        </w:rPr>
      </w:pPr>
      <w:r w:rsidRPr="004D451D">
        <w:rPr>
          <w:rFonts w:eastAsia="標楷體"/>
          <w:b/>
          <w:bCs/>
          <w:sz w:val="32"/>
          <w:szCs w:val="32"/>
        </w:rPr>
        <w:t>內部評等模型之定性揭露</w:t>
      </w:r>
      <w:r w:rsidR="002A3B11" w:rsidRPr="004D451D">
        <w:rPr>
          <w:rFonts w:eastAsia="標楷體" w:hint="eastAsia"/>
          <w:b/>
          <w:bCs/>
          <w:sz w:val="32"/>
          <w:szCs w:val="32"/>
        </w:rPr>
        <w:t>-</w:t>
      </w:r>
      <w:r w:rsidR="002A3B11" w:rsidRPr="004D451D">
        <w:rPr>
          <w:rFonts w:eastAsia="標楷體" w:hint="eastAsia"/>
          <w:b/>
          <w:bCs/>
          <w:sz w:val="32"/>
          <w:szCs w:val="32"/>
        </w:rPr>
        <w:t>不適用</w:t>
      </w:r>
    </w:p>
    <w:p w:rsidR="002208B7" w:rsidRPr="004D451D" w:rsidRDefault="002A3B11" w:rsidP="002208B7">
      <w:pPr>
        <w:spacing w:line="360" w:lineRule="auto"/>
        <w:jc w:val="center"/>
        <w:rPr>
          <w:rFonts w:eastAsia="標楷體"/>
          <w:bCs/>
          <w:sz w:val="32"/>
          <w:szCs w:val="32"/>
        </w:rPr>
      </w:pPr>
      <w:r w:rsidRPr="004D451D">
        <w:rPr>
          <w:rFonts w:eastAsia="標楷體" w:hint="eastAsia"/>
          <w:bCs/>
          <w:sz w:val="32"/>
          <w:szCs w:val="32"/>
        </w:rPr>
        <w:t>10</w:t>
      </w:r>
      <w:r w:rsidR="00FF52AD" w:rsidRPr="004D451D">
        <w:rPr>
          <w:rFonts w:eastAsia="標楷體" w:hint="eastAsia"/>
          <w:bCs/>
          <w:sz w:val="32"/>
          <w:szCs w:val="32"/>
        </w:rPr>
        <w:t>7</w:t>
      </w:r>
      <w:r w:rsidR="002208B7" w:rsidRPr="004D451D">
        <w:rPr>
          <w:rFonts w:eastAsia="標楷體"/>
          <w:bCs/>
          <w:sz w:val="32"/>
          <w:szCs w:val="32"/>
        </w:rPr>
        <w:t>年</w:t>
      </w:r>
      <w:r w:rsidR="00FF52AD" w:rsidRPr="004D451D">
        <w:rPr>
          <w:rFonts w:eastAsia="標楷體" w:hint="eastAsia"/>
          <w:bCs/>
          <w:sz w:val="32"/>
          <w:szCs w:val="32"/>
        </w:rPr>
        <w:t>06</w:t>
      </w:r>
      <w:r w:rsidR="002208B7" w:rsidRPr="004D451D">
        <w:rPr>
          <w:rFonts w:eastAsia="標楷體"/>
          <w:bCs/>
          <w:sz w:val="32"/>
          <w:szCs w:val="32"/>
        </w:rPr>
        <w:t>月</w:t>
      </w:r>
      <w:r w:rsidRPr="004D451D">
        <w:rPr>
          <w:rFonts w:eastAsia="標楷體" w:hint="eastAsia"/>
          <w:bCs/>
          <w:sz w:val="32"/>
          <w:szCs w:val="32"/>
        </w:rPr>
        <w:t>3</w:t>
      </w:r>
      <w:r w:rsidR="00FF52AD" w:rsidRPr="004D451D">
        <w:rPr>
          <w:rFonts w:eastAsia="標楷體" w:hint="eastAsia"/>
          <w:bCs/>
          <w:sz w:val="32"/>
          <w:szCs w:val="32"/>
        </w:rPr>
        <w:t>0</w:t>
      </w:r>
      <w:r w:rsidR="002208B7" w:rsidRPr="004D451D">
        <w:rPr>
          <w:rFonts w:eastAsia="標楷體"/>
          <w:bCs/>
          <w:sz w:val="32"/>
          <w:szCs w:val="32"/>
        </w:rPr>
        <w:t>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386"/>
        <w:gridCol w:w="3688"/>
      </w:tblGrid>
      <w:tr w:rsidR="004D451D" w:rsidRPr="004D451D" w:rsidTr="00F16EA4">
        <w:trPr>
          <w:jc w:val="center"/>
        </w:trPr>
        <w:tc>
          <w:tcPr>
            <w:tcW w:w="5838" w:type="dxa"/>
            <w:gridSpan w:val="2"/>
            <w:shd w:val="clear" w:color="auto" w:fill="auto"/>
            <w:vAlign w:val="center"/>
          </w:tcPr>
          <w:p w:rsidR="005E47DE" w:rsidRPr="004D451D" w:rsidRDefault="005E47DE" w:rsidP="00D50631">
            <w:pPr>
              <w:jc w:val="center"/>
              <w:rPr>
                <w:rFonts w:eastAsia="標楷體"/>
                <w:kern w:val="0"/>
              </w:rPr>
            </w:pPr>
            <w:r w:rsidRPr="004D451D">
              <w:rPr>
                <w:rFonts w:eastAsia="標楷體"/>
                <w:kern w:val="0"/>
              </w:rPr>
              <w:t>項目</w:t>
            </w:r>
          </w:p>
        </w:tc>
        <w:tc>
          <w:tcPr>
            <w:tcW w:w="3688" w:type="dxa"/>
            <w:shd w:val="clear" w:color="auto" w:fill="auto"/>
            <w:vAlign w:val="center"/>
          </w:tcPr>
          <w:p w:rsidR="005E47DE" w:rsidRPr="004D451D" w:rsidRDefault="005E47DE" w:rsidP="00D50631">
            <w:pPr>
              <w:jc w:val="center"/>
              <w:rPr>
                <w:rFonts w:eastAsia="標楷體"/>
                <w:kern w:val="0"/>
              </w:rPr>
            </w:pPr>
            <w:r w:rsidRPr="004D451D">
              <w:rPr>
                <w:rFonts w:eastAsia="標楷體"/>
                <w:kern w:val="0"/>
              </w:rPr>
              <w:t>內容</w:t>
            </w:r>
          </w:p>
        </w:tc>
      </w:tr>
      <w:tr w:rsidR="004D451D" w:rsidRPr="004D451D" w:rsidTr="00F16EA4">
        <w:trPr>
          <w:jc w:val="center"/>
        </w:trPr>
        <w:tc>
          <w:tcPr>
            <w:tcW w:w="452" w:type="dxa"/>
            <w:shd w:val="clear" w:color="auto" w:fill="auto"/>
            <w:vAlign w:val="center"/>
          </w:tcPr>
          <w:p w:rsidR="00346FCF" w:rsidRPr="004D451D" w:rsidRDefault="00346FCF" w:rsidP="00D50631">
            <w:pPr>
              <w:jc w:val="center"/>
              <w:rPr>
                <w:rFonts w:eastAsia="標楷體"/>
                <w:kern w:val="0"/>
              </w:rPr>
            </w:pPr>
            <w:r w:rsidRPr="004D451D">
              <w:rPr>
                <w:rFonts w:eastAsia="標楷體"/>
                <w:kern w:val="0"/>
              </w:rPr>
              <w:t>1</w:t>
            </w:r>
          </w:p>
        </w:tc>
        <w:tc>
          <w:tcPr>
            <w:tcW w:w="5386" w:type="dxa"/>
            <w:shd w:val="clear" w:color="auto" w:fill="auto"/>
            <w:vAlign w:val="center"/>
          </w:tcPr>
          <w:p w:rsidR="00346FCF" w:rsidRPr="004D451D" w:rsidRDefault="00346FCF" w:rsidP="00E36EA2">
            <w:pPr>
              <w:jc w:val="both"/>
              <w:rPr>
                <w:rFonts w:eastAsia="標楷體"/>
                <w:kern w:val="0"/>
              </w:rPr>
            </w:pPr>
            <w:r w:rsidRPr="004D451D">
              <w:rPr>
                <w:rFonts w:eastAsia="標楷體"/>
                <w:kern w:val="0"/>
              </w:rPr>
              <w:t>內部模型之發展、控制與變動：與信用風險模型發展、覆核及後續調整相關之功能角色</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jc w:val="center"/>
        </w:trPr>
        <w:tc>
          <w:tcPr>
            <w:tcW w:w="452" w:type="dxa"/>
            <w:shd w:val="clear" w:color="auto" w:fill="auto"/>
            <w:vAlign w:val="center"/>
          </w:tcPr>
          <w:p w:rsidR="00346FCF" w:rsidRPr="004D451D" w:rsidRDefault="00346FCF" w:rsidP="00D50631">
            <w:pPr>
              <w:jc w:val="center"/>
              <w:rPr>
                <w:rFonts w:eastAsia="標楷體"/>
                <w:kern w:val="0"/>
              </w:rPr>
            </w:pPr>
            <w:r w:rsidRPr="004D451D">
              <w:rPr>
                <w:rFonts w:eastAsia="標楷體"/>
                <w:kern w:val="0"/>
              </w:rPr>
              <w:t>2</w:t>
            </w:r>
          </w:p>
        </w:tc>
        <w:tc>
          <w:tcPr>
            <w:tcW w:w="5386" w:type="dxa"/>
            <w:shd w:val="clear" w:color="auto" w:fill="auto"/>
            <w:vAlign w:val="center"/>
          </w:tcPr>
          <w:p w:rsidR="00346FCF" w:rsidRPr="004D451D" w:rsidRDefault="00346FCF" w:rsidP="00E36EA2">
            <w:pPr>
              <w:jc w:val="both"/>
              <w:rPr>
                <w:rFonts w:eastAsia="標楷體"/>
                <w:kern w:val="0"/>
              </w:rPr>
            </w:pPr>
            <w:r w:rsidRPr="004D451D">
              <w:rPr>
                <w:rFonts w:eastAsia="標楷體"/>
                <w:kern w:val="0"/>
              </w:rPr>
              <w:t>風險管理機制與內部稽核機制之關聯性及確保模型覆核機制與模型發展機制具備獨立性的程序</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jc w:val="center"/>
        </w:trPr>
        <w:tc>
          <w:tcPr>
            <w:tcW w:w="452" w:type="dxa"/>
            <w:shd w:val="clear" w:color="auto" w:fill="auto"/>
            <w:vAlign w:val="center"/>
          </w:tcPr>
          <w:p w:rsidR="00346FCF" w:rsidRPr="004D451D" w:rsidRDefault="00346FCF" w:rsidP="00D50631">
            <w:pPr>
              <w:jc w:val="center"/>
              <w:rPr>
                <w:rFonts w:eastAsia="標楷體"/>
                <w:kern w:val="0"/>
              </w:rPr>
            </w:pPr>
            <w:r w:rsidRPr="004D451D">
              <w:rPr>
                <w:rFonts w:eastAsia="標楷體"/>
                <w:kern w:val="0"/>
              </w:rPr>
              <w:t>3</w:t>
            </w:r>
          </w:p>
        </w:tc>
        <w:tc>
          <w:tcPr>
            <w:tcW w:w="5386" w:type="dxa"/>
            <w:shd w:val="clear" w:color="auto" w:fill="auto"/>
            <w:vAlign w:val="center"/>
          </w:tcPr>
          <w:p w:rsidR="00346FCF" w:rsidRPr="004D451D" w:rsidRDefault="00346FCF" w:rsidP="00E36EA2">
            <w:pPr>
              <w:jc w:val="both"/>
              <w:rPr>
                <w:rFonts w:eastAsia="標楷體"/>
                <w:kern w:val="0"/>
              </w:rPr>
            </w:pPr>
            <w:r w:rsidRPr="004D451D">
              <w:rPr>
                <w:rFonts w:eastAsia="標楷體"/>
                <w:kern w:val="0"/>
              </w:rPr>
              <w:t>與信用風險模型相關的報告之範圍與主要內容</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trHeight w:val="646"/>
          <w:jc w:val="center"/>
        </w:trPr>
        <w:tc>
          <w:tcPr>
            <w:tcW w:w="452" w:type="dxa"/>
            <w:shd w:val="clear" w:color="auto" w:fill="auto"/>
            <w:vAlign w:val="center"/>
          </w:tcPr>
          <w:p w:rsidR="00346FCF" w:rsidRPr="004D451D" w:rsidRDefault="00346FCF" w:rsidP="00D50631">
            <w:pPr>
              <w:jc w:val="center"/>
              <w:rPr>
                <w:rFonts w:eastAsia="標楷體"/>
                <w:kern w:val="0"/>
              </w:rPr>
            </w:pPr>
            <w:r w:rsidRPr="004D451D">
              <w:rPr>
                <w:rFonts w:eastAsia="標楷體"/>
                <w:kern w:val="0"/>
              </w:rPr>
              <w:t>4</w:t>
            </w:r>
          </w:p>
        </w:tc>
        <w:tc>
          <w:tcPr>
            <w:tcW w:w="5386" w:type="dxa"/>
            <w:shd w:val="clear" w:color="auto" w:fill="auto"/>
            <w:vAlign w:val="center"/>
          </w:tcPr>
          <w:p w:rsidR="00346FCF" w:rsidRPr="004D451D" w:rsidRDefault="00D344DA" w:rsidP="00E36EA2">
            <w:pPr>
              <w:jc w:val="both"/>
              <w:rPr>
                <w:rFonts w:eastAsia="標楷體"/>
                <w:kern w:val="0"/>
              </w:rPr>
            </w:pPr>
            <w:r w:rsidRPr="004D451D">
              <w:rPr>
                <w:rFonts w:eastAsia="標楷體"/>
                <w:kern w:val="0"/>
              </w:rPr>
              <w:t>主管</w:t>
            </w:r>
            <w:r w:rsidR="00346FCF" w:rsidRPr="004D451D">
              <w:rPr>
                <w:rFonts w:eastAsia="標楷體"/>
                <w:kern w:val="0"/>
              </w:rPr>
              <w:t>機關同意得採用內部評等法之範圍</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jc w:val="center"/>
        </w:trPr>
        <w:tc>
          <w:tcPr>
            <w:tcW w:w="452" w:type="dxa"/>
            <w:shd w:val="clear" w:color="auto" w:fill="auto"/>
            <w:vAlign w:val="center"/>
          </w:tcPr>
          <w:p w:rsidR="00346FCF" w:rsidRPr="004D451D" w:rsidRDefault="00346FCF" w:rsidP="00D50631">
            <w:pPr>
              <w:jc w:val="center"/>
              <w:rPr>
                <w:rFonts w:eastAsia="標楷體"/>
                <w:kern w:val="0"/>
              </w:rPr>
            </w:pPr>
            <w:r w:rsidRPr="004D451D">
              <w:rPr>
                <w:rFonts w:eastAsia="標楷體"/>
                <w:kern w:val="0"/>
              </w:rPr>
              <w:t>5</w:t>
            </w:r>
          </w:p>
        </w:tc>
        <w:tc>
          <w:tcPr>
            <w:tcW w:w="5386" w:type="dxa"/>
            <w:shd w:val="clear" w:color="auto" w:fill="auto"/>
            <w:vAlign w:val="center"/>
          </w:tcPr>
          <w:p w:rsidR="00346FCF" w:rsidRPr="004D451D" w:rsidRDefault="00346FCF" w:rsidP="00E36EA2">
            <w:pPr>
              <w:jc w:val="both"/>
              <w:rPr>
                <w:rFonts w:eastAsia="標楷體"/>
                <w:kern w:val="0"/>
              </w:rPr>
            </w:pPr>
            <w:r w:rsidRPr="004D451D">
              <w:rPr>
                <w:rFonts w:eastAsia="標楷體"/>
                <w:kern w:val="0"/>
              </w:rPr>
              <w:t>對於各資產組合，銀行應分別列示以標準法、基礎內部評等法及進階內部評等法涵蓋之違約暴險額比例以及未來將導入之資產組合部分</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jc w:val="center"/>
        </w:trPr>
        <w:tc>
          <w:tcPr>
            <w:tcW w:w="452" w:type="dxa"/>
            <w:shd w:val="clear" w:color="auto" w:fill="auto"/>
            <w:vAlign w:val="center"/>
          </w:tcPr>
          <w:p w:rsidR="00346FCF" w:rsidRPr="004D451D" w:rsidRDefault="00346FCF" w:rsidP="00D50631">
            <w:pPr>
              <w:jc w:val="center"/>
              <w:rPr>
                <w:rFonts w:eastAsia="標楷體"/>
                <w:kern w:val="0"/>
              </w:rPr>
            </w:pPr>
            <w:r w:rsidRPr="004D451D">
              <w:rPr>
                <w:rFonts w:eastAsia="標楷體"/>
                <w:kern w:val="0"/>
              </w:rPr>
              <w:t>6</w:t>
            </w:r>
          </w:p>
        </w:tc>
        <w:tc>
          <w:tcPr>
            <w:tcW w:w="5386" w:type="dxa"/>
            <w:shd w:val="clear" w:color="auto" w:fill="auto"/>
            <w:vAlign w:val="center"/>
          </w:tcPr>
          <w:p w:rsidR="00346FCF" w:rsidRPr="004D451D" w:rsidRDefault="00346FCF" w:rsidP="00E36EA2">
            <w:pPr>
              <w:jc w:val="both"/>
              <w:rPr>
                <w:rFonts w:eastAsia="標楷體"/>
                <w:kern w:val="0"/>
              </w:rPr>
            </w:pPr>
            <w:r w:rsidRPr="004D451D">
              <w:rPr>
                <w:rFonts w:eastAsia="標楷體"/>
                <w:kern w:val="0"/>
              </w:rPr>
              <w:t>使用於各資產組合之主要模型數量，並簡述同資產組合所使用的不同模型之主要差異</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jc w:val="center"/>
        </w:trPr>
        <w:tc>
          <w:tcPr>
            <w:tcW w:w="452" w:type="dxa"/>
            <w:vMerge w:val="restart"/>
            <w:shd w:val="clear" w:color="auto" w:fill="auto"/>
            <w:vAlign w:val="center"/>
          </w:tcPr>
          <w:p w:rsidR="00346FCF" w:rsidRPr="004D451D" w:rsidRDefault="00346FCF" w:rsidP="00D50631">
            <w:pPr>
              <w:jc w:val="center"/>
              <w:rPr>
                <w:rFonts w:eastAsia="標楷體"/>
                <w:kern w:val="0"/>
              </w:rPr>
            </w:pPr>
            <w:r w:rsidRPr="004D451D">
              <w:rPr>
                <w:rFonts w:eastAsia="標楷體"/>
                <w:kern w:val="0"/>
              </w:rPr>
              <w:t>7</w:t>
            </w:r>
          </w:p>
        </w:tc>
        <w:tc>
          <w:tcPr>
            <w:tcW w:w="5386" w:type="dxa"/>
            <w:shd w:val="clear" w:color="auto" w:fill="auto"/>
            <w:vAlign w:val="center"/>
          </w:tcPr>
          <w:p w:rsidR="00346FCF" w:rsidRPr="004D451D" w:rsidRDefault="00346FCF" w:rsidP="00E36EA2">
            <w:pPr>
              <w:jc w:val="both"/>
              <w:rPr>
                <w:rFonts w:eastAsia="標楷體"/>
                <w:kern w:val="0"/>
              </w:rPr>
            </w:pPr>
            <w:r w:rsidRPr="004D451D">
              <w:rPr>
                <w:rFonts w:eastAsia="標楷體"/>
                <w:kern w:val="0"/>
              </w:rPr>
              <w:t>描述被認可的模型主要之特徵：</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trHeight w:val="1775"/>
          <w:jc w:val="center"/>
        </w:trPr>
        <w:tc>
          <w:tcPr>
            <w:tcW w:w="452" w:type="dxa"/>
            <w:vMerge/>
            <w:shd w:val="clear" w:color="auto" w:fill="auto"/>
            <w:vAlign w:val="center"/>
          </w:tcPr>
          <w:p w:rsidR="00346FCF" w:rsidRPr="004D451D" w:rsidRDefault="00346FCF" w:rsidP="00D50631">
            <w:pPr>
              <w:jc w:val="center"/>
              <w:rPr>
                <w:rFonts w:eastAsia="標楷體"/>
                <w:kern w:val="0"/>
              </w:rPr>
            </w:pPr>
          </w:p>
        </w:tc>
        <w:tc>
          <w:tcPr>
            <w:tcW w:w="5386" w:type="dxa"/>
            <w:shd w:val="clear" w:color="auto" w:fill="auto"/>
            <w:vAlign w:val="center"/>
          </w:tcPr>
          <w:p w:rsidR="00E36EA2" w:rsidRPr="004D451D" w:rsidRDefault="00346FCF" w:rsidP="00482E54">
            <w:pPr>
              <w:numPr>
                <w:ilvl w:val="0"/>
                <w:numId w:val="41"/>
              </w:numPr>
              <w:jc w:val="both"/>
              <w:rPr>
                <w:rFonts w:eastAsia="標楷體"/>
                <w:kern w:val="0"/>
              </w:rPr>
            </w:pPr>
            <w:r w:rsidRPr="004D451D">
              <w:rPr>
                <w:rFonts w:eastAsia="標楷體"/>
                <w:kern w:val="0"/>
              </w:rPr>
              <w:t>違約機率</w:t>
            </w:r>
            <w:r w:rsidRPr="004D451D">
              <w:rPr>
                <w:rFonts w:eastAsia="標楷體"/>
                <w:kern w:val="0"/>
              </w:rPr>
              <w:t>(PD)</w:t>
            </w:r>
            <w:r w:rsidRPr="004D451D">
              <w:rPr>
                <w:rFonts w:eastAsia="標楷體"/>
                <w:kern w:val="0"/>
              </w:rPr>
              <w:t>估計與驗證之定義、方法及資料</w:t>
            </w:r>
            <w:r w:rsidRPr="004D451D">
              <w:rPr>
                <w:rFonts w:eastAsia="標楷體"/>
                <w:kern w:val="0"/>
              </w:rPr>
              <w:t>(</w:t>
            </w:r>
            <w:r w:rsidRPr="004D451D">
              <w:rPr>
                <w:rFonts w:eastAsia="標楷體"/>
                <w:kern w:val="0"/>
              </w:rPr>
              <w:t>例如對於違約樣本數較少之資產組合如何估計</w:t>
            </w:r>
            <w:r w:rsidRPr="004D451D">
              <w:rPr>
                <w:rFonts w:eastAsia="標楷體"/>
                <w:kern w:val="0"/>
              </w:rPr>
              <w:t>PD</w:t>
            </w:r>
            <w:r w:rsidRPr="004D451D">
              <w:rPr>
                <w:rFonts w:eastAsia="標楷體"/>
                <w:kern w:val="0"/>
              </w:rPr>
              <w:t>；若有法定下限；說明至少最近三期違約機率與實際違約率差異原因</w:t>
            </w:r>
            <w:r w:rsidRPr="004D451D">
              <w:rPr>
                <w:rFonts w:eastAsia="標楷體"/>
                <w:kern w:val="0"/>
              </w:rPr>
              <w:t>)</w:t>
            </w:r>
          </w:p>
        </w:tc>
        <w:tc>
          <w:tcPr>
            <w:tcW w:w="3688" w:type="dxa"/>
            <w:shd w:val="clear" w:color="auto" w:fill="auto"/>
            <w:vAlign w:val="center"/>
          </w:tcPr>
          <w:p w:rsidR="00346FCF" w:rsidRPr="004D451D" w:rsidRDefault="00346FCF" w:rsidP="00D50631">
            <w:pPr>
              <w:jc w:val="center"/>
              <w:rPr>
                <w:rFonts w:eastAsia="標楷體"/>
                <w:kern w:val="0"/>
              </w:rPr>
            </w:pPr>
          </w:p>
        </w:tc>
      </w:tr>
      <w:tr w:rsidR="004D451D" w:rsidRPr="004D451D" w:rsidTr="00F16EA4">
        <w:trPr>
          <w:trHeight w:val="1808"/>
          <w:jc w:val="center"/>
        </w:trPr>
        <w:tc>
          <w:tcPr>
            <w:tcW w:w="452" w:type="dxa"/>
            <w:vMerge/>
            <w:shd w:val="clear" w:color="auto" w:fill="auto"/>
            <w:vAlign w:val="center"/>
          </w:tcPr>
          <w:p w:rsidR="00E36EA2" w:rsidRPr="004D451D" w:rsidRDefault="00E36EA2" w:rsidP="00D50631">
            <w:pPr>
              <w:jc w:val="center"/>
              <w:rPr>
                <w:rFonts w:eastAsia="標楷體"/>
                <w:kern w:val="0"/>
              </w:rPr>
            </w:pPr>
          </w:p>
        </w:tc>
        <w:tc>
          <w:tcPr>
            <w:tcW w:w="5386" w:type="dxa"/>
            <w:shd w:val="clear" w:color="auto" w:fill="auto"/>
            <w:vAlign w:val="center"/>
          </w:tcPr>
          <w:p w:rsidR="00E36EA2" w:rsidRPr="004D451D" w:rsidRDefault="00E36EA2" w:rsidP="00482E54">
            <w:pPr>
              <w:numPr>
                <w:ilvl w:val="0"/>
                <w:numId w:val="41"/>
              </w:numPr>
              <w:jc w:val="both"/>
              <w:rPr>
                <w:rFonts w:eastAsia="標楷體"/>
                <w:kern w:val="0"/>
              </w:rPr>
            </w:pPr>
            <w:r w:rsidRPr="004D451D">
              <w:rPr>
                <w:rFonts w:eastAsia="標楷體"/>
                <w:kern w:val="0"/>
              </w:rPr>
              <w:t>違約損失率</w:t>
            </w:r>
            <w:r w:rsidRPr="004D451D">
              <w:rPr>
                <w:rFonts w:eastAsia="標楷體"/>
                <w:kern w:val="0"/>
              </w:rPr>
              <w:t>(LGD)(</w:t>
            </w:r>
            <w:r w:rsidRPr="004D451D">
              <w:rPr>
                <w:rFonts w:eastAsia="標楷體"/>
                <w:kern w:val="0"/>
              </w:rPr>
              <w:t>如反映經濟衰退時期之違約損失率估算方法、對於違約樣本數較少之資產組合如何估計</w:t>
            </w:r>
            <w:r w:rsidRPr="004D451D">
              <w:rPr>
                <w:rFonts w:eastAsia="標楷體"/>
                <w:kern w:val="0"/>
              </w:rPr>
              <w:t>LGD</w:t>
            </w:r>
            <w:r w:rsidRPr="004D451D">
              <w:rPr>
                <w:rFonts w:eastAsia="標楷體"/>
                <w:kern w:val="0"/>
              </w:rPr>
              <w:t>、違約事件發生與暴險終止之時間間隔</w:t>
            </w:r>
            <w:r w:rsidRPr="004D451D">
              <w:rPr>
                <w:rFonts w:eastAsia="標楷體"/>
                <w:kern w:val="0"/>
              </w:rPr>
              <w:t>)</w:t>
            </w:r>
          </w:p>
        </w:tc>
        <w:tc>
          <w:tcPr>
            <w:tcW w:w="3688" w:type="dxa"/>
            <w:shd w:val="clear" w:color="auto" w:fill="auto"/>
            <w:vAlign w:val="center"/>
          </w:tcPr>
          <w:p w:rsidR="00E36EA2" w:rsidRPr="004D451D" w:rsidRDefault="00E36EA2" w:rsidP="00D50631">
            <w:pPr>
              <w:jc w:val="center"/>
              <w:rPr>
                <w:rFonts w:eastAsia="標楷體"/>
                <w:kern w:val="0"/>
              </w:rPr>
            </w:pPr>
          </w:p>
        </w:tc>
      </w:tr>
      <w:tr w:rsidR="004D451D" w:rsidRPr="004D451D" w:rsidTr="00F16EA4">
        <w:trPr>
          <w:trHeight w:val="703"/>
          <w:jc w:val="center"/>
        </w:trPr>
        <w:tc>
          <w:tcPr>
            <w:tcW w:w="452" w:type="dxa"/>
            <w:vMerge/>
            <w:shd w:val="clear" w:color="auto" w:fill="auto"/>
            <w:vAlign w:val="center"/>
          </w:tcPr>
          <w:p w:rsidR="00E36EA2" w:rsidRPr="004D451D" w:rsidRDefault="00E36EA2" w:rsidP="00D50631">
            <w:pPr>
              <w:jc w:val="center"/>
              <w:rPr>
                <w:rFonts w:eastAsia="標楷體"/>
                <w:kern w:val="0"/>
              </w:rPr>
            </w:pPr>
          </w:p>
        </w:tc>
        <w:tc>
          <w:tcPr>
            <w:tcW w:w="5386" w:type="dxa"/>
            <w:shd w:val="clear" w:color="auto" w:fill="auto"/>
            <w:vAlign w:val="center"/>
          </w:tcPr>
          <w:p w:rsidR="00E36EA2" w:rsidRPr="004D451D" w:rsidRDefault="00E36EA2" w:rsidP="00482E54">
            <w:pPr>
              <w:numPr>
                <w:ilvl w:val="0"/>
                <w:numId w:val="41"/>
              </w:numPr>
              <w:jc w:val="both"/>
              <w:rPr>
                <w:rFonts w:eastAsia="標楷體"/>
                <w:kern w:val="0"/>
              </w:rPr>
            </w:pPr>
            <w:r w:rsidRPr="004D451D">
              <w:rPr>
                <w:rFonts w:eastAsia="標楷體"/>
                <w:kern w:val="0"/>
              </w:rPr>
              <w:t>信用轉換係數，包含衍生變數使用的假設</w:t>
            </w:r>
          </w:p>
        </w:tc>
        <w:tc>
          <w:tcPr>
            <w:tcW w:w="3688" w:type="dxa"/>
            <w:shd w:val="clear" w:color="auto" w:fill="auto"/>
            <w:vAlign w:val="center"/>
          </w:tcPr>
          <w:p w:rsidR="00E36EA2" w:rsidRPr="004D451D" w:rsidRDefault="00E36EA2" w:rsidP="00D50631">
            <w:pPr>
              <w:jc w:val="center"/>
              <w:rPr>
                <w:rFonts w:eastAsia="標楷體"/>
                <w:kern w:val="0"/>
              </w:rPr>
            </w:pPr>
          </w:p>
        </w:tc>
      </w:tr>
      <w:tr w:rsidR="003D2F58" w:rsidRPr="004D451D" w:rsidTr="00F16EA4">
        <w:trPr>
          <w:trHeight w:val="788"/>
          <w:jc w:val="center"/>
        </w:trPr>
        <w:tc>
          <w:tcPr>
            <w:tcW w:w="452" w:type="dxa"/>
            <w:shd w:val="clear" w:color="auto" w:fill="auto"/>
            <w:vAlign w:val="center"/>
          </w:tcPr>
          <w:p w:rsidR="003D2F58" w:rsidRPr="004D451D" w:rsidRDefault="003D2F58" w:rsidP="00D50631">
            <w:pPr>
              <w:jc w:val="center"/>
              <w:rPr>
                <w:rFonts w:eastAsia="標楷體"/>
                <w:kern w:val="0"/>
              </w:rPr>
            </w:pPr>
            <w:r w:rsidRPr="004D451D">
              <w:rPr>
                <w:rFonts w:eastAsia="標楷體"/>
                <w:kern w:val="0"/>
              </w:rPr>
              <w:t>8</w:t>
            </w:r>
          </w:p>
        </w:tc>
        <w:tc>
          <w:tcPr>
            <w:tcW w:w="5386" w:type="dxa"/>
            <w:shd w:val="clear" w:color="auto" w:fill="auto"/>
            <w:vAlign w:val="center"/>
          </w:tcPr>
          <w:p w:rsidR="003D2F58" w:rsidRPr="004D451D" w:rsidRDefault="00BF6550" w:rsidP="00E36EA2">
            <w:pPr>
              <w:jc w:val="both"/>
              <w:rPr>
                <w:rFonts w:eastAsia="標楷體"/>
                <w:kern w:val="0"/>
              </w:rPr>
            </w:pPr>
            <w:r w:rsidRPr="004D451D">
              <w:rPr>
                <w:rFonts w:eastAsia="標楷體"/>
                <w:kern w:val="0"/>
              </w:rPr>
              <w:t>說明各</w:t>
            </w:r>
            <w:r w:rsidR="003D2F58" w:rsidRPr="004D451D">
              <w:rPr>
                <w:rFonts w:eastAsia="標楷體"/>
                <w:kern w:val="0"/>
              </w:rPr>
              <w:t>法定資產組合中內部評等模型部位佔風險性資產比例</w:t>
            </w:r>
          </w:p>
        </w:tc>
        <w:tc>
          <w:tcPr>
            <w:tcW w:w="3688" w:type="dxa"/>
            <w:shd w:val="clear" w:color="auto" w:fill="auto"/>
            <w:vAlign w:val="center"/>
          </w:tcPr>
          <w:p w:rsidR="003D2F58" w:rsidRPr="004D451D" w:rsidRDefault="003D2F58" w:rsidP="00D50631">
            <w:pPr>
              <w:jc w:val="center"/>
              <w:rPr>
                <w:rFonts w:eastAsia="標楷體"/>
                <w:kern w:val="0"/>
              </w:rPr>
            </w:pPr>
          </w:p>
        </w:tc>
      </w:tr>
    </w:tbl>
    <w:p w:rsidR="00E36EA2" w:rsidRPr="004D451D" w:rsidRDefault="00E36EA2" w:rsidP="00287A36">
      <w:pPr>
        <w:rPr>
          <w:rFonts w:eastAsia="標楷體"/>
          <w:b/>
          <w:kern w:val="0"/>
        </w:rPr>
      </w:pPr>
    </w:p>
    <w:p w:rsidR="00287A36" w:rsidRPr="004D451D" w:rsidRDefault="00287A36" w:rsidP="00E36EA2">
      <w:pPr>
        <w:spacing w:line="240" w:lineRule="atLeast"/>
        <w:rPr>
          <w:rFonts w:eastAsia="標楷體"/>
          <w:b/>
          <w:kern w:val="0"/>
        </w:rPr>
      </w:pPr>
      <w:r w:rsidRPr="004D451D">
        <w:rPr>
          <w:rFonts w:eastAsia="標楷體"/>
          <w:b/>
          <w:kern w:val="0"/>
        </w:rPr>
        <w:t>填表說明：</w:t>
      </w:r>
    </w:p>
    <w:p w:rsidR="00287A36" w:rsidRPr="004D451D" w:rsidRDefault="00287A36" w:rsidP="00EF4134">
      <w:pPr>
        <w:numPr>
          <w:ilvl w:val="0"/>
          <w:numId w:val="42"/>
        </w:numPr>
        <w:spacing w:line="240" w:lineRule="atLeast"/>
        <w:ind w:leftChars="150" w:left="720" w:hangingChars="150"/>
        <w:rPr>
          <w:rFonts w:eastAsia="標楷體"/>
        </w:rPr>
      </w:pPr>
      <w:r w:rsidRPr="004D451D">
        <w:rPr>
          <w:rFonts w:eastAsia="標楷體"/>
        </w:rPr>
        <w:t>本表更新頻率：年。</w:t>
      </w:r>
    </w:p>
    <w:p w:rsidR="00E36EA2" w:rsidRPr="004D451D" w:rsidRDefault="00E36EA2" w:rsidP="00EF4134">
      <w:pPr>
        <w:numPr>
          <w:ilvl w:val="0"/>
          <w:numId w:val="42"/>
        </w:numPr>
        <w:spacing w:line="240" w:lineRule="atLeast"/>
        <w:ind w:leftChars="150" w:left="720" w:hangingChars="150"/>
        <w:rPr>
          <w:rFonts w:eastAsia="標楷體"/>
        </w:rPr>
      </w:pPr>
      <w:r w:rsidRPr="004D451D">
        <w:rPr>
          <w:rFonts w:eastAsia="標楷體"/>
        </w:rPr>
        <w:t>本表採個體基礎填報。</w:t>
      </w:r>
    </w:p>
    <w:p w:rsidR="000B7C4B" w:rsidRPr="004D451D" w:rsidRDefault="00E36EA2" w:rsidP="00EF4134">
      <w:pPr>
        <w:numPr>
          <w:ilvl w:val="0"/>
          <w:numId w:val="42"/>
        </w:numPr>
        <w:spacing w:line="240" w:lineRule="atLeast"/>
        <w:ind w:leftChars="150" w:left="720" w:hangingChars="150"/>
        <w:rPr>
          <w:rFonts w:eastAsia="標楷體"/>
        </w:rPr>
      </w:pPr>
      <w:r w:rsidRPr="004D451D">
        <w:rPr>
          <w:rFonts w:eastAsia="標楷體"/>
        </w:rPr>
        <w:t>本表項次</w:t>
      </w:r>
      <w:r w:rsidRPr="004D451D">
        <w:rPr>
          <w:rFonts w:eastAsia="標楷體" w:hint="eastAsia"/>
        </w:rPr>
        <w:t>7</w:t>
      </w:r>
      <w:r w:rsidRPr="004D451D">
        <w:rPr>
          <w:rFonts w:eastAsia="標楷體"/>
        </w:rPr>
        <w:t>之</w:t>
      </w:r>
      <w:r w:rsidRPr="004D451D">
        <w:rPr>
          <w:rFonts w:eastAsia="標楷體"/>
        </w:rPr>
        <w:t>(2)</w:t>
      </w:r>
      <w:r w:rsidRPr="004D451D">
        <w:rPr>
          <w:rFonts w:eastAsia="標楷體" w:hint="eastAsia"/>
        </w:rPr>
        <w:t>、</w:t>
      </w:r>
      <w:r w:rsidRPr="004D451D">
        <w:rPr>
          <w:rFonts w:eastAsia="標楷體"/>
        </w:rPr>
        <w:t>(3)</w:t>
      </w:r>
      <w:r w:rsidRPr="004D451D">
        <w:rPr>
          <w:rFonts w:eastAsia="標楷體"/>
        </w:rPr>
        <w:t>不適用於採用基礎內部評等法之資產組合。</w:t>
      </w:r>
    </w:p>
    <w:p w:rsidR="00F07524" w:rsidRPr="004D451D" w:rsidRDefault="00F07524" w:rsidP="000B7C4B">
      <w:pPr>
        <w:widowControl/>
        <w:rPr>
          <w:rFonts w:ascii="Arial" w:eastAsia="標楷體" w:hAnsi="Arial" w:cs="Arial"/>
          <w:sz w:val="32"/>
          <w:szCs w:val="32"/>
        </w:rPr>
        <w:sectPr w:rsidR="00F07524" w:rsidRPr="004D451D" w:rsidSect="00EF42CC">
          <w:pgSz w:w="11906" w:h="16838" w:code="9"/>
          <w:pgMar w:top="1079" w:right="991" w:bottom="1440" w:left="1440" w:header="851" w:footer="352" w:gutter="0"/>
          <w:cols w:space="425"/>
          <w:docGrid w:type="lines" w:linePitch="360"/>
        </w:sectPr>
      </w:pPr>
    </w:p>
    <w:p w:rsidR="000B7C4B" w:rsidRPr="004D451D" w:rsidRDefault="000B7C4B" w:rsidP="000B7C4B">
      <w:pPr>
        <w:widowControl/>
        <w:rPr>
          <w:rFonts w:eastAsia="標楷體"/>
          <w:sz w:val="32"/>
          <w:szCs w:val="32"/>
        </w:rPr>
      </w:pPr>
      <w:r w:rsidRPr="004D451D">
        <w:rPr>
          <w:rFonts w:eastAsia="標楷體"/>
          <w:b/>
          <w:sz w:val="32"/>
          <w:szCs w:val="32"/>
        </w:rPr>
        <w:t>【附表二十</w:t>
      </w:r>
      <w:r w:rsidR="006153A5" w:rsidRPr="004D451D">
        <w:rPr>
          <w:rFonts w:eastAsia="標楷體" w:hint="eastAsia"/>
          <w:b/>
          <w:sz w:val="32"/>
          <w:szCs w:val="32"/>
        </w:rPr>
        <w:t>二</w:t>
      </w:r>
      <w:r w:rsidRPr="004D451D">
        <w:rPr>
          <w:rFonts w:eastAsia="標楷體"/>
          <w:b/>
          <w:sz w:val="32"/>
          <w:szCs w:val="32"/>
        </w:rPr>
        <w:t>】</w:t>
      </w:r>
    </w:p>
    <w:p w:rsidR="000B7C4B" w:rsidRPr="004D451D" w:rsidRDefault="0005598A" w:rsidP="000B7C4B">
      <w:pPr>
        <w:jc w:val="center"/>
        <w:rPr>
          <w:rFonts w:eastAsia="標楷體"/>
          <w:b/>
          <w:bCs/>
          <w:sz w:val="32"/>
          <w:szCs w:val="32"/>
        </w:rPr>
      </w:pPr>
      <w:r w:rsidRPr="004D451D">
        <w:rPr>
          <w:rFonts w:eastAsia="標楷體"/>
          <w:b/>
          <w:bCs/>
          <w:sz w:val="32"/>
          <w:szCs w:val="32"/>
        </w:rPr>
        <w:t>各暴險類型</w:t>
      </w:r>
      <w:r w:rsidR="000B7C4B" w:rsidRPr="004D451D">
        <w:rPr>
          <w:rFonts w:eastAsia="標楷體"/>
          <w:b/>
          <w:bCs/>
          <w:sz w:val="32"/>
          <w:szCs w:val="32"/>
        </w:rPr>
        <w:t>與違約機率分組下之信用風險暴險額</w:t>
      </w:r>
      <w:r w:rsidR="00F3145A" w:rsidRPr="004D451D">
        <w:rPr>
          <w:rFonts w:hint="eastAsia"/>
          <w:b/>
        </w:rPr>
        <w:t>─</w:t>
      </w:r>
      <w:r w:rsidR="00F3145A" w:rsidRPr="004D451D">
        <w:rPr>
          <w:rFonts w:eastAsia="標楷體"/>
          <w:b/>
          <w:bCs/>
          <w:sz w:val="32"/>
          <w:szCs w:val="32"/>
        </w:rPr>
        <w:t>內部評等法</w:t>
      </w:r>
      <w:r w:rsidR="00ED470E" w:rsidRPr="004D451D">
        <w:rPr>
          <w:rFonts w:eastAsia="標楷體" w:hint="eastAsia"/>
          <w:b/>
          <w:bCs/>
          <w:sz w:val="32"/>
          <w:szCs w:val="32"/>
        </w:rPr>
        <w:t>-</w:t>
      </w:r>
      <w:r w:rsidR="00ED470E" w:rsidRPr="004D451D">
        <w:rPr>
          <w:rFonts w:eastAsia="標楷體" w:hint="eastAsia"/>
          <w:b/>
          <w:bCs/>
          <w:sz w:val="32"/>
          <w:szCs w:val="32"/>
        </w:rPr>
        <w:t>不適用</w:t>
      </w:r>
    </w:p>
    <w:p w:rsidR="000B7C4B" w:rsidRPr="004D451D" w:rsidRDefault="000B7C4B" w:rsidP="000B7C4B">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ED470E" w:rsidRPr="004D451D">
        <w:rPr>
          <w:rFonts w:eastAsia="標楷體" w:hint="eastAsia"/>
          <w:bCs/>
          <w:sz w:val="32"/>
          <w:szCs w:val="32"/>
        </w:rPr>
        <w:t>10</w:t>
      </w:r>
      <w:r w:rsidR="00FF52AD" w:rsidRPr="004D451D">
        <w:rPr>
          <w:rFonts w:eastAsia="標楷體" w:hint="eastAsia"/>
          <w:bCs/>
          <w:sz w:val="32"/>
          <w:szCs w:val="32"/>
        </w:rPr>
        <w:t>7</w:t>
      </w:r>
      <w:r w:rsidRPr="004D451D">
        <w:rPr>
          <w:rFonts w:eastAsia="標楷體"/>
          <w:bCs/>
          <w:sz w:val="32"/>
          <w:szCs w:val="32"/>
        </w:rPr>
        <w:t>年</w:t>
      </w:r>
      <w:r w:rsidR="00FF52AD" w:rsidRPr="004D451D">
        <w:rPr>
          <w:rFonts w:eastAsia="標楷體" w:hint="eastAsia"/>
          <w:bCs/>
          <w:sz w:val="32"/>
          <w:szCs w:val="32"/>
        </w:rPr>
        <w:t>06</w:t>
      </w:r>
      <w:r w:rsidRPr="004D451D">
        <w:rPr>
          <w:rFonts w:eastAsia="標楷體"/>
          <w:bCs/>
          <w:sz w:val="32"/>
          <w:szCs w:val="32"/>
        </w:rPr>
        <w:t>月</w:t>
      </w:r>
      <w:r w:rsidR="00ED470E" w:rsidRPr="004D451D">
        <w:rPr>
          <w:rFonts w:eastAsia="標楷體" w:hint="eastAsia"/>
          <w:bCs/>
          <w:sz w:val="32"/>
          <w:szCs w:val="32"/>
        </w:rPr>
        <w:t>3</w:t>
      </w:r>
      <w:r w:rsidR="00FF52AD" w:rsidRPr="004D451D">
        <w:rPr>
          <w:rFonts w:eastAsia="標楷體" w:hint="eastAsia"/>
          <w:bCs/>
          <w:sz w:val="32"/>
          <w:szCs w:val="32"/>
        </w:rPr>
        <w:t>0</w:t>
      </w:r>
      <w:r w:rsidRPr="004D451D">
        <w:rPr>
          <w:rFonts w:eastAsia="標楷體"/>
          <w:bCs/>
          <w:sz w:val="32"/>
          <w:szCs w:val="32"/>
        </w:rPr>
        <w:t>日</w:t>
      </w:r>
      <w:r w:rsidR="009A1E6E" w:rsidRPr="004D451D">
        <w:rPr>
          <w:rFonts w:eastAsia="標楷體"/>
          <w:bCs/>
          <w:sz w:val="32"/>
          <w:szCs w:val="32"/>
        </w:rPr>
        <w:t xml:space="preserve">　　　　</w:t>
      </w:r>
      <w:r w:rsidR="00387590" w:rsidRPr="004D451D">
        <w:rPr>
          <w:rFonts w:eastAsia="標楷體"/>
          <w:bCs/>
          <w:sz w:val="32"/>
          <w:szCs w:val="32"/>
        </w:rPr>
        <w:t xml:space="preserve">　　　　　　　</w:t>
      </w:r>
      <w:r w:rsidR="00117055" w:rsidRPr="004D451D">
        <w:rPr>
          <w:rFonts w:ascii="標楷體" w:eastAsia="標楷體" w:hAnsi="標楷體" w:cs="Arial" w:hint="eastAsia"/>
        </w:rPr>
        <w:t>（</w:t>
      </w:r>
      <w:r w:rsidR="00117055" w:rsidRPr="004D451D">
        <w:rPr>
          <w:rFonts w:eastAsia="標楷體"/>
          <w:bCs/>
        </w:rPr>
        <w:t>單位</w:t>
      </w:r>
      <w:r w:rsidR="00117055" w:rsidRPr="004D451D">
        <w:rPr>
          <w:rFonts w:eastAsia="標楷體" w:hint="eastAsia"/>
          <w:bCs/>
        </w:rPr>
        <w:t>：</w:t>
      </w:r>
      <w:r w:rsidR="00117055" w:rsidRPr="004D451D">
        <w:rPr>
          <w:rFonts w:eastAsia="標楷體"/>
          <w:bCs/>
        </w:rPr>
        <w:t>新臺幣千元</w:t>
      </w:r>
      <w:r w:rsidR="00117055" w:rsidRPr="004D451D">
        <w:rPr>
          <w:rFonts w:eastAsia="標楷體" w:hint="eastAsia"/>
          <w:bCs/>
        </w:rPr>
        <w:t>；</w:t>
      </w:r>
      <w:r w:rsidR="00117055" w:rsidRPr="004D451D">
        <w:rPr>
          <w:rFonts w:eastAsia="標楷體" w:hint="eastAsia"/>
          <w:bCs/>
        </w:rPr>
        <w:t>%</w:t>
      </w:r>
      <w:r w:rsidR="00117055" w:rsidRPr="004D451D">
        <w:rPr>
          <w:rFonts w:ascii="標楷體" w:eastAsia="標楷體" w:hAnsi="標楷體" w:cs="Arial" w:hint="eastAsia"/>
        </w:rPr>
        <w:t>）</w:t>
      </w:r>
    </w:p>
    <w:tbl>
      <w:tblPr>
        <w:tblW w:w="14577"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56"/>
        <w:gridCol w:w="2356"/>
        <w:gridCol w:w="938"/>
        <w:gridCol w:w="1188"/>
        <w:gridCol w:w="993"/>
        <w:gridCol w:w="1724"/>
        <w:gridCol w:w="969"/>
        <w:gridCol w:w="850"/>
        <w:gridCol w:w="769"/>
        <w:gridCol w:w="791"/>
        <w:gridCol w:w="850"/>
        <w:gridCol w:w="709"/>
        <w:gridCol w:w="850"/>
        <w:gridCol w:w="709"/>
      </w:tblGrid>
      <w:tr w:rsidR="004D451D" w:rsidRPr="004D451D" w:rsidTr="001807ED">
        <w:trPr>
          <w:jc w:val="center"/>
        </w:trPr>
        <w:tc>
          <w:tcPr>
            <w:tcW w:w="3237" w:type="dxa"/>
            <w:gridSpan w:val="3"/>
            <w:vAlign w:val="center"/>
          </w:tcPr>
          <w:p w:rsidR="001807ED" w:rsidRPr="004D451D" w:rsidRDefault="001807ED" w:rsidP="001807ED">
            <w:pPr>
              <w:spacing w:line="360" w:lineRule="auto"/>
              <w:jc w:val="center"/>
              <w:rPr>
                <w:rFonts w:eastAsia="標楷體"/>
              </w:rPr>
            </w:pPr>
            <w:r w:rsidRPr="004D451D">
              <w:rPr>
                <w:rFonts w:eastAsia="標楷體"/>
              </w:rPr>
              <w:t>違約機率</w:t>
            </w:r>
            <w:r w:rsidRPr="004D451D">
              <w:rPr>
                <w:rFonts w:eastAsia="標楷體"/>
              </w:rPr>
              <w:t>(PD)</w:t>
            </w:r>
            <w:r w:rsidRPr="004D451D">
              <w:rPr>
                <w:rFonts w:eastAsia="標楷體"/>
              </w:rPr>
              <w:t>分級</w:t>
            </w:r>
          </w:p>
        </w:tc>
        <w:tc>
          <w:tcPr>
            <w:tcW w:w="938" w:type="dxa"/>
            <w:shd w:val="clear" w:color="auto" w:fill="auto"/>
          </w:tcPr>
          <w:p w:rsidR="001807ED" w:rsidRPr="004D451D" w:rsidRDefault="001807ED" w:rsidP="00F07524">
            <w:pPr>
              <w:spacing w:line="240" w:lineRule="atLeast"/>
              <w:rPr>
                <w:rFonts w:eastAsia="標楷體"/>
              </w:rPr>
            </w:pPr>
            <w:r w:rsidRPr="004D451D">
              <w:rPr>
                <w:rFonts w:eastAsia="標楷體"/>
              </w:rPr>
              <w:t>原始表內暴險總額</w:t>
            </w:r>
            <w:r w:rsidRPr="004D451D">
              <w:rPr>
                <w:rFonts w:eastAsia="標楷體"/>
              </w:rPr>
              <w:t>A</w:t>
            </w:r>
          </w:p>
        </w:tc>
        <w:tc>
          <w:tcPr>
            <w:tcW w:w="1188" w:type="dxa"/>
            <w:shd w:val="clear" w:color="auto" w:fill="auto"/>
          </w:tcPr>
          <w:p w:rsidR="001807ED" w:rsidRPr="004D451D" w:rsidRDefault="001807ED" w:rsidP="00F07524">
            <w:pPr>
              <w:spacing w:line="240" w:lineRule="atLeast"/>
              <w:rPr>
                <w:rFonts w:eastAsia="標楷體"/>
              </w:rPr>
            </w:pPr>
            <w:r w:rsidRPr="004D451D">
              <w:rPr>
                <w:rFonts w:eastAsia="標楷體"/>
              </w:rPr>
              <w:t>考慮信用轉換係數前之表外暴險</w:t>
            </w:r>
            <w:r w:rsidRPr="004D451D">
              <w:rPr>
                <w:rFonts w:eastAsia="標楷體"/>
              </w:rPr>
              <w:t>B</w:t>
            </w:r>
          </w:p>
        </w:tc>
        <w:tc>
          <w:tcPr>
            <w:tcW w:w="993" w:type="dxa"/>
            <w:shd w:val="clear" w:color="auto" w:fill="auto"/>
          </w:tcPr>
          <w:p w:rsidR="001807ED" w:rsidRPr="004D451D" w:rsidRDefault="001807ED" w:rsidP="00F07524">
            <w:pPr>
              <w:spacing w:line="240" w:lineRule="atLeast"/>
              <w:rPr>
                <w:rFonts w:eastAsia="標楷體"/>
              </w:rPr>
            </w:pPr>
            <w:r w:rsidRPr="004D451D">
              <w:rPr>
                <w:rFonts w:eastAsia="標楷體"/>
              </w:rPr>
              <w:t>平均信用轉換係數</w:t>
            </w:r>
            <w:r w:rsidRPr="004D451D">
              <w:rPr>
                <w:rFonts w:eastAsia="標楷體"/>
              </w:rPr>
              <w:t>C</w:t>
            </w:r>
          </w:p>
        </w:tc>
        <w:tc>
          <w:tcPr>
            <w:tcW w:w="1724" w:type="dxa"/>
            <w:shd w:val="clear" w:color="auto" w:fill="auto"/>
          </w:tcPr>
          <w:p w:rsidR="001807ED" w:rsidRPr="004D451D" w:rsidRDefault="001807ED" w:rsidP="00F07524">
            <w:pPr>
              <w:spacing w:line="240" w:lineRule="atLeast"/>
              <w:rPr>
                <w:rFonts w:eastAsia="標楷體"/>
              </w:rPr>
            </w:pPr>
            <w:r w:rsidRPr="004D451D">
              <w:rPr>
                <w:rFonts w:eastAsia="標楷體"/>
              </w:rPr>
              <w:t>考慮信用風險抵減及信用轉換係數後之違約暴險額</w:t>
            </w:r>
            <w:r w:rsidRPr="004D451D">
              <w:rPr>
                <w:rFonts w:eastAsia="標楷體"/>
              </w:rPr>
              <w:t>D</w:t>
            </w:r>
          </w:p>
        </w:tc>
        <w:tc>
          <w:tcPr>
            <w:tcW w:w="969" w:type="dxa"/>
            <w:shd w:val="clear" w:color="auto" w:fill="auto"/>
          </w:tcPr>
          <w:p w:rsidR="001807ED" w:rsidRPr="004D451D" w:rsidRDefault="001807ED" w:rsidP="00F07524">
            <w:pPr>
              <w:spacing w:line="240" w:lineRule="atLeast"/>
              <w:rPr>
                <w:rFonts w:eastAsia="標楷體"/>
              </w:rPr>
            </w:pPr>
            <w:r w:rsidRPr="004D451D">
              <w:rPr>
                <w:rFonts w:eastAsia="標楷體"/>
              </w:rPr>
              <w:t>平均違約機率</w:t>
            </w:r>
            <w:r w:rsidRPr="004D451D">
              <w:rPr>
                <w:rFonts w:eastAsia="標楷體"/>
              </w:rPr>
              <w:t>E</w:t>
            </w:r>
          </w:p>
        </w:tc>
        <w:tc>
          <w:tcPr>
            <w:tcW w:w="850" w:type="dxa"/>
            <w:shd w:val="clear" w:color="auto" w:fill="auto"/>
          </w:tcPr>
          <w:p w:rsidR="001807ED" w:rsidRPr="004D451D" w:rsidRDefault="001807ED" w:rsidP="00F07524">
            <w:pPr>
              <w:spacing w:line="240" w:lineRule="atLeast"/>
              <w:rPr>
                <w:rFonts w:eastAsia="標楷體"/>
              </w:rPr>
            </w:pPr>
            <w:r w:rsidRPr="004D451D">
              <w:rPr>
                <w:rFonts w:eastAsia="標楷體"/>
              </w:rPr>
              <w:t>借款人人數</w:t>
            </w:r>
            <w:r w:rsidRPr="004D451D">
              <w:rPr>
                <w:rFonts w:eastAsia="標楷體"/>
              </w:rPr>
              <w:t>F</w:t>
            </w:r>
          </w:p>
        </w:tc>
        <w:tc>
          <w:tcPr>
            <w:tcW w:w="769" w:type="dxa"/>
            <w:shd w:val="clear" w:color="auto" w:fill="auto"/>
          </w:tcPr>
          <w:p w:rsidR="001807ED" w:rsidRPr="004D451D" w:rsidRDefault="001807ED" w:rsidP="00F07524">
            <w:pPr>
              <w:spacing w:line="240" w:lineRule="atLeast"/>
              <w:rPr>
                <w:rFonts w:eastAsia="標楷體"/>
              </w:rPr>
            </w:pPr>
            <w:r w:rsidRPr="004D451D">
              <w:rPr>
                <w:rFonts w:eastAsia="標楷體"/>
              </w:rPr>
              <w:t>平均違約損失率</w:t>
            </w:r>
            <w:r w:rsidRPr="004D451D">
              <w:rPr>
                <w:rFonts w:eastAsia="標楷體"/>
              </w:rPr>
              <w:t>G</w:t>
            </w:r>
          </w:p>
        </w:tc>
        <w:tc>
          <w:tcPr>
            <w:tcW w:w="791" w:type="dxa"/>
            <w:shd w:val="clear" w:color="auto" w:fill="auto"/>
          </w:tcPr>
          <w:p w:rsidR="001807ED" w:rsidRPr="004D451D" w:rsidRDefault="001807ED" w:rsidP="00F07524">
            <w:pPr>
              <w:spacing w:line="240" w:lineRule="atLeast"/>
              <w:rPr>
                <w:rFonts w:eastAsia="標楷體"/>
              </w:rPr>
            </w:pPr>
            <w:r w:rsidRPr="004D451D">
              <w:rPr>
                <w:rFonts w:eastAsia="標楷體"/>
              </w:rPr>
              <w:t>平均到期期間</w:t>
            </w:r>
            <w:r w:rsidRPr="004D451D">
              <w:rPr>
                <w:rFonts w:eastAsia="標楷體"/>
              </w:rPr>
              <w:t>H</w:t>
            </w:r>
          </w:p>
        </w:tc>
        <w:tc>
          <w:tcPr>
            <w:tcW w:w="850" w:type="dxa"/>
            <w:shd w:val="clear" w:color="auto" w:fill="auto"/>
          </w:tcPr>
          <w:p w:rsidR="001807ED" w:rsidRPr="004D451D" w:rsidRDefault="001807ED" w:rsidP="00F07524">
            <w:pPr>
              <w:spacing w:line="240" w:lineRule="atLeast"/>
              <w:rPr>
                <w:rFonts w:eastAsia="標楷體"/>
              </w:rPr>
            </w:pPr>
            <w:r w:rsidRPr="004D451D">
              <w:rPr>
                <w:rFonts w:eastAsia="標楷體"/>
              </w:rPr>
              <w:t>風險性資產</w:t>
            </w:r>
            <w:r w:rsidRPr="004D451D">
              <w:rPr>
                <w:rFonts w:eastAsia="標楷體"/>
              </w:rPr>
              <w:t>I</w:t>
            </w:r>
          </w:p>
        </w:tc>
        <w:tc>
          <w:tcPr>
            <w:tcW w:w="709" w:type="dxa"/>
            <w:shd w:val="clear" w:color="auto" w:fill="auto"/>
          </w:tcPr>
          <w:p w:rsidR="001807ED" w:rsidRPr="004D451D" w:rsidRDefault="001807ED" w:rsidP="00F07524">
            <w:pPr>
              <w:spacing w:line="240" w:lineRule="atLeast"/>
              <w:rPr>
                <w:rFonts w:eastAsia="標楷體"/>
              </w:rPr>
            </w:pPr>
            <w:r w:rsidRPr="004D451D">
              <w:rPr>
                <w:rFonts w:eastAsia="標楷體"/>
              </w:rPr>
              <w:t>平均風險權數</w:t>
            </w:r>
            <w:r w:rsidRPr="004D451D">
              <w:rPr>
                <w:rFonts w:eastAsia="標楷體"/>
              </w:rPr>
              <w:t>J</w:t>
            </w:r>
          </w:p>
        </w:tc>
        <w:tc>
          <w:tcPr>
            <w:tcW w:w="850" w:type="dxa"/>
            <w:shd w:val="clear" w:color="auto" w:fill="auto"/>
          </w:tcPr>
          <w:p w:rsidR="001807ED" w:rsidRPr="004D451D" w:rsidRDefault="001807ED" w:rsidP="00F07524">
            <w:pPr>
              <w:spacing w:line="240" w:lineRule="atLeast"/>
              <w:rPr>
                <w:rFonts w:eastAsia="標楷體"/>
              </w:rPr>
            </w:pPr>
            <w:r w:rsidRPr="004D451D">
              <w:rPr>
                <w:rFonts w:eastAsia="標楷體"/>
              </w:rPr>
              <w:t>預期損失</w:t>
            </w:r>
            <w:r w:rsidRPr="004D451D">
              <w:rPr>
                <w:rFonts w:eastAsia="標楷體"/>
              </w:rPr>
              <w:t>K</w:t>
            </w:r>
          </w:p>
        </w:tc>
        <w:tc>
          <w:tcPr>
            <w:tcW w:w="709" w:type="dxa"/>
            <w:shd w:val="clear" w:color="auto" w:fill="auto"/>
          </w:tcPr>
          <w:p w:rsidR="001807ED" w:rsidRPr="004D451D" w:rsidRDefault="001807ED" w:rsidP="00F07524">
            <w:pPr>
              <w:spacing w:line="240" w:lineRule="atLeast"/>
              <w:rPr>
                <w:rFonts w:eastAsia="標楷體"/>
              </w:rPr>
            </w:pPr>
            <w:r w:rsidRPr="004D451D">
              <w:rPr>
                <w:rFonts w:eastAsia="標楷體"/>
              </w:rPr>
              <w:t>損失準備</w:t>
            </w:r>
            <w:r w:rsidRPr="004D451D">
              <w:rPr>
                <w:rFonts w:eastAsia="標楷體"/>
              </w:rPr>
              <w:t>L</w:t>
            </w:r>
          </w:p>
        </w:tc>
      </w:tr>
      <w:tr w:rsidR="004D451D" w:rsidRPr="004D451D" w:rsidTr="001807ED">
        <w:trPr>
          <w:jc w:val="center"/>
        </w:trPr>
        <w:tc>
          <w:tcPr>
            <w:tcW w:w="425" w:type="dxa"/>
            <w:vMerge w:val="restart"/>
            <w:vAlign w:val="center"/>
          </w:tcPr>
          <w:p w:rsidR="001807ED" w:rsidRPr="004D451D" w:rsidRDefault="001807ED" w:rsidP="001807ED">
            <w:pPr>
              <w:spacing w:line="360" w:lineRule="auto"/>
              <w:jc w:val="center"/>
              <w:rPr>
                <w:rFonts w:eastAsia="標楷體"/>
              </w:rPr>
            </w:pPr>
            <w:r w:rsidRPr="004D451D">
              <w:rPr>
                <w:rFonts w:eastAsia="標楷體" w:hint="eastAsia"/>
              </w:rPr>
              <w:t>1</w:t>
            </w:r>
          </w:p>
        </w:tc>
        <w:tc>
          <w:tcPr>
            <w:tcW w:w="456" w:type="dxa"/>
            <w:vMerge w:val="restart"/>
            <w:shd w:val="clear" w:color="auto" w:fill="auto"/>
            <w:vAlign w:val="center"/>
          </w:tcPr>
          <w:p w:rsidR="001807ED" w:rsidRPr="004D451D" w:rsidRDefault="001807ED" w:rsidP="00387590">
            <w:pPr>
              <w:spacing w:line="360" w:lineRule="auto"/>
              <w:jc w:val="center"/>
              <w:rPr>
                <w:rFonts w:eastAsia="標楷體"/>
              </w:rPr>
            </w:pPr>
            <w:r w:rsidRPr="004D451D">
              <w:rPr>
                <w:rFonts w:eastAsia="標楷體"/>
              </w:rPr>
              <w:t>暴險類型</w:t>
            </w:r>
            <w:r w:rsidRPr="004D451D">
              <w:rPr>
                <w:rFonts w:eastAsia="標楷體"/>
              </w:rPr>
              <w:t>X</w:t>
            </w: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0.00</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0.15</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0.15</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0.25</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0.25</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0.50</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0.50</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0.75</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0.75</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2.50</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2.50</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10.00</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10.00</w:t>
            </w:r>
            <w:r w:rsidRPr="004D451D">
              <w:rPr>
                <w:rFonts w:ascii="新細明體" w:hAnsi="新細明體" w:cs="新細明體" w:hint="eastAsia"/>
              </w:rPr>
              <w:t>≦</w:t>
            </w:r>
            <w:r w:rsidRPr="004D451D">
              <w:rPr>
                <w:rFonts w:eastAsia="標楷體"/>
              </w:rPr>
              <w:t>PD</w:t>
            </w:r>
            <w:r w:rsidRPr="004D451D">
              <w:rPr>
                <w:rFonts w:eastAsia="標楷體"/>
              </w:rPr>
              <w:t>＜</w:t>
            </w:r>
            <w:r w:rsidRPr="004D451D">
              <w:rPr>
                <w:rFonts w:eastAsia="標楷體"/>
              </w:rPr>
              <w:t>100.00</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trHeight w:val="465"/>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100.00(</w:t>
            </w:r>
            <w:r w:rsidRPr="004D451D">
              <w:rPr>
                <w:rFonts w:eastAsia="標楷體"/>
              </w:rPr>
              <w:t>違約</w:t>
            </w:r>
            <w:r w:rsidRPr="004D451D">
              <w:rPr>
                <w:rFonts w:eastAsia="標楷體"/>
              </w:rPr>
              <w:t>)</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trHeight w:val="345"/>
          <w:jc w:val="center"/>
        </w:trPr>
        <w:tc>
          <w:tcPr>
            <w:tcW w:w="425" w:type="dxa"/>
            <w:vMerge/>
            <w:vAlign w:val="center"/>
          </w:tcPr>
          <w:p w:rsidR="001807ED" w:rsidRPr="004D451D" w:rsidRDefault="001807ED" w:rsidP="001807ED">
            <w:pPr>
              <w:spacing w:line="360" w:lineRule="auto"/>
              <w:jc w:val="center"/>
              <w:rPr>
                <w:rFonts w:eastAsia="標楷體"/>
              </w:rPr>
            </w:pPr>
          </w:p>
        </w:tc>
        <w:tc>
          <w:tcPr>
            <w:tcW w:w="456" w:type="dxa"/>
            <w:vMerge/>
            <w:shd w:val="clear" w:color="auto" w:fill="auto"/>
          </w:tcPr>
          <w:p w:rsidR="001807ED" w:rsidRPr="004D451D" w:rsidRDefault="001807ED" w:rsidP="00D50631">
            <w:pPr>
              <w:spacing w:line="360" w:lineRule="auto"/>
              <w:rPr>
                <w:rFonts w:eastAsia="標楷體"/>
              </w:rPr>
            </w:pPr>
          </w:p>
        </w:tc>
        <w:tc>
          <w:tcPr>
            <w:tcW w:w="2356" w:type="dxa"/>
            <w:shd w:val="clear" w:color="auto" w:fill="auto"/>
            <w:vAlign w:val="center"/>
          </w:tcPr>
          <w:p w:rsidR="001807ED" w:rsidRPr="004D451D" w:rsidRDefault="001807ED" w:rsidP="00EA7354">
            <w:pPr>
              <w:spacing w:line="240" w:lineRule="atLeast"/>
              <w:jc w:val="both"/>
              <w:rPr>
                <w:rFonts w:eastAsia="標楷體"/>
              </w:rPr>
            </w:pPr>
            <w:r w:rsidRPr="004D451D">
              <w:rPr>
                <w:rFonts w:eastAsia="標楷體"/>
              </w:rPr>
              <w:t>小計</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425" w:type="dxa"/>
            <w:vAlign w:val="center"/>
          </w:tcPr>
          <w:p w:rsidR="001807ED" w:rsidRPr="004D451D" w:rsidRDefault="001807ED" w:rsidP="001807ED">
            <w:pPr>
              <w:spacing w:line="360" w:lineRule="auto"/>
              <w:jc w:val="center"/>
              <w:rPr>
                <w:rFonts w:eastAsia="標楷體"/>
              </w:rPr>
            </w:pPr>
            <w:r w:rsidRPr="004D451D">
              <w:rPr>
                <w:rFonts w:eastAsia="標楷體" w:hint="eastAsia"/>
              </w:rPr>
              <w:t>2</w:t>
            </w:r>
          </w:p>
        </w:tc>
        <w:tc>
          <w:tcPr>
            <w:tcW w:w="2812" w:type="dxa"/>
            <w:gridSpan w:val="2"/>
            <w:shd w:val="clear" w:color="auto" w:fill="auto"/>
          </w:tcPr>
          <w:p w:rsidR="001807ED" w:rsidRPr="004D451D" w:rsidRDefault="001807ED" w:rsidP="001E4232">
            <w:pPr>
              <w:spacing w:line="360" w:lineRule="auto"/>
              <w:rPr>
                <w:rFonts w:eastAsia="標楷體"/>
              </w:rPr>
            </w:pPr>
            <w:r w:rsidRPr="004D451D">
              <w:rPr>
                <w:rFonts w:eastAsia="標楷體"/>
              </w:rPr>
              <w:t>總計</w:t>
            </w:r>
            <w:r w:rsidRPr="004D451D">
              <w:rPr>
                <w:rFonts w:eastAsia="標楷體"/>
              </w:rPr>
              <w:t>(</w:t>
            </w:r>
            <w:r w:rsidRPr="004D451D">
              <w:rPr>
                <w:rFonts w:eastAsia="標楷體"/>
              </w:rPr>
              <w:t>全部暴險類型</w:t>
            </w:r>
            <w:r w:rsidRPr="004D451D">
              <w:rPr>
                <w:rFonts w:eastAsia="標楷體"/>
              </w:rPr>
              <w:t>)</w:t>
            </w:r>
          </w:p>
        </w:tc>
        <w:tc>
          <w:tcPr>
            <w:tcW w:w="938" w:type="dxa"/>
            <w:shd w:val="clear" w:color="auto" w:fill="auto"/>
          </w:tcPr>
          <w:p w:rsidR="001807ED" w:rsidRPr="004D451D" w:rsidRDefault="001807ED" w:rsidP="00D50631">
            <w:pPr>
              <w:spacing w:line="360" w:lineRule="auto"/>
              <w:rPr>
                <w:rFonts w:eastAsia="標楷體"/>
              </w:rPr>
            </w:pPr>
          </w:p>
        </w:tc>
        <w:tc>
          <w:tcPr>
            <w:tcW w:w="1188" w:type="dxa"/>
            <w:shd w:val="clear" w:color="auto" w:fill="auto"/>
          </w:tcPr>
          <w:p w:rsidR="001807ED" w:rsidRPr="004D451D" w:rsidRDefault="001807ED" w:rsidP="00D50631">
            <w:pPr>
              <w:spacing w:line="360" w:lineRule="auto"/>
              <w:rPr>
                <w:rFonts w:eastAsia="標楷體"/>
              </w:rPr>
            </w:pPr>
          </w:p>
        </w:tc>
        <w:tc>
          <w:tcPr>
            <w:tcW w:w="993" w:type="dxa"/>
            <w:shd w:val="clear" w:color="auto" w:fill="auto"/>
          </w:tcPr>
          <w:p w:rsidR="001807ED" w:rsidRPr="004D451D" w:rsidRDefault="001807ED" w:rsidP="00D50631">
            <w:pPr>
              <w:spacing w:line="360" w:lineRule="auto"/>
              <w:rPr>
                <w:rFonts w:eastAsia="標楷體"/>
              </w:rPr>
            </w:pPr>
          </w:p>
        </w:tc>
        <w:tc>
          <w:tcPr>
            <w:tcW w:w="1724" w:type="dxa"/>
            <w:shd w:val="clear" w:color="auto" w:fill="auto"/>
          </w:tcPr>
          <w:p w:rsidR="001807ED" w:rsidRPr="004D451D" w:rsidRDefault="001807ED" w:rsidP="00D50631">
            <w:pPr>
              <w:spacing w:line="360" w:lineRule="auto"/>
              <w:rPr>
                <w:rFonts w:eastAsia="標楷體"/>
              </w:rPr>
            </w:pPr>
          </w:p>
        </w:tc>
        <w:tc>
          <w:tcPr>
            <w:tcW w:w="96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69" w:type="dxa"/>
            <w:shd w:val="clear" w:color="auto" w:fill="auto"/>
          </w:tcPr>
          <w:p w:rsidR="001807ED" w:rsidRPr="004D451D" w:rsidRDefault="001807ED" w:rsidP="00D50631">
            <w:pPr>
              <w:spacing w:line="360" w:lineRule="auto"/>
              <w:rPr>
                <w:rFonts w:eastAsia="標楷體"/>
              </w:rPr>
            </w:pPr>
          </w:p>
        </w:tc>
        <w:tc>
          <w:tcPr>
            <w:tcW w:w="791"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c>
          <w:tcPr>
            <w:tcW w:w="850" w:type="dxa"/>
            <w:shd w:val="clear" w:color="auto" w:fill="auto"/>
          </w:tcPr>
          <w:p w:rsidR="001807ED" w:rsidRPr="004D451D" w:rsidRDefault="001807ED" w:rsidP="00D50631">
            <w:pPr>
              <w:spacing w:line="360" w:lineRule="auto"/>
              <w:rPr>
                <w:rFonts w:eastAsia="標楷體"/>
              </w:rPr>
            </w:pPr>
          </w:p>
        </w:tc>
        <w:tc>
          <w:tcPr>
            <w:tcW w:w="709" w:type="dxa"/>
            <w:shd w:val="clear" w:color="auto" w:fill="auto"/>
          </w:tcPr>
          <w:p w:rsidR="001807ED" w:rsidRPr="004D451D" w:rsidRDefault="001807ED" w:rsidP="00D50631">
            <w:pPr>
              <w:spacing w:line="360" w:lineRule="auto"/>
              <w:rPr>
                <w:rFonts w:eastAsia="標楷體"/>
              </w:rPr>
            </w:pPr>
          </w:p>
        </w:tc>
      </w:tr>
      <w:tr w:rsidR="004D451D" w:rsidRPr="004D451D" w:rsidTr="001807ED">
        <w:trPr>
          <w:jc w:val="center"/>
        </w:trPr>
        <w:tc>
          <w:tcPr>
            <w:tcW w:w="14577" w:type="dxa"/>
            <w:gridSpan w:val="15"/>
          </w:tcPr>
          <w:p w:rsidR="001807ED" w:rsidRPr="004D451D" w:rsidRDefault="001807ED" w:rsidP="00D50631">
            <w:pPr>
              <w:spacing w:line="360" w:lineRule="auto"/>
              <w:rPr>
                <w:rFonts w:eastAsia="標楷體"/>
              </w:rPr>
            </w:pPr>
            <w:r w:rsidRPr="004D451D">
              <w:rPr>
                <w:rFonts w:eastAsia="標楷體"/>
              </w:rPr>
              <w:t>信用衍生性金融商品在風險性資產上的影響</w:t>
            </w:r>
            <w:r w:rsidRPr="004D451D">
              <w:rPr>
                <w:rFonts w:eastAsia="標楷體" w:hint="eastAsia"/>
              </w:rPr>
              <w:t>：</w:t>
            </w:r>
          </w:p>
        </w:tc>
      </w:tr>
    </w:tbl>
    <w:p w:rsidR="007F5135" w:rsidRPr="004D451D" w:rsidRDefault="007F5135" w:rsidP="007B27BA">
      <w:pPr>
        <w:rPr>
          <w:rFonts w:eastAsia="標楷體"/>
          <w:b/>
          <w:kern w:val="0"/>
        </w:rPr>
      </w:pPr>
    </w:p>
    <w:p w:rsidR="007B27BA" w:rsidRPr="004D451D" w:rsidRDefault="007B27BA" w:rsidP="007F5135">
      <w:pPr>
        <w:spacing w:line="240" w:lineRule="atLeast"/>
        <w:rPr>
          <w:rFonts w:eastAsia="標楷體"/>
          <w:b/>
          <w:kern w:val="0"/>
        </w:rPr>
      </w:pPr>
      <w:r w:rsidRPr="004D451D">
        <w:rPr>
          <w:rFonts w:eastAsia="標楷體"/>
          <w:b/>
          <w:kern w:val="0"/>
        </w:rPr>
        <w:t>填表說明：</w:t>
      </w:r>
    </w:p>
    <w:p w:rsidR="007B27BA" w:rsidRPr="004D451D" w:rsidRDefault="007B27BA" w:rsidP="00EF4134">
      <w:pPr>
        <w:numPr>
          <w:ilvl w:val="0"/>
          <w:numId w:val="43"/>
        </w:numPr>
        <w:spacing w:line="240" w:lineRule="atLeast"/>
        <w:ind w:leftChars="150" w:left="720" w:hangingChars="150"/>
        <w:jc w:val="both"/>
        <w:rPr>
          <w:rFonts w:eastAsia="標楷體"/>
        </w:rPr>
      </w:pPr>
      <w:r w:rsidRPr="004D451D">
        <w:rPr>
          <w:rFonts w:eastAsia="標楷體"/>
        </w:rPr>
        <w:t>本表更新頻率：半年。</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本表採個體基礎填報。</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暴險類型</w:t>
      </w:r>
      <w:r w:rsidRPr="004D451D">
        <w:rPr>
          <w:rFonts w:eastAsia="標楷體"/>
        </w:rPr>
        <w:t>X</w:t>
      </w:r>
      <w:r w:rsidRPr="004D451D">
        <w:rPr>
          <w:rFonts w:eastAsia="標楷體"/>
        </w:rPr>
        <w:t>針對基礎內部評等法包含下列各暴險類型：</w:t>
      </w:r>
      <w:r w:rsidRPr="004D451D">
        <w:rPr>
          <w:rFonts w:eastAsia="標楷體"/>
        </w:rPr>
        <w:t>(i)</w:t>
      </w:r>
      <w:r w:rsidRPr="004D451D">
        <w:rPr>
          <w:rFonts w:eastAsia="標楷體"/>
        </w:rPr>
        <w:t>主權國家；</w:t>
      </w:r>
      <w:r w:rsidRPr="004D451D">
        <w:rPr>
          <w:rFonts w:eastAsia="標楷體"/>
        </w:rPr>
        <w:t>(ii)</w:t>
      </w:r>
      <w:r w:rsidRPr="004D451D">
        <w:rPr>
          <w:rFonts w:eastAsia="標楷體"/>
        </w:rPr>
        <w:t>銀行；</w:t>
      </w:r>
      <w:r w:rsidRPr="004D451D">
        <w:rPr>
          <w:rFonts w:eastAsia="標楷體"/>
        </w:rPr>
        <w:t>(iii)</w:t>
      </w:r>
      <w:r w:rsidRPr="004D451D">
        <w:rPr>
          <w:rFonts w:eastAsia="標楷體"/>
        </w:rPr>
        <w:t>企業；</w:t>
      </w:r>
      <w:r w:rsidRPr="004D451D">
        <w:rPr>
          <w:rFonts w:eastAsia="標楷體"/>
        </w:rPr>
        <w:t>(iv)</w:t>
      </w:r>
      <w:r w:rsidRPr="004D451D">
        <w:rPr>
          <w:rFonts w:eastAsia="標楷體"/>
        </w:rPr>
        <w:t>企業</w:t>
      </w:r>
      <w:r w:rsidRPr="004D451D">
        <w:rPr>
          <w:rFonts w:eastAsia="標楷體"/>
        </w:rPr>
        <w:t>-</w:t>
      </w:r>
      <w:r w:rsidRPr="004D451D">
        <w:rPr>
          <w:rFonts w:eastAsia="標楷體"/>
        </w:rPr>
        <w:t>特殊融資；</w:t>
      </w:r>
      <w:r w:rsidRPr="004D451D">
        <w:rPr>
          <w:rFonts w:eastAsia="標楷體"/>
        </w:rPr>
        <w:t>(v)</w:t>
      </w:r>
      <w:r w:rsidRPr="004D451D">
        <w:rPr>
          <w:rFonts w:eastAsia="標楷體"/>
        </w:rPr>
        <w:t>權益證券型</w:t>
      </w:r>
      <w:r w:rsidRPr="004D451D">
        <w:rPr>
          <w:rFonts w:eastAsia="標楷體"/>
        </w:rPr>
        <w:t>(</w:t>
      </w:r>
      <w:r w:rsidRPr="004D451D">
        <w:rPr>
          <w:rFonts w:eastAsia="標楷體"/>
        </w:rPr>
        <w:t>違約機率</w:t>
      </w:r>
      <w:r w:rsidRPr="004D451D">
        <w:rPr>
          <w:rFonts w:eastAsia="標楷體"/>
        </w:rPr>
        <w:t>/</w:t>
      </w:r>
      <w:r w:rsidRPr="004D451D">
        <w:rPr>
          <w:rFonts w:eastAsia="標楷體"/>
        </w:rPr>
        <w:t>違約損失率法</w:t>
      </w:r>
      <w:r w:rsidRPr="004D451D">
        <w:rPr>
          <w:rFonts w:eastAsia="標楷體"/>
        </w:rPr>
        <w:t>)</w:t>
      </w:r>
      <w:r w:rsidRPr="004D451D">
        <w:rPr>
          <w:rFonts w:eastAsia="標楷體"/>
        </w:rPr>
        <w:t>；</w:t>
      </w:r>
      <w:r w:rsidRPr="004D451D">
        <w:rPr>
          <w:rFonts w:eastAsia="標楷體"/>
        </w:rPr>
        <w:t>(vi)</w:t>
      </w:r>
      <w:r w:rsidRPr="004D451D">
        <w:rPr>
          <w:rFonts w:eastAsia="標楷體"/>
        </w:rPr>
        <w:t>買入應收帳款；而針對進階內部評等法各暴險類型如下：</w:t>
      </w:r>
      <w:r w:rsidRPr="004D451D">
        <w:rPr>
          <w:rFonts w:eastAsia="標楷體"/>
        </w:rPr>
        <w:t>(i)</w:t>
      </w:r>
      <w:r w:rsidRPr="004D451D">
        <w:rPr>
          <w:rFonts w:eastAsia="標楷體"/>
        </w:rPr>
        <w:t>主權國家；</w:t>
      </w:r>
      <w:r w:rsidRPr="004D451D">
        <w:rPr>
          <w:rFonts w:eastAsia="標楷體"/>
        </w:rPr>
        <w:t>(ii)</w:t>
      </w:r>
      <w:r w:rsidRPr="004D451D">
        <w:rPr>
          <w:rFonts w:eastAsia="標楷體"/>
        </w:rPr>
        <w:t>銀行；</w:t>
      </w:r>
      <w:r w:rsidRPr="004D451D">
        <w:rPr>
          <w:rFonts w:eastAsia="標楷體"/>
        </w:rPr>
        <w:t>(iii)</w:t>
      </w:r>
      <w:r w:rsidRPr="004D451D">
        <w:rPr>
          <w:rFonts w:eastAsia="標楷體"/>
        </w:rPr>
        <w:t>企業；</w:t>
      </w:r>
      <w:r w:rsidRPr="004D451D">
        <w:rPr>
          <w:rFonts w:eastAsia="標楷體"/>
        </w:rPr>
        <w:t>(iv)</w:t>
      </w:r>
      <w:r w:rsidRPr="004D451D">
        <w:rPr>
          <w:rFonts w:eastAsia="標楷體"/>
        </w:rPr>
        <w:t>企業</w:t>
      </w:r>
      <w:r w:rsidRPr="004D451D">
        <w:rPr>
          <w:rFonts w:eastAsia="標楷體"/>
        </w:rPr>
        <w:t>-</w:t>
      </w:r>
      <w:r w:rsidRPr="004D451D">
        <w:rPr>
          <w:rFonts w:eastAsia="標楷體"/>
        </w:rPr>
        <w:t>特殊融資；</w:t>
      </w:r>
      <w:r w:rsidRPr="004D451D">
        <w:rPr>
          <w:rFonts w:eastAsia="標楷體"/>
        </w:rPr>
        <w:t>(v)</w:t>
      </w:r>
      <w:r w:rsidRPr="004D451D">
        <w:rPr>
          <w:rFonts w:eastAsia="標楷體"/>
        </w:rPr>
        <w:t>權益證券型</w:t>
      </w:r>
      <w:r w:rsidRPr="004D451D">
        <w:rPr>
          <w:rFonts w:eastAsia="標楷體"/>
        </w:rPr>
        <w:t>(</w:t>
      </w:r>
      <w:r w:rsidRPr="004D451D">
        <w:rPr>
          <w:rFonts w:eastAsia="標楷體"/>
        </w:rPr>
        <w:t>違約機率</w:t>
      </w:r>
      <w:r w:rsidRPr="004D451D">
        <w:rPr>
          <w:rFonts w:eastAsia="標楷體"/>
        </w:rPr>
        <w:t>/</w:t>
      </w:r>
      <w:r w:rsidRPr="004D451D">
        <w:rPr>
          <w:rFonts w:eastAsia="標楷體"/>
        </w:rPr>
        <w:t>違約損失率法</w:t>
      </w:r>
      <w:r w:rsidRPr="004D451D">
        <w:rPr>
          <w:rFonts w:eastAsia="標楷體"/>
        </w:rPr>
        <w:t>)</w:t>
      </w:r>
      <w:r w:rsidRPr="004D451D">
        <w:rPr>
          <w:rFonts w:eastAsia="標楷體"/>
        </w:rPr>
        <w:t>；</w:t>
      </w:r>
      <w:r w:rsidRPr="004D451D">
        <w:rPr>
          <w:rFonts w:eastAsia="標楷體"/>
        </w:rPr>
        <w:t>(vi)</w:t>
      </w:r>
      <w:r w:rsidRPr="004D451D">
        <w:rPr>
          <w:rFonts w:eastAsia="標楷體"/>
        </w:rPr>
        <w:t>零售型</w:t>
      </w:r>
      <w:r w:rsidRPr="004D451D">
        <w:rPr>
          <w:rFonts w:eastAsia="標楷體"/>
        </w:rPr>
        <w:t>-</w:t>
      </w:r>
      <w:r w:rsidRPr="004D451D">
        <w:rPr>
          <w:rFonts w:eastAsia="標楷體"/>
        </w:rPr>
        <w:t>合格循環</w:t>
      </w:r>
      <w:r w:rsidRPr="004D451D">
        <w:rPr>
          <w:rFonts w:eastAsia="標楷體"/>
        </w:rPr>
        <w:t>(</w:t>
      </w:r>
      <w:r w:rsidRPr="004D451D">
        <w:rPr>
          <w:rFonts w:eastAsia="標楷體"/>
        </w:rPr>
        <w:t>合格循環零售型暴險</w:t>
      </w:r>
      <w:r w:rsidRPr="004D451D">
        <w:rPr>
          <w:rFonts w:eastAsia="標楷體"/>
        </w:rPr>
        <w:t>)</w:t>
      </w:r>
      <w:r w:rsidRPr="004D451D">
        <w:rPr>
          <w:rFonts w:eastAsia="標楷體"/>
        </w:rPr>
        <w:t>；</w:t>
      </w:r>
      <w:r w:rsidRPr="004D451D">
        <w:rPr>
          <w:rFonts w:eastAsia="標楷體"/>
        </w:rPr>
        <w:t>(vii)</w:t>
      </w:r>
      <w:r w:rsidRPr="004D451D">
        <w:rPr>
          <w:rFonts w:eastAsia="標楷體"/>
        </w:rPr>
        <w:t>零售型</w:t>
      </w:r>
      <w:r w:rsidRPr="004D451D">
        <w:rPr>
          <w:rFonts w:eastAsia="標楷體"/>
        </w:rPr>
        <w:t>-</w:t>
      </w:r>
      <w:r w:rsidRPr="004D451D">
        <w:rPr>
          <w:rFonts w:eastAsia="標楷體"/>
        </w:rPr>
        <w:t>住宅抵押暴險；</w:t>
      </w:r>
      <w:r w:rsidRPr="004D451D">
        <w:rPr>
          <w:rFonts w:eastAsia="標楷體"/>
        </w:rPr>
        <w:t>(viii)</w:t>
      </w:r>
      <w:r w:rsidRPr="004D451D">
        <w:rPr>
          <w:rFonts w:eastAsia="標楷體"/>
        </w:rPr>
        <w:t>零售型</w:t>
      </w:r>
      <w:r w:rsidRPr="004D451D">
        <w:rPr>
          <w:rFonts w:eastAsia="標楷體"/>
        </w:rPr>
        <w:t>-</w:t>
      </w:r>
      <w:r w:rsidRPr="004D451D">
        <w:rPr>
          <w:rFonts w:eastAsia="標楷體"/>
        </w:rPr>
        <w:t>中小企業公司；</w:t>
      </w:r>
      <w:r w:rsidRPr="004D451D">
        <w:rPr>
          <w:rFonts w:eastAsia="標楷體"/>
        </w:rPr>
        <w:t>(ix)</w:t>
      </w:r>
      <w:r w:rsidRPr="004D451D">
        <w:rPr>
          <w:rFonts w:eastAsia="標楷體"/>
        </w:rPr>
        <w:t>其他零售型暴險；</w:t>
      </w:r>
      <w:r w:rsidRPr="004D451D">
        <w:rPr>
          <w:rFonts w:eastAsia="標楷體"/>
        </w:rPr>
        <w:t>(x)</w:t>
      </w:r>
      <w:r w:rsidRPr="004D451D">
        <w:rPr>
          <w:rFonts w:eastAsia="標楷體"/>
        </w:rPr>
        <w:t>買入應收帳款。分別使用基礎內部評等法和進階內部評等法之暴險類型應區分兩個表格分別填報。</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違約：違約暴險資料可依據主管機關針對違約暴險種類之定義加以細分。</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違約機率分級：暴險必須依據本表中違約機率之分級進行細分，而非以銀行在計算風險性資產時之違約機率分級進行細分。銀行必須將計算風險性資產時之違約機率分級對應至本表中違約機率之分級。</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原始表內暴險總額：未扣除會計帳損失準備的表內暴險總額</w:t>
      </w:r>
      <w:r w:rsidRPr="004D451D">
        <w:rPr>
          <w:rFonts w:eastAsia="標楷體"/>
        </w:rPr>
        <w:t>(</w:t>
      </w:r>
      <w:r w:rsidRPr="004D451D">
        <w:rPr>
          <w:rFonts w:eastAsia="標楷體"/>
        </w:rPr>
        <w:t>考慮信用風險抵減效果前</w:t>
      </w:r>
      <w:r w:rsidRPr="004D451D">
        <w:rPr>
          <w:rFonts w:eastAsia="標楷體"/>
        </w:rPr>
        <w:t>)</w:t>
      </w:r>
      <w:r w:rsidRPr="004D451D">
        <w:rPr>
          <w:rFonts w:eastAsia="標楷體"/>
        </w:rPr>
        <w:t>。</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考慮轉換係數前之表外暴險：未考慮會計調整和損失準備以及轉換係數與信用風險抵減效果之暴險額。</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平均信用轉換係數：考慮轉換係數後之表外暴險額除以考慮轉換係數前之表外暴險。</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考慮信用風險抵減及信用轉換係數後之違約暴險額：用於計算資本計提之金額。</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借款人人數：即個別違約機率分級區間內之借款人人數，可大約估計。</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平均違約機率：違約暴險額加權之借款人等級違約機率。</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平均違約損失率：違約暴險額加權之借款人等級違約損失率，違約損失率必須為考慮信用風險抵減效果後之淨額。</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平均到期期間：違約暴險額加權之借款人年化到期期間；僅當使用參數進行風險性資產計算時需填入。</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平均風險權數：風險性資產總額除以考慮信用風險抵減後之違約暴險額。</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預期損失：依據主管機關公布「信用風險內部評等法」之六預期損失之處理方式及損失準備之認列。</w:t>
      </w:r>
    </w:p>
    <w:p w:rsidR="007F5135" w:rsidRPr="004D451D" w:rsidRDefault="007F5135" w:rsidP="00EF4134">
      <w:pPr>
        <w:numPr>
          <w:ilvl w:val="0"/>
          <w:numId w:val="43"/>
        </w:numPr>
        <w:spacing w:line="240" w:lineRule="atLeast"/>
        <w:ind w:leftChars="150" w:left="720" w:hangingChars="150"/>
        <w:jc w:val="both"/>
        <w:rPr>
          <w:rFonts w:eastAsia="標楷體"/>
        </w:rPr>
      </w:pPr>
      <w:r w:rsidRPr="004D451D">
        <w:rPr>
          <w:rFonts w:eastAsia="標楷體"/>
        </w:rPr>
        <w:t>損失準備：依據主管機關公布「信用風險內部評等法」之六預期損失之處理方式及損失準備之認列。</w:t>
      </w:r>
    </w:p>
    <w:p w:rsidR="007F5135" w:rsidRPr="004D451D" w:rsidRDefault="007F5135" w:rsidP="007F5135">
      <w:pPr>
        <w:spacing w:line="240" w:lineRule="atLeast"/>
        <w:rPr>
          <w:rFonts w:ascii="Arial" w:eastAsia="標楷體" w:hAnsi="Arial" w:cs="Arial"/>
        </w:rPr>
      </w:pPr>
    </w:p>
    <w:p w:rsidR="00F07524" w:rsidRPr="004D451D" w:rsidRDefault="00F07524" w:rsidP="007F5135">
      <w:pPr>
        <w:widowControl/>
        <w:spacing w:line="240" w:lineRule="atLeast"/>
        <w:rPr>
          <w:rFonts w:ascii="Arial" w:eastAsia="標楷體" w:hAnsi="Arial" w:cs="Arial"/>
          <w:sz w:val="32"/>
          <w:szCs w:val="32"/>
        </w:rPr>
        <w:sectPr w:rsidR="00F07524" w:rsidRPr="004D451D" w:rsidSect="00F07524">
          <w:pgSz w:w="16838" w:h="11906" w:orient="landscape" w:code="9"/>
          <w:pgMar w:top="1440" w:right="1079" w:bottom="991" w:left="1440" w:header="851" w:footer="352" w:gutter="0"/>
          <w:cols w:space="425"/>
          <w:docGrid w:type="lines" w:linePitch="360"/>
        </w:sectPr>
      </w:pPr>
    </w:p>
    <w:p w:rsidR="002A794E" w:rsidRPr="004D451D" w:rsidRDefault="006F1E23" w:rsidP="002A794E">
      <w:pPr>
        <w:widowControl/>
        <w:rPr>
          <w:rFonts w:eastAsia="標楷體"/>
          <w:sz w:val="32"/>
          <w:szCs w:val="32"/>
          <w:u w:val="single"/>
        </w:rPr>
      </w:pPr>
      <w:r w:rsidRPr="004D451D">
        <w:rPr>
          <w:rFonts w:eastAsia="標楷體"/>
          <w:b/>
          <w:sz w:val="32"/>
          <w:szCs w:val="32"/>
        </w:rPr>
        <w:t>【附表二十</w:t>
      </w:r>
      <w:r w:rsidR="006153A5" w:rsidRPr="004D451D">
        <w:rPr>
          <w:rFonts w:eastAsia="標楷體" w:hint="eastAsia"/>
          <w:b/>
          <w:sz w:val="32"/>
          <w:szCs w:val="32"/>
        </w:rPr>
        <w:t>三</w:t>
      </w:r>
      <w:r w:rsidR="002A794E" w:rsidRPr="004D451D">
        <w:rPr>
          <w:rFonts w:eastAsia="標楷體"/>
          <w:b/>
          <w:sz w:val="32"/>
          <w:szCs w:val="32"/>
        </w:rPr>
        <w:t>】</w:t>
      </w:r>
    </w:p>
    <w:p w:rsidR="00306AAB" w:rsidRPr="004D451D" w:rsidRDefault="002A794E" w:rsidP="00306AAB">
      <w:pPr>
        <w:jc w:val="center"/>
        <w:rPr>
          <w:rFonts w:eastAsia="標楷體"/>
          <w:b/>
          <w:bCs/>
          <w:sz w:val="32"/>
          <w:szCs w:val="32"/>
        </w:rPr>
      </w:pPr>
      <w:r w:rsidRPr="004D451D">
        <w:rPr>
          <w:rFonts w:eastAsia="標楷體"/>
          <w:b/>
          <w:bCs/>
          <w:sz w:val="32"/>
          <w:szCs w:val="32"/>
        </w:rPr>
        <w:t>以信用衍生性金融商品作為風險抵減方法</w:t>
      </w:r>
    </w:p>
    <w:p w:rsidR="002A794E" w:rsidRPr="004D451D" w:rsidRDefault="002A794E" w:rsidP="00306AAB">
      <w:pPr>
        <w:jc w:val="center"/>
        <w:rPr>
          <w:rFonts w:eastAsia="標楷體"/>
          <w:b/>
          <w:bCs/>
          <w:sz w:val="32"/>
          <w:szCs w:val="32"/>
        </w:rPr>
      </w:pPr>
      <w:r w:rsidRPr="004D451D">
        <w:rPr>
          <w:rFonts w:eastAsia="標楷體"/>
          <w:b/>
          <w:bCs/>
          <w:sz w:val="32"/>
          <w:szCs w:val="32"/>
        </w:rPr>
        <w:t>對風險性資產的效果</w:t>
      </w:r>
      <w:r w:rsidR="00F3145A" w:rsidRPr="004D451D">
        <w:rPr>
          <w:rFonts w:hint="eastAsia"/>
          <w:b/>
        </w:rPr>
        <w:t>─</w:t>
      </w:r>
      <w:r w:rsidR="00F3145A" w:rsidRPr="004D451D">
        <w:rPr>
          <w:rFonts w:eastAsia="標楷體"/>
          <w:b/>
          <w:bCs/>
          <w:sz w:val="32"/>
          <w:szCs w:val="32"/>
        </w:rPr>
        <w:t>內部評等法</w:t>
      </w:r>
      <w:r w:rsidR="00ED470E" w:rsidRPr="004D451D">
        <w:rPr>
          <w:rFonts w:eastAsia="標楷體" w:hint="eastAsia"/>
          <w:b/>
          <w:bCs/>
          <w:sz w:val="32"/>
          <w:szCs w:val="32"/>
        </w:rPr>
        <w:t>-</w:t>
      </w:r>
      <w:r w:rsidR="00ED470E" w:rsidRPr="004D451D">
        <w:rPr>
          <w:rFonts w:eastAsia="標楷體" w:hint="eastAsia"/>
          <w:b/>
          <w:bCs/>
          <w:sz w:val="32"/>
          <w:szCs w:val="32"/>
        </w:rPr>
        <w:t>不適用</w:t>
      </w:r>
    </w:p>
    <w:p w:rsidR="002A794E" w:rsidRPr="004D451D" w:rsidRDefault="002A794E" w:rsidP="002A794E">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ED470E" w:rsidRPr="004D451D">
        <w:rPr>
          <w:rFonts w:eastAsia="標楷體" w:hint="eastAsia"/>
          <w:bCs/>
          <w:sz w:val="32"/>
          <w:szCs w:val="32"/>
        </w:rPr>
        <w:t>10</w:t>
      </w:r>
      <w:r w:rsidR="00FF52AD" w:rsidRPr="004D451D">
        <w:rPr>
          <w:rFonts w:eastAsia="標楷體" w:hint="eastAsia"/>
          <w:bCs/>
          <w:sz w:val="32"/>
          <w:szCs w:val="32"/>
        </w:rPr>
        <w:t>7</w:t>
      </w:r>
      <w:r w:rsidRPr="004D451D">
        <w:rPr>
          <w:rFonts w:eastAsia="標楷體"/>
          <w:bCs/>
          <w:sz w:val="32"/>
          <w:szCs w:val="32"/>
        </w:rPr>
        <w:t>年</w:t>
      </w:r>
      <w:r w:rsidR="00FF52AD" w:rsidRPr="004D451D">
        <w:rPr>
          <w:rFonts w:eastAsia="標楷體" w:hint="eastAsia"/>
          <w:bCs/>
          <w:sz w:val="32"/>
          <w:szCs w:val="32"/>
        </w:rPr>
        <w:t>06</w:t>
      </w:r>
      <w:r w:rsidRPr="004D451D">
        <w:rPr>
          <w:rFonts w:eastAsia="標楷體"/>
          <w:bCs/>
          <w:sz w:val="32"/>
          <w:szCs w:val="32"/>
        </w:rPr>
        <w:t>月</w:t>
      </w:r>
      <w:r w:rsidR="00ED470E" w:rsidRPr="004D451D">
        <w:rPr>
          <w:rFonts w:eastAsia="標楷體" w:hint="eastAsia"/>
          <w:bCs/>
          <w:sz w:val="32"/>
          <w:szCs w:val="32"/>
        </w:rPr>
        <w:t>3</w:t>
      </w:r>
      <w:r w:rsidR="00FF52AD" w:rsidRPr="004D451D">
        <w:rPr>
          <w:rFonts w:eastAsia="標楷體" w:hint="eastAsia"/>
          <w:bCs/>
          <w:sz w:val="32"/>
          <w:szCs w:val="32"/>
        </w:rPr>
        <w:t>0</w:t>
      </w:r>
      <w:r w:rsidRPr="004D451D">
        <w:rPr>
          <w:rFonts w:eastAsia="標楷體"/>
          <w:bCs/>
          <w:sz w:val="32"/>
          <w:szCs w:val="32"/>
        </w:rPr>
        <w:t>日</w:t>
      </w:r>
      <w:r w:rsidRPr="004D451D">
        <w:rPr>
          <w:rFonts w:eastAsia="標楷體"/>
          <w:bCs/>
          <w:sz w:val="32"/>
          <w:szCs w:val="32"/>
        </w:rPr>
        <w:t xml:space="preserve"> </w:t>
      </w:r>
      <w:r w:rsidRPr="004D451D">
        <w:rPr>
          <w:rFonts w:eastAsia="標楷體"/>
          <w:b/>
          <w:bCs/>
          <w:sz w:val="32"/>
          <w:szCs w:val="32"/>
        </w:rPr>
        <w:t xml:space="preserve"> </w:t>
      </w:r>
      <w:r w:rsidRPr="004D451D">
        <w:rPr>
          <w:rFonts w:eastAsia="標楷體"/>
          <w:b/>
          <w:bCs/>
        </w:rPr>
        <w:t xml:space="preserve">          </w:t>
      </w:r>
      <w:r w:rsidR="00117055" w:rsidRPr="004D451D">
        <w:rPr>
          <w:rFonts w:ascii="標楷體" w:eastAsia="標楷體" w:hAnsi="標楷體" w:cs="Arial" w:hint="eastAsia"/>
        </w:rPr>
        <w:t>（</w:t>
      </w:r>
      <w:r w:rsidR="00117055" w:rsidRPr="004D451D">
        <w:rPr>
          <w:rFonts w:eastAsia="標楷體"/>
          <w:bCs/>
        </w:rPr>
        <w:t>單位</w:t>
      </w:r>
      <w:r w:rsidR="00117055" w:rsidRPr="004D451D">
        <w:rPr>
          <w:rFonts w:eastAsia="標楷體" w:hint="eastAsia"/>
          <w:bCs/>
        </w:rPr>
        <w:t>：</w:t>
      </w:r>
      <w:r w:rsidR="00117055" w:rsidRPr="004D451D">
        <w:rPr>
          <w:rFonts w:eastAsia="標楷體"/>
          <w:bCs/>
        </w:rPr>
        <w:t>新臺幣千元</w:t>
      </w:r>
      <w:r w:rsidR="00117055" w:rsidRPr="004D451D">
        <w:rPr>
          <w:rFonts w:ascii="標楷體" w:eastAsia="標楷體" w:hAnsi="標楷體"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80"/>
        <w:gridCol w:w="3685"/>
        <w:gridCol w:w="2070"/>
      </w:tblGrid>
      <w:tr w:rsidR="004D451D" w:rsidRPr="004D451D" w:rsidTr="00306AAB">
        <w:trPr>
          <w:jc w:val="center"/>
        </w:trPr>
        <w:tc>
          <w:tcPr>
            <w:tcW w:w="3936" w:type="dxa"/>
            <w:gridSpan w:val="2"/>
            <w:shd w:val="clear" w:color="auto" w:fill="auto"/>
            <w:vAlign w:val="center"/>
          </w:tcPr>
          <w:p w:rsidR="0034436A" w:rsidRPr="004D451D" w:rsidRDefault="00306AAB" w:rsidP="00306AAB">
            <w:pPr>
              <w:jc w:val="center"/>
              <w:rPr>
                <w:rFonts w:eastAsia="標楷體"/>
                <w:bCs/>
              </w:rPr>
            </w:pPr>
            <w:r w:rsidRPr="004D451D">
              <w:rPr>
                <w:rFonts w:eastAsia="標楷體"/>
                <w:bCs/>
              </w:rPr>
              <w:t>項目</w:t>
            </w:r>
          </w:p>
        </w:tc>
        <w:tc>
          <w:tcPr>
            <w:tcW w:w="3685" w:type="dxa"/>
            <w:shd w:val="clear" w:color="auto" w:fill="auto"/>
            <w:vAlign w:val="center"/>
          </w:tcPr>
          <w:p w:rsidR="0034436A" w:rsidRPr="004D451D" w:rsidRDefault="0034436A" w:rsidP="00E60059">
            <w:pPr>
              <w:jc w:val="center"/>
              <w:rPr>
                <w:rFonts w:eastAsia="標楷體"/>
                <w:bCs/>
              </w:rPr>
            </w:pPr>
            <w:r w:rsidRPr="004D451D">
              <w:rPr>
                <w:rFonts w:eastAsia="標楷體"/>
                <w:bCs/>
              </w:rPr>
              <w:t>考慮信用衍生性金融商品抵減效果前之風險性資產</w:t>
            </w:r>
          </w:p>
        </w:tc>
        <w:tc>
          <w:tcPr>
            <w:tcW w:w="2070" w:type="dxa"/>
            <w:shd w:val="clear" w:color="auto" w:fill="auto"/>
            <w:vAlign w:val="center"/>
          </w:tcPr>
          <w:p w:rsidR="0034436A" w:rsidRPr="004D451D" w:rsidRDefault="0034436A" w:rsidP="00E60059">
            <w:pPr>
              <w:jc w:val="center"/>
              <w:rPr>
                <w:rFonts w:eastAsia="標楷體"/>
                <w:bCs/>
              </w:rPr>
            </w:pPr>
            <w:r w:rsidRPr="004D451D">
              <w:rPr>
                <w:rFonts w:eastAsia="標楷體"/>
                <w:bCs/>
              </w:rPr>
              <w:t>實際風險性資產</w:t>
            </w: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主權國家</w:t>
            </w:r>
            <w:r w:rsidRPr="004D451D">
              <w:rPr>
                <w:rFonts w:eastAsia="標楷體"/>
                <w:bCs/>
              </w:rPr>
              <w:t>-</w:t>
            </w:r>
            <w:r w:rsidRPr="004D451D">
              <w:rPr>
                <w:rFonts w:eastAsia="標楷體"/>
                <w:bCs/>
              </w:rPr>
              <w:t>基礎內部評等法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2</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主權國家</w:t>
            </w:r>
            <w:r w:rsidRPr="004D451D">
              <w:rPr>
                <w:rFonts w:eastAsia="標楷體"/>
                <w:bCs/>
              </w:rPr>
              <w:t>-</w:t>
            </w:r>
            <w:r w:rsidRPr="004D451D">
              <w:rPr>
                <w:rFonts w:eastAsia="標楷體"/>
                <w:bCs/>
              </w:rPr>
              <w:t>進階內部評等法法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3</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銀行</w:t>
            </w:r>
            <w:r w:rsidRPr="004D451D">
              <w:rPr>
                <w:rFonts w:eastAsia="標楷體"/>
                <w:bCs/>
              </w:rPr>
              <w:t>-</w:t>
            </w:r>
            <w:r w:rsidRPr="004D451D">
              <w:rPr>
                <w:rFonts w:eastAsia="標楷體"/>
                <w:bCs/>
              </w:rPr>
              <w:t>基礎內部評等法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4</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銀行</w:t>
            </w:r>
            <w:r w:rsidRPr="004D451D">
              <w:rPr>
                <w:rFonts w:eastAsia="標楷體"/>
                <w:bCs/>
              </w:rPr>
              <w:t>-</w:t>
            </w:r>
            <w:r w:rsidRPr="004D451D">
              <w:rPr>
                <w:rFonts w:eastAsia="標楷體"/>
                <w:bCs/>
              </w:rPr>
              <w:t>進階內部評等法法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trHeight w:val="192"/>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5</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企業</w:t>
            </w:r>
            <w:r w:rsidRPr="004D451D">
              <w:rPr>
                <w:rFonts w:eastAsia="標楷體"/>
                <w:bCs/>
              </w:rPr>
              <w:t>-</w:t>
            </w:r>
            <w:r w:rsidRPr="004D451D">
              <w:rPr>
                <w:rFonts w:eastAsia="標楷體"/>
                <w:bCs/>
              </w:rPr>
              <w:t>基礎內部評等法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6</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企業</w:t>
            </w:r>
            <w:r w:rsidRPr="004D451D">
              <w:rPr>
                <w:rFonts w:eastAsia="標楷體"/>
                <w:bCs/>
              </w:rPr>
              <w:t>-</w:t>
            </w:r>
            <w:r w:rsidRPr="004D451D">
              <w:rPr>
                <w:rFonts w:eastAsia="標楷體"/>
                <w:bCs/>
              </w:rPr>
              <w:t>進階內部評等法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7</w:t>
            </w:r>
          </w:p>
        </w:tc>
        <w:tc>
          <w:tcPr>
            <w:tcW w:w="3480" w:type="dxa"/>
            <w:shd w:val="clear" w:color="auto" w:fill="auto"/>
            <w:vAlign w:val="center"/>
          </w:tcPr>
          <w:p w:rsidR="00F94719" w:rsidRPr="004D451D" w:rsidRDefault="00F94719" w:rsidP="001A0384">
            <w:pPr>
              <w:jc w:val="both"/>
              <w:rPr>
                <w:rFonts w:eastAsia="標楷體"/>
              </w:rPr>
            </w:pPr>
            <w:r w:rsidRPr="004D451D">
              <w:rPr>
                <w:rFonts w:eastAsia="標楷體"/>
              </w:rPr>
              <w:t>特殊融資暴險</w:t>
            </w:r>
            <w:r w:rsidRPr="004D451D">
              <w:rPr>
                <w:rFonts w:eastAsia="標楷體"/>
              </w:rPr>
              <w:t>-</w:t>
            </w:r>
            <w:r w:rsidRPr="004D451D">
              <w:rPr>
                <w:rFonts w:eastAsia="標楷體"/>
              </w:rPr>
              <w:t>基礎內部評等法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8</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rPr>
              <w:t>特殊融資暴險</w:t>
            </w:r>
            <w:r w:rsidRPr="004D451D">
              <w:rPr>
                <w:rFonts w:eastAsia="標楷體"/>
              </w:rPr>
              <w:t>-</w:t>
            </w:r>
            <w:r w:rsidRPr="004D451D">
              <w:rPr>
                <w:rFonts w:eastAsia="標楷體"/>
              </w:rPr>
              <w:t>進階內部評等法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9</w:t>
            </w:r>
          </w:p>
        </w:tc>
        <w:tc>
          <w:tcPr>
            <w:tcW w:w="3480" w:type="dxa"/>
            <w:shd w:val="clear" w:color="auto" w:fill="auto"/>
            <w:vAlign w:val="center"/>
          </w:tcPr>
          <w:p w:rsidR="00F94719" w:rsidRPr="004D451D" w:rsidRDefault="00F94719" w:rsidP="001A0384">
            <w:pPr>
              <w:jc w:val="both"/>
              <w:rPr>
                <w:rFonts w:eastAsia="標楷體"/>
              </w:rPr>
            </w:pPr>
            <w:r w:rsidRPr="004D451D">
              <w:rPr>
                <w:rFonts w:eastAsia="標楷體"/>
              </w:rPr>
              <w:t>零售型</w:t>
            </w:r>
            <w:r w:rsidRPr="004D451D">
              <w:rPr>
                <w:rFonts w:eastAsia="標楷體"/>
              </w:rPr>
              <w:t>-</w:t>
            </w:r>
            <w:r w:rsidRPr="004D451D">
              <w:rPr>
                <w:rFonts w:eastAsia="標楷體"/>
              </w:rPr>
              <w:t>合格循環</w:t>
            </w:r>
            <w:r w:rsidRPr="004D451D">
              <w:rPr>
                <w:rFonts w:eastAsia="標楷體"/>
              </w:rPr>
              <w:t>(</w:t>
            </w:r>
            <w:r w:rsidRPr="004D451D">
              <w:rPr>
                <w:rFonts w:eastAsia="標楷體"/>
              </w:rPr>
              <w:t>合格循環零售型暴險</w:t>
            </w:r>
            <w:r w:rsidRPr="004D451D">
              <w:rPr>
                <w:rFonts w:eastAsia="標楷體"/>
              </w:rPr>
              <w:t>)</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10</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零售型</w:t>
            </w:r>
            <w:r w:rsidRPr="004D451D">
              <w:rPr>
                <w:rFonts w:eastAsia="標楷體"/>
                <w:bCs/>
              </w:rPr>
              <w:t>-</w:t>
            </w:r>
            <w:r w:rsidRPr="004D451D">
              <w:rPr>
                <w:rFonts w:eastAsia="標楷體"/>
                <w:bCs/>
              </w:rPr>
              <w:t>住宅抵押暴險</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11</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零售型</w:t>
            </w:r>
            <w:r w:rsidRPr="004D451D">
              <w:rPr>
                <w:rFonts w:eastAsia="標楷體"/>
                <w:bCs/>
              </w:rPr>
              <w:t>-</w:t>
            </w:r>
            <w:r w:rsidRPr="004D451D">
              <w:rPr>
                <w:rFonts w:eastAsia="標楷體"/>
                <w:bCs/>
              </w:rPr>
              <w:t>中小企業公司</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12</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其他零售型暴險</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13</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權益證券型</w:t>
            </w:r>
            <w:r w:rsidRPr="004D451D">
              <w:rPr>
                <w:rFonts w:eastAsia="標楷體"/>
                <w:bCs/>
              </w:rPr>
              <w:t>-</w:t>
            </w:r>
            <w:r w:rsidRPr="004D451D">
              <w:rPr>
                <w:rFonts w:eastAsia="標楷體"/>
                <w:bCs/>
              </w:rPr>
              <w:t>基礎內部評等法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14</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權益證券型</w:t>
            </w:r>
            <w:r w:rsidRPr="004D451D">
              <w:rPr>
                <w:rFonts w:eastAsia="標楷體"/>
                <w:bCs/>
              </w:rPr>
              <w:t>-</w:t>
            </w:r>
            <w:r w:rsidRPr="004D451D">
              <w:rPr>
                <w:rFonts w:eastAsia="標楷體"/>
                <w:bCs/>
              </w:rPr>
              <w:t>進階內部評等法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15</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買入應收帳款</w:t>
            </w:r>
            <w:r w:rsidRPr="004D451D">
              <w:rPr>
                <w:rFonts w:eastAsia="標楷體"/>
                <w:bCs/>
              </w:rPr>
              <w:t>-</w:t>
            </w:r>
            <w:r w:rsidRPr="004D451D">
              <w:rPr>
                <w:rFonts w:eastAsia="標楷體"/>
                <w:bCs/>
              </w:rPr>
              <w:t>基礎內部評等法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16</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買入應收帳款</w:t>
            </w:r>
            <w:r w:rsidRPr="004D451D">
              <w:rPr>
                <w:rFonts w:eastAsia="標楷體"/>
                <w:bCs/>
              </w:rPr>
              <w:t>-</w:t>
            </w:r>
            <w:r w:rsidRPr="004D451D">
              <w:rPr>
                <w:rFonts w:eastAsia="標楷體"/>
                <w:bCs/>
              </w:rPr>
              <w:t>進階內部評等法</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4D451D" w:rsidRPr="004D451D" w:rsidTr="001A0384">
        <w:trPr>
          <w:jc w:val="center"/>
        </w:trPr>
        <w:tc>
          <w:tcPr>
            <w:tcW w:w="0" w:type="auto"/>
            <w:shd w:val="clear" w:color="auto" w:fill="auto"/>
            <w:vAlign w:val="center"/>
          </w:tcPr>
          <w:p w:rsidR="00F94719" w:rsidRPr="004D451D" w:rsidRDefault="00F94719" w:rsidP="00E60059">
            <w:pPr>
              <w:jc w:val="center"/>
              <w:rPr>
                <w:rFonts w:eastAsia="標楷體"/>
                <w:bCs/>
              </w:rPr>
            </w:pPr>
            <w:r w:rsidRPr="004D451D">
              <w:rPr>
                <w:rFonts w:eastAsia="標楷體"/>
                <w:bCs/>
              </w:rPr>
              <w:t>17</w:t>
            </w:r>
          </w:p>
        </w:tc>
        <w:tc>
          <w:tcPr>
            <w:tcW w:w="3480" w:type="dxa"/>
            <w:shd w:val="clear" w:color="auto" w:fill="auto"/>
            <w:vAlign w:val="center"/>
          </w:tcPr>
          <w:p w:rsidR="00F94719" w:rsidRPr="004D451D" w:rsidRDefault="00F94719" w:rsidP="001A0384">
            <w:pPr>
              <w:jc w:val="both"/>
              <w:rPr>
                <w:rFonts w:eastAsia="標楷體"/>
                <w:bCs/>
              </w:rPr>
            </w:pPr>
            <w:r w:rsidRPr="004D451D">
              <w:rPr>
                <w:rFonts w:eastAsia="標楷體"/>
                <w:bCs/>
              </w:rPr>
              <w:t>總計</w:t>
            </w:r>
          </w:p>
        </w:tc>
        <w:tc>
          <w:tcPr>
            <w:tcW w:w="3685" w:type="dxa"/>
            <w:shd w:val="clear" w:color="auto" w:fill="auto"/>
          </w:tcPr>
          <w:p w:rsidR="00F94719" w:rsidRPr="004D451D" w:rsidRDefault="00F94719" w:rsidP="00306AAB">
            <w:pPr>
              <w:jc w:val="center"/>
              <w:rPr>
                <w:rFonts w:eastAsia="標楷體"/>
                <w:bCs/>
              </w:rPr>
            </w:pPr>
          </w:p>
        </w:tc>
        <w:tc>
          <w:tcPr>
            <w:tcW w:w="2070" w:type="dxa"/>
            <w:shd w:val="clear" w:color="auto" w:fill="auto"/>
          </w:tcPr>
          <w:p w:rsidR="00F94719" w:rsidRPr="004D451D" w:rsidRDefault="00F94719" w:rsidP="00306AAB">
            <w:pPr>
              <w:jc w:val="center"/>
              <w:rPr>
                <w:rFonts w:eastAsia="標楷體"/>
                <w:bCs/>
              </w:rPr>
            </w:pPr>
          </w:p>
        </w:tc>
      </w:tr>
      <w:tr w:rsidR="00F94719" w:rsidRPr="004D451D" w:rsidTr="00306AAB">
        <w:trPr>
          <w:trHeight w:val="786"/>
          <w:jc w:val="center"/>
        </w:trPr>
        <w:tc>
          <w:tcPr>
            <w:tcW w:w="0" w:type="auto"/>
            <w:gridSpan w:val="4"/>
            <w:shd w:val="clear" w:color="auto" w:fill="auto"/>
          </w:tcPr>
          <w:p w:rsidR="00F94719" w:rsidRPr="004D451D" w:rsidRDefault="00F94719" w:rsidP="00E60059">
            <w:pPr>
              <w:rPr>
                <w:rFonts w:eastAsia="標楷體"/>
                <w:bCs/>
              </w:rPr>
            </w:pPr>
            <w:r w:rsidRPr="004D451D">
              <w:rPr>
                <w:rFonts w:eastAsia="標楷體"/>
                <w:bCs/>
              </w:rPr>
              <w:t>信用衍生性金融商品在風險性資產上的影響</w:t>
            </w:r>
            <w:r w:rsidR="00306AAB" w:rsidRPr="004D451D">
              <w:rPr>
                <w:rFonts w:eastAsia="標楷體" w:hint="eastAsia"/>
                <w:bCs/>
              </w:rPr>
              <w:t>：</w:t>
            </w:r>
          </w:p>
        </w:tc>
      </w:tr>
    </w:tbl>
    <w:p w:rsidR="002A794E" w:rsidRPr="004D451D" w:rsidRDefault="002A794E" w:rsidP="0076249E">
      <w:pPr>
        <w:ind w:right="960"/>
        <w:rPr>
          <w:rFonts w:eastAsia="標楷體"/>
          <w:bCs/>
        </w:rPr>
      </w:pPr>
    </w:p>
    <w:p w:rsidR="00564D3B" w:rsidRPr="004D451D" w:rsidRDefault="00564D3B" w:rsidP="00306AAB">
      <w:pPr>
        <w:spacing w:line="240" w:lineRule="atLeast"/>
        <w:rPr>
          <w:rFonts w:eastAsia="標楷體"/>
          <w:b/>
          <w:kern w:val="0"/>
        </w:rPr>
      </w:pPr>
      <w:r w:rsidRPr="004D451D">
        <w:rPr>
          <w:rFonts w:eastAsia="標楷體"/>
          <w:b/>
          <w:kern w:val="0"/>
        </w:rPr>
        <w:t>填表說明：</w:t>
      </w:r>
    </w:p>
    <w:p w:rsidR="00564D3B" w:rsidRPr="004D451D" w:rsidRDefault="00564D3B" w:rsidP="00EF4134">
      <w:pPr>
        <w:numPr>
          <w:ilvl w:val="0"/>
          <w:numId w:val="44"/>
        </w:numPr>
        <w:spacing w:line="240" w:lineRule="atLeast"/>
        <w:ind w:leftChars="150" w:left="720" w:hangingChars="150"/>
        <w:jc w:val="both"/>
        <w:rPr>
          <w:rFonts w:eastAsia="標楷體"/>
        </w:rPr>
      </w:pPr>
      <w:r w:rsidRPr="004D451D">
        <w:rPr>
          <w:rFonts w:eastAsia="標楷體"/>
        </w:rPr>
        <w:t>本表更新頻率：半年。</w:t>
      </w:r>
    </w:p>
    <w:p w:rsidR="00306AAB" w:rsidRPr="004D451D" w:rsidRDefault="00306AAB" w:rsidP="00EF4134">
      <w:pPr>
        <w:numPr>
          <w:ilvl w:val="0"/>
          <w:numId w:val="44"/>
        </w:numPr>
        <w:spacing w:line="240" w:lineRule="atLeast"/>
        <w:ind w:leftChars="150" w:left="720" w:hangingChars="150"/>
        <w:jc w:val="both"/>
        <w:rPr>
          <w:rFonts w:eastAsia="標楷體"/>
        </w:rPr>
      </w:pPr>
      <w:r w:rsidRPr="004D451D">
        <w:rPr>
          <w:rFonts w:eastAsia="標楷體"/>
        </w:rPr>
        <w:t>本表採個體基礎填報。</w:t>
      </w:r>
    </w:p>
    <w:p w:rsidR="00306AAB" w:rsidRPr="004D451D" w:rsidRDefault="00306AAB" w:rsidP="00EF4134">
      <w:pPr>
        <w:numPr>
          <w:ilvl w:val="0"/>
          <w:numId w:val="44"/>
        </w:numPr>
        <w:spacing w:line="240" w:lineRule="atLeast"/>
        <w:ind w:leftChars="150" w:left="720" w:hangingChars="150"/>
        <w:jc w:val="both"/>
        <w:rPr>
          <w:rFonts w:eastAsia="標楷體"/>
        </w:rPr>
      </w:pPr>
      <w:r w:rsidRPr="004D451D">
        <w:rPr>
          <w:rFonts w:eastAsia="標楷體"/>
        </w:rPr>
        <w:t>考慮信用衍生性金融商品抵減效果前之風險性資產：在不認定信用衍生性金融商品為信用風險抵減方法的假設下所計算之風險性資產。</w:t>
      </w:r>
    </w:p>
    <w:p w:rsidR="00306AAB" w:rsidRPr="004D451D" w:rsidRDefault="00306AAB" w:rsidP="00EF4134">
      <w:pPr>
        <w:numPr>
          <w:ilvl w:val="0"/>
          <w:numId w:val="44"/>
        </w:numPr>
        <w:spacing w:line="240" w:lineRule="atLeast"/>
        <w:ind w:leftChars="150" w:left="720" w:hangingChars="150"/>
        <w:jc w:val="both"/>
        <w:rPr>
          <w:rFonts w:eastAsia="標楷體"/>
        </w:rPr>
      </w:pPr>
      <w:r w:rsidRPr="004D451D">
        <w:rPr>
          <w:rFonts w:eastAsia="標楷體"/>
        </w:rPr>
        <w:t>實際風險性資產：考慮信用衍生性金融商品之信用風險抵減效果下所計算之風險性資產。</w:t>
      </w:r>
    </w:p>
    <w:p w:rsidR="00D649C8" w:rsidRPr="004D451D" w:rsidRDefault="0034436A" w:rsidP="00D649C8">
      <w:pPr>
        <w:widowControl/>
        <w:rPr>
          <w:rFonts w:eastAsia="標楷體"/>
          <w:sz w:val="32"/>
          <w:szCs w:val="32"/>
        </w:rPr>
      </w:pPr>
      <w:r w:rsidRPr="004D451D">
        <w:rPr>
          <w:rFonts w:ascii="Arial" w:eastAsia="標楷體" w:hAnsi="Arial" w:cs="Arial"/>
          <w:sz w:val="32"/>
          <w:szCs w:val="32"/>
        </w:rPr>
        <w:br w:type="page"/>
      </w:r>
      <w:r w:rsidR="00D10269" w:rsidRPr="004D451D">
        <w:rPr>
          <w:rFonts w:eastAsia="標楷體"/>
          <w:b/>
          <w:sz w:val="32"/>
          <w:szCs w:val="32"/>
        </w:rPr>
        <w:t>【附表二十</w:t>
      </w:r>
      <w:r w:rsidR="006153A5" w:rsidRPr="004D451D">
        <w:rPr>
          <w:rFonts w:eastAsia="標楷體" w:hint="eastAsia"/>
          <w:b/>
          <w:sz w:val="32"/>
          <w:szCs w:val="32"/>
        </w:rPr>
        <w:t>四</w:t>
      </w:r>
      <w:r w:rsidR="00D649C8" w:rsidRPr="004D451D">
        <w:rPr>
          <w:rFonts w:eastAsia="標楷體"/>
          <w:b/>
          <w:sz w:val="32"/>
          <w:szCs w:val="32"/>
        </w:rPr>
        <w:t>】</w:t>
      </w:r>
    </w:p>
    <w:p w:rsidR="00D649C8" w:rsidRPr="004D451D" w:rsidRDefault="00D649C8" w:rsidP="00D649C8">
      <w:pPr>
        <w:jc w:val="center"/>
        <w:rPr>
          <w:rFonts w:eastAsia="標楷體"/>
          <w:b/>
          <w:bCs/>
          <w:sz w:val="32"/>
          <w:szCs w:val="32"/>
        </w:rPr>
      </w:pPr>
      <w:r w:rsidRPr="004D451D">
        <w:rPr>
          <w:rFonts w:eastAsia="標楷體"/>
          <w:b/>
          <w:bCs/>
          <w:sz w:val="32"/>
          <w:szCs w:val="32"/>
        </w:rPr>
        <w:t>信用風險暴險之風險性資產變動表</w:t>
      </w:r>
      <w:r w:rsidR="00F3145A" w:rsidRPr="004D451D">
        <w:rPr>
          <w:rFonts w:hint="eastAsia"/>
          <w:b/>
        </w:rPr>
        <w:t>─</w:t>
      </w:r>
      <w:r w:rsidR="00F3145A" w:rsidRPr="004D451D">
        <w:rPr>
          <w:rFonts w:eastAsia="標楷體"/>
          <w:b/>
          <w:bCs/>
          <w:sz w:val="32"/>
          <w:szCs w:val="32"/>
        </w:rPr>
        <w:t>內部評等法</w:t>
      </w:r>
      <w:r w:rsidR="00ED470E" w:rsidRPr="004D451D">
        <w:rPr>
          <w:rFonts w:eastAsia="標楷體" w:hint="eastAsia"/>
          <w:b/>
          <w:bCs/>
          <w:sz w:val="32"/>
          <w:szCs w:val="32"/>
        </w:rPr>
        <w:t>-</w:t>
      </w:r>
      <w:r w:rsidR="00ED470E" w:rsidRPr="004D451D">
        <w:rPr>
          <w:rFonts w:eastAsia="標楷體" w:hint="eastAsia"/>
          <w:b/>
          <w:bCs/>
          <w:sz w:val="32"/>
          <w:szCs w:val="32"/>
        </w:rPr>
        <w:t>不適用</w:t>
      </w:r>
    </w:p>
    <w:p w:rsidR="00D649C8" w:rsidRPr="004D451D" w:rsidRDefault="00D649C8" w:rsidP="00D649C8">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ED470E" w:rsidRPr="004D451D">
        <w:rPr>
          <w:rFonts w:eastAsia="標楷體" w:hint="eastAsia"/>
          <w:bCs/>
          <w:sz w:val="32"/>
          <w:szCs w:val="32"/>
        </w:rPr>
        <w:t>10</w:t>
      </w:r>
      <w:r w:rsidR="00FF52AD" w:rsidRPr="004D451D">
        <w:rPr>
          <w:rFonts w:eastAsia="標楷體" w:hint="eastAsia"/>
          <w:bCs/>
          <w:sz w:val="32"/>
          <w:szCs w:val="32"/>
        </w:rPr>
        <w:t>7</w:t>
      </w:r>
      <w:r w:rsidRPr="004D451D">
        <w:rPr>
          <w:rFonts w:eastAsia="標楷體"/>
          <w:bCs/>
          <w:sz w:val="32"/>
          <w:szCs w:val="32"/>
        </w:rPr>
        <w:t>年</w:t>
      </w:r>
      <w:r w:rsidR="00FF52AD" w:rsidRPr="004D451D">
        <w:rPr>
          <w:rFonts w:eastAsia="標楷體" w:hint="eastAsia"/>
          <w:bCs/>
          <w:sz w:val="32"/>
          <w:szCs w:val="32"/>
        </w:rPr>
        <w:t>06</w:t>
      </w:r>
      <w:r w:rsidRPr="004D451D">
        <w:rPr>
          <w:rFonts w:eastAsia="標楷體"/>
          <w:bCs/>
          <w:sz w:val="32"/>
          <w:szCs w:val="32"/>
        </w:rPr>
        <w:t>月</w:t>
      </w:r>
      <w:r w:rsidR="00ED470E" w:rsidRPr="004D451D">
        <w:rPr>
          <w:rFonts w:eastAsia="標楷體" w:hint="eastAsia"/>
          <w:bCs/>
          <w:sz w:val="32"/>
          <w:szCs w:val="32"/>
        </w:rPr>
        <w:t>3</w:t>
      </w:r>
      <w:r w:rsidR="00FF52AD" w:rsidRPr="004D451D">
        <w:rPr>
          <w:rFonts w:eastAsia="標楷體" w:hint="eastAsia"/>
          <w:bCs/>
          <w:sz w:val="32"/>
          <w:szCs w:val="32"/>
        </w:rPr>
        <w:t>0</w:t>
      </w:r>
      <w:r w:rsidRPr="004D451D">
        <w:rPr>
          <w:rFonts w:eastAsia="標楷體"/>
          <w:bCs/>
          <w:sz w:val="32"/>
          <w:szCs w:val="32"/>
        </w:rPr>
        <w:t>日</w:t>
      </w:r>
      <w:r w:rsidRPr="004D451D">
        <w:rPr>
          <w:rFonts w:eastAsia="標楷體"/>
          <w:bCs/>
          <w:sz w:val="32"/>
          <w:szCs w:val="32"/>
        </w:rPr>
        <w:t xml:space="preserve"> </w:t>
      </w:r>
      <w:r w:rsidRPr="004D451D">
        <w:rPr>
          <w:rFonts w:eastAsia="標楷體"/>
          <w:b/>
          <w:bCs/>
          <w:sz w:val="32"/>
          <w:szCs w:val="32"/>
        </w:rPr>
        <w:t xml:space="preserve"> </w:t>
      </w:r>
      <w:r w:rsidRPr="004D451D">
        <w:rPr>
          <w:rFonts w:eastAsia="標楷體"/>
          <w:b/>
          <w:bCs/>
        </w:rPr>
        <w:t xml:space="preserve">          </w:t>
      </w:r>
      <w:r w:rsidR="00117055" w:rsidRPr="004D451D">
        <w:rPr>
          <w:rFonts w:eastAsia="標楷體" w:hint="eastAsia"/>
          <w:bCs/>
        </w:rPr>
        <w:t>（</w:t>
      </w:r>
      <w:r w:rsidRPr="004D451D">
        <w:rPr>
          <w:rFonts w:eastAsia="標楷體"/>
          <w:bCs/>
        </w:rPr>
        <w:t>單位</w:t>
      </w:r>
      <w:r w:rsidR="007A7585" w:rsidRPr="004D451D">
        <w:rPr>
          <w:rFonts w:eastAsia="標楷體" w:hint="eastAsia"/>
          <w:bCs/>
        </w:rPr>
        <w:t>：</w:t>
      </w:r>
      <w:r w:rsidRPr="004D451D">
        <w:rPr>
          <w:rFonts w:eastAsia="標楷體"/>
          <w:bCs/>
        </w:rPr>
        <w:t>新臺幣千元</w:t>
      </w:r>
      <w:r w:rsidR="00117055" w:rsidRPr="004D451D">
        <w:rPr>
          <w:rFonts w:eastAsia="標楷體" w:hint="eastAsia"/>
          <w:bCs/>
        </w:rPr>
        <w: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388"/>
        <w:gridCol w:w="2779"/>
        <w:gridCol w:w="2835"/>
      </w:tblGrid>
      <w:tr w:rsidR="004D451D" w:rsidRPr="004D451D" w:rsidTr="0076549B">
        <w:trPr>
          <w:trHeight w:val="351"/>
        </w:trPr>
        <w:tc>
          <w:tcPr>
            <w:tcW w:w="3794" w:type="dxa"/>
            <w:gridSpan w:val="2"/>
            <w:vMerge w:val="restart"/>
            <w:tcBorders>
              <w:top w:val="single" w:sz="4" w:space="0" w:color="auto"/>
              <w:left w:val="single" w:sz="4" w:space="0" w:color="auto"/>
            </w:tcBorders>
            <w:shd w:val="clear" w:color="auto" w:fill="auto"/>
            <w:vAlign w:val="center"/>
          </w:tcPr>
          <w:p w:rsidR="0034436A" w:rsidRPr="004D451D" w:rsidRDefault="0034436A" w:rsidP="00C57753">
            <w:pPr>
              <w:jc w:val="center"/>
              <w:rPr>
                <w:rFonts w:eastAsia="標楷體"/>
                <w:bCs/>
              </w:rPr>
            </w:pPr>
            <w:r w:rsidRPr="004D451D">
              <w:rPr>
                <w:rFonts w:eastAsia="標楷體"/>
                <w:bCs/>
              </w:rPr>
              <w:t>項目</w:t>
            </w:r>
          </w:p>
        </w:tc>
        <w:tc>
          <w:tcPr>
            <w:tcW w:w="2779" w:type="dxa"/>
            <w:shd w:val="clear" w:color="auto" w:fill="auto"/>
            <w:vAlign w:val="center"/>
          </w:tcPr>
          <w:p w:rsidR="0034436A" w:rsidRPr="004D451D" w:rsidRDefault="0034436A" w:rsidP="0076549B">
            <w:pPr>
              <w:jc w:val="center"/>
              <w:rPr>
                <w:rFonts w:eastAsia="標楷體"/>
                <w:bCs/>
              </w:rPr>
            </w:pPr>
            <w:r w:rsidRPr="004D451D">
              <w:rPr>
                <w:rFonts w:eastAsia="標楷體"/>
                <w:bCs/>
              </w:rPr>
              <w:t>本季</w:t>
            </w:r>
          </w:p>
        </w:tc>
        <w:tc>
          <w:tcPr>
            <w:tcW w:w="2835" w:type="dxa"/>
            <w:shd w:val="clear" w:color="auto" w:fill="auto"/>
            <w:vAlign w:val="center"/>
          </w:tcPr>
          <w:p w:rsidR="0034436A" w:rsidRPr="004D451D" w:rsidRDefault="0034436A" w:rsidP="0076549B">
            <w:pPr>
              <w:jc w:val="center"/>
              <w:rPr>
                <w:rFonts w:eastAsia="標楷體"/>
                <w:bCs/>
              </w:rPr>
            </w:pPr>
            <w:r w:rsidRPr="004D451D">
              <w:rPr>
                <w:rFonts w:eastAsia="標楷體"/>
                <w:bCs/>
              </w:rPr>
              <w:t>前一季</w:t>
            </w:r>
          </w:p>
        </w:tc>
      </w:tr>
      <w:tr w:rsidR="004D451D" w:rsidRPr="004D451D" w:rsidTr="0076549B">
        <w:trPr>
          <w:trHeight w:val="441"/>
        </w:trPr>
        <w:tc>
          <w:tcPr>
            <w:tcW w:w="3794" w:type="dxa"/>
            <w:gridSpan w:val="2"/>
            <w:vMerge/>
            <w:tcBorders>
              <w:left w:val="single" w:sz="4" w:space="0" w:color="auto"/>
            </w:tcBorders>
            <w:shd w:val="clear" w:color="auto" w:fill="auto"/>
          </w:tcPr>
          <w:p w:rsidR="0034436A" w:rsidRPr="004D451D" w:rsidRDefault="0034436A" w:rsidP="00D50631">
            <w:pPr>
              <w:jc w:val="right"/>
              <w:rPr>
                <w:rFonts w:eastAsia="標楷體"/>
                <w:bCs/>
              </w:rPr>
            </w:pPr>
          </w:p>
        </w:tc>
        <w:tc>
          <w:tcPr>
            <w:tcW w:w="2779" w:type="dxa"/>
            <w:shd w:val="clear" w:color="auto" w:fill="auto"/>
            <w:vAlign w:val="center"/>
          </w:tcPr>
          <w:p w:rsidR="0034436A" w:rsidRPr="004D451D" w:rsidRDefault="0034436A" w:rsidP="0076549B">
            <w:pPr>
              <w:jc w:val="center"/>
              <w:rPr>
                <w:rFonts w:eastAsia="標楷體"/>
                <w:bCs/>
              </w:rPr>
            </w:pPr>
            <w:r w:rsidRPr="004D451D">
              <w:rPr>
                <w:rFonts w:eastAsia="標楷體"/>
                <w:bCs/>
              </w:rPr>
              <w:t>風險性資產金額</w:t>
            </w:r>
          </w:p>
        </w:tc>
        <w:tc>
          <w:tcPr>
            <w:tcW w:w="2835" w:type="dxa"/>
            <w:shd w:val="clear" w:color="auto" w:fill="auto"/>
            <w:vAlign w:val="center"/>
          </w:tcPr>
          <w:p w:rsidR="0034436A" w:rsidRPr="004D451D" w:rsidRDefault="0034436A" w:rsidP="0076549B">
            <w:pPr>
              <w:jc w:val="center"/>
              <w:rPr>
                <w:rFonts w:eastAsia="標楷體"/>
                <w:bCs/>
              </w:rPr>
            </w:pPr>
            <w:r w:rsidRPr="004D451D">
              <w:rPr>
                <w:rFonts w:eastAsia="標楷體"/>
                <w:bCs/>
              </w:rPr>
              <w:t>風險性資產金額</w:t>
            </w:r>
          </w:p>
        </w:tc>
      </w:tr>
      <w:tr w:rsidR="004D451D" w:rsidRPr="004D451D" w:rsidTr="001A0384">
        <w:trPr>
          <w:trHeight w:val="412"/>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1</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上期期末報表日之風險性資產</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5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2</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資產規模</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5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3</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資產品質</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7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4</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模型更新</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5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5</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方法論與政策</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5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6</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取得與處分</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5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7</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匯率變動</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7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8</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其他</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4D451D" w:rsidRPr="004D451D" w:rsidTr="001A0384">
        <w:trPr>
          <w:trHeight w:val="351"/>
        </w:trPr>
        <w:tc>
          <w:tcPr>
            <w:tcW w:w="406" w:type="dxa"/>
            <w:shd w:val="clear" w:color="auto" w:fill="auto"/>
            <w:vAlign w:val="center"/>
          </w:tcPr>
          <w:p w:rsidR="00D649C8" w:rsidRPr="004D451D" w:rsidRDefault="00D649C8" w:rsidP="00B35618">
            <w:pPr>
              <w:jc w:val="center"/>
              <w:rPr>
                <w:rFonts w:eastAsia="標楷體"/>
                <w:bCs/>
              </w:rPr>
            </w:pPr>
            <w:r w:rsidRPr="004D451D">
              <w:rPr>
                <w:rFonts w:eastAsia="標楷體"/>
                <w:bCs/>
              </w:rPr>
              <w:t>9</w:t>
            </w:r>
          </w:p>
        </w:tc>
        <w:tc>
          <w:tcPr>
            <w:tcW w:w="3388" w:type="dxa"/>
            <w:shd w:val="clear" w:color="auto" w:fill="auto"/>
            <w:vAlign w:val="center"/>
          </w:tcPr>
          <w:p w:rsidR="00D649C8" w:rsidRPr="004D451D" w:rsidRDefault="00D649C8" w:rsidP="001A0384">
            <w:pPr>
              <w:jc w:val="both"/>
              <w:rPr>
                <w:rFonts w:eastAsia="標楷體"/>
                <w:bCs/>
              </w:rPr>
            </w:pPr>
            <w:r w:rsidRPr="004D451D">
              <w:rPr>
                <w:rFonts w:eastAsia="標楷體"/>
                <w:bCs/>
              </w:rPr>
              <w:t>期末報表日之風險性資產</w:t>
            </w:r>
          </w:p>
        </w:tc>
        <w:tc>
          <w:tcPr>
            <w:tcW w:w="2779" w:type="dxa"/>
            <w:shd w:val="clear" w:color="auto" w:fill="auto"/>
          </w:tcPr>
          <w:p w:rsidR="00D649C8" w:rsidRPr="004D451D" w:rsidRDefault="00D649C8" w:rsidP="00D50631">
            <w:pPr>
              <w:jc w:val="center"/>
              <w:rPr>
                <w:rFonts w:eastAsia="標楷體"/>
                <w:bCs/>
              </w:rPr>
            </w:pPr>
          </w:p>
        </w:tc>
        <w:tc>
          <w:tcPr>
            <w:tcW w:w="2835" w:type="dxa"/>
            <w:shd w:val="clear" w:color="auto" w:fill="auto"/>
          </w:tcPr>
          <w:p w:rsidR="00D649C8" w:rsidRPr="004D451D" w:rsidRDefault="00D649C8" w:rsidP="00D50631">
            <w:pPr>
              <w:jc w:val="center"/>
              <w:rPr>
                <w:rFonts w:eastAsia="標楷體"/>
                <w:bCs/>
              </w:rPr>
            </w:pPr>
          </w:p>
        </w:tc>
      </w:tr>
      <w:tr w:rsidR="00D649C8" w:rsidRPr="004D451D" w:rsidTr="00B35618">
        <w:trPr>
          <w:trHeight w:val="688"/>
        </w:trPr>
        <w:tc>
          <w:tcPr>
            <w:tcW w:w="9408" w:type="dxa"/>
            <w:gridSpan w:val="4"/>
            <w:shd w:val="clear" w:color="auto" w:fill="auto"/>
          </w:tcPr>
          <w:p w:rsidR="00D649C8" w:rsidRPr="004D451D" w:rsidRDefault="00D649C8" w:rsidP="00D649C8">
            <w:pPr>
              <w:rPr>
                <w:rFonts w:eastAsia="標楷體"/>
                <w:bCs/>
              </w:rPr>
            </w:pPr>
            <w:r w:rsidRPr="004D451D">
              <w:rPr>
                <w:rFonts w:eastAsia="標楷體"/>
                <w:bCs/>
              </w:rPr>
              <w:t>重大變動原因及說明：</w:t>
            </w:r>
          </w:p>
        </w:tc>
      </w:tr>
    </w:tbl>
    <w:p w:rsidR="00B35618" w:rsidRPr="004D451D" w:rsidRDefault="00B35618" w:rsidP="00B35618">
      <w:pPr>
        <w:spacing w:line="240" w:lineRule="atLeast"/>
        <w:rPr>
          <w:rFonts w:eastAsia="標楷體"/>
          <w:b/>
          <w:kern w:val="0"/>
        </w:rPr>
      </w:pPr>
    </w:p>
    <w:p w:rsidR="005D4660" w:rsidRPr="004D451D" w:rsidRDefault="005D4660" w:rsidP="00B35618">
      <w:pPr>
        <w:spacing w:line="240" w:lineRule="atLeast"/>
        <w:rPr>
          <w:rFonts w:eastAsia="標楷體"/>
          <w:b/>
          <w:kern w:val="0"/>
        </w:rPr>
      </w:pPr>
      <w:r w:rsidRPr="004D451D">
        <w:rPr>
          <w:rFonts w:eastAsia="標楷體"/>
          <w:b/>
          <w:kern w:val="0"/>
        </w:rPr>
        <w:t>填表說明：</w:t>
      </w:r>
    </w:p>
    <w:p w:rsidR="005D4660" w:rsidRPr="004D451D" w:rsidRDefault="005D4660" w:rsidP="00EF4134">
      <w:pPr>
        <w:numPr>
          <w:ilvl w:val="0"/>
          <w:numId w:val="45"/>
        </w:numPr>
        <w:spacing w:line="240" w:lineRule="atLeast"/>
        <w:ind w:leftChars="150" w:left="720" w:hangingChars="150"/>
        <w:jc w:val="both"/>
        <w:rPr>
          <w:rFonts w:eastAsia="標楷體"/>
        </w:rPr>
      </w:pPr>
      <w:r w:rsidRPr="004D451D">
        <w:rPr>
          <w:rFonts w:eastAsia="標楷體"/>
        </w:rPr>
        <w:t>本表更新頻率：半年</w:t>
      </w:r>
      <w:r w:rsidRPr="004D451D">
        <w:rPr>
          <w:rFonts w:eastAsia="標楷體"/>
        </w:rPr>
        <w:t>(</w:t>
      </w:r>
      <w:r w:rsidRPr="004D451D">
        <w:rPr>
          <w:rFonts w:eastAsia="標楷體"/>
        </w:rPr>
        <w:t>每半年揭露近兩季資料</w:t>
      </w:r>
      <w:r w:rsidR="0034436A" w:rsidRPr="004D451D">
        <w:rPr>
          <w:rFonts w:eastAsia="標楷體"/>
        </w:rPr>
        <w:t>，第一季與第三季資料得免經會計師複核</w:t>
      </w:r>
      <w:r w:rsidRPr="004D451D">
        <w:rPr>
          <w:rFonts w:eastAsia="標楷體"/>
        </w:rPr>
        <w:t>)</w:t>
      </w:r>
      <w:r w:rsidRPr="004D451D">
        <w:rPr>
          <w:rFonts w:eastAsia="標楷體"/>
        </w:rPr>
        <w:t>。</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本表採個體基礎填報。</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資產規模：因銀行之帳面規模與組成的變動</w:t>
      </w:r>
      <w:r w:rsidRPr="004D451D">
        <w:rPr>
          <w:rFonts w:eastAsia="標楷體"/>
        </w:rPr>
        <w:t>(</w:t>
      </w:r>
      <w:r w:rsidRPr="004D451D">
        <w:rPr>
          <w:rFonts w:eastAsia="標楷體"/>
        </w:rPr>
        <w:t>包含新業務之開始與到期的貸款</w:t>
      </w:r>
      <w:r w:rsidRPr="004D451D">
        <w:rPr>
          <w:rFonts w:eastAsia="標楷體"/>
        </w:rPr>
        <w:t>)</w:t>
      </w:r>
      <w:r w:rsidRPr="004D451D">
        <w:rPr>
          <w:rFonts w:eastAsia="標楷體"/>
        </w:rPr>
        <w:t>，但排除因為取得或處分事業體所造成帳面規模的變動。</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資產品質：評估因借款人之風險變動</w:t>
      </w:r>
      <w:r w:rsidRPr="004D451D">
        <w:rPr>
          <w:rFonts w:eastAsia="標楷體"/>
        </w:rPr>
        <w:t>(</w:t>
      </w:r>
      <w:r w:rsidRPr="004D451D">
        <w:rPr>
          <w:rFonts w:eastAsia="標楷體"/>
        </w:rPr>
        <w:t>如信用評等變動或類似影響</w:t>
      </w:r>
      <w:r w:rsidRPr="004D451D">
        <w:rPr>
          <w:rFonts w:eastAsia="標楷體"/>
        </w:rPr>
        <w:t>)</w:t>
      </w:r>
      <w:r w:rsidRPr="004D451D">
        <w:rPr>
          <w:rFonts w:eastAsia="標楷體"/>
        </w:rPr>
        <w:t>造成銀行資產品質之變動。</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模型更新：因模型導入、模型範圍變更或任何為改善模型缺點之調整所造成的變動。</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方法論與政策：因為法定政策之改變導致計算方法論的改變而引起之變化，包含現行法規的新修訂與新法規之實施。</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取得與處分：因為取得或處分事業體所造成帳面規模的變動。</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匯率變動：市場波動</w:t>
      </w:r>
      <w:r w:rsidRPr="004D451D">
        <w:rPr>
          <w:rFonts w:eastAsia="標楷體"/>
        </w:rPr>
        <w:t>(</w:t>
      </w:r>
      <w:r w:rsidRPr="004D451D">
        <w:rPr>
          <w:rFonts w:eastAsia="標楷體"/>
        </w:rPr>
        <w:t>例如匯率波動</w:t>
      </w:r>
      <w:r w:rsidRPr="004D451D">
        <w:rPr>
          <w:rFonts w:eastAsia="標楷體"/>
        </w:rPr>
        <w:t>)</w:t>
      </w:r>
      <w:r w:rsidRPr="004D451D">
        <w:rPr>
          <w:rFonts w:eastAsia="標楷體"/>
        </w:rPr>
        <w:t>所引起之變動。</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其他：無法歸於任何其他種類之變動，惟銀行應該在第七列和第八列中間增加額外列，以揭露其他造成報表期間風險性資產變動的實質重大原因。</w:t>
      </w:r>
    </w:p>
    <w:p w:rsidR="00B35618" w:rsidRPr="004D451D" w:rsidRDefault="00B35618" w:rsidP="00EF4134">
      <w:pPr>
        <w:numPr>
          <w:ilvl w:val="0"/>
          <w:numId w:val="45"/>
        </w:numPr>
        <w:spacing w:line="240" w:lineRule="atLeast"/>
        <w:ind w:leftChars="150" w:left="720" w:hangingChars="150"/>
        <w:jc w:val="both"/>
        <w:rPr>
          <w:rFonts w:eastAsia="標楷體"/>
        </w:rPr>
      </w:pPr>
      <w:r w:rsidRPr="004D451D">
        <w:rPr>
          <w:rFonts w:eastAsia="標楷體"/>
        </w:rPr>
        <w:t>若變動理由同時包括兩種以上項目，可歸類為影響項目較大的選項。</w:t>
      </w:r>
    </w:p>
    <w:p w:rsidR="00CC1508" w:rsidRPr="004D451D" w:rsidRDefault="00CC1508" w:rsidP="00B35618">
      <w:pPr>
        <w:spacing w:line="240" w:lineRule="atLeast"/>
        <w:ind w:left="180" w:hangingChars="75" w:hanging="180"/>
        <w:rPr>
          <w:rFonts w:ascii="Arial" w:eastAsia="標楷體" w:hAnsi="Arial" w:cs="Arial"/>
        </w:rPr>
      </w:pPr>
    </w:p>
    <w:p w:rsidR="005A00CB" w:rsidRPr="004D451D" w:rsidRDefault="0034436A" w:rsidP="00B35618">
      <w:pPr>
        <w:widowControl/>
        <w:spacing w:line="240" w:lineRule="atLeast"/>
        <w:rPr>
          <w:rFonts w:eastAsia="標楷體"/>
          <w:sz w:val="32"/>
          <w:szCs w:val="32"/>
        </w:rPr>
      </w:pPr>
      <w:r w:rsidRPr="004D451D">
        <w:rPr>
          <w:rFonts w:ascii="Arial" w:eastAsia="標楷體" w:hAnsi="Arial" w:cs="Arial"/>
          <w:sz w:val="32"/>
          <w:szCs w:val="32"/>
        </w:rPr>
        <w:br w:type="page"/>
      </w:r>
      <w:r w:rsidR="00CE2138" w:rsidRPr="004D451D">
        <w:rPr>
          <w:rFonts w:eastAsia="標楷體"/>
          <w:b/>
          <w:sz w:val="32"/>
          <w:szCs w:val="32"/>
        </w:rPr>
        <w:t>【附表二十</w:t>
      </w:r>
      <w:r w:rsidR="006153A5" w:rsidRPr="004D451D">
        <w:rPr>
          <w:rFonts w:eastAsia="標楷體" w:hint="eastAsia"/>
          <w:b/>
          <w:sz w:val="32"/>
          <w:szCs w:val="32"/>
        </w:rPr>
        <w:t>五</w:t>
      </w:r>
      <w:r w:rsidR="005A00CB" w:rsidRPr="004D451D">
        <w:rPr>
          <w:rFonts w:eastAsia="標楷體"/>
          <w:b/>
          <w:sz w:val="32"/>
          <w:szCs w:val="32"/>
        </w:rPr>
        <w:t>】</w:t>
      </w:r>
    </w:p>
    <w:p w:rsidR="00ED470E" w:rsidRPr="004D451D" w:rsidRDefault="00DA477D" w:rsidP="00ED470E">
      <w:pPr>
        <w:jc w:val="center"/>
        <w:rPr>
          <w:rFonts w:eastAsia="標楷體"/>
          <w:b/>
          <w:bCs/>
          <w:sz w:val="32"/>
          <w:szCs w:val="32"/>
        </w:rPr>
      </w:pPr>
      <w:r w:rsidRPr="004D451D">
        <w:rPr>
          <w:rFonts w:eastAsia="標楷體"/>
          <w:b/>
          <w:bCs/>
          <w:sz w:val="32"/>
          <w:szCs w:val="32"/>
        </w:rPr>
        <w:t>各暴險類型</w:t>
      </w:r>
      <w:r w:rsidR="005A00CB" w:rsidRPr="004D451D">
        <w:rPr>
          <w:rFonts w:eastAsia="標楷體"/>
          <w:b/>
          <w:bCs/>
          <w:sz w:val="32"/>
          <w:szCs w:val="32"/>
        </w:rPr>
        <w:t>違約機率之回顧測試</w:t>
      </w:r>
      <w:r w:rsidR="00F3145A" w:rsidRPr="004D451D">
        <w:rPr>
          <w:rFonts w:hint="eastAsia"/>
          <w:b/>
        </w:rPr>
        <w:t>─</w:t>
      </w:r>
      <w:r w:rsidR="00F3145A" w:rsidRPr="004D451D">
        <w:rPr>
          <w:rFonts w:eastAsia="標楷體"/>
          <w:b/>
          <w:bCs/>
          <w:sz w:val="32"/>
          <w:szCs w:val="32"/>
        </w:rPr>
        <w:t>內部評等法</w:t>
      </w:r>
      <w:r w:rsidR="00ED470E" w:rsidRPr="004D451D">
        <w:rPr>
          <w:rFonts w:eastAsia="標楷體" w:hint="eastAsia"/>
          <w:b/>
          <w:bCs/>
          <w:sz w:val="32"/>
          <w:szCs w:val="32"/>
        </w:rPr>
        <w:t>-</w:t>
      </w:r>
      <w:r w:rsidR="00ED470E" w:rsidRPr="004D451D">
        <w:rPr>
          <w:rFonts w:eastAsia="標楷體" w:hint="eastAsia"/>
          <w:b/>
          <w:bCs/>
          <w:sz w:val="32"/>
          <w:szCs w:val="32"/>
        </w:rPr>
        <w:t>不適用</w:t>
      </w:r>
    </w:p>
    <w:p w:rsidR="00251C61" w:rsidRPr="004D451D" w:rsidRDefault="00ED470E" w:rsidP="009A1E6E">
      <w:pPr>
        <w:jc w:val="right"/>
        <w:rPr>
          <w:rFonts w:eastAsia="標楷體"/>
          <w:b/>
          <w:bCs/>
        </w:rPr>
      </w:pPr>
      <w:r w:rsidRPr="004D451D">
        <w:rPr>
          <w:rFonts w:eastAsia="標楷體" w:hint="eastAsia"/>
          <w:bCs/>
          <w:sz w:val="32"/>
          <w:szCs w:val="32"/>
        </w:rPr>
        <w:t>10</w:t>
      </w:r>
      <w:r w:rsidR="00FF52AD" w:rsidRPr="004D451D">
        <w:rPr>
          <w:rFonts w:eastAsia="標楷體" w:hint="eastAsia"/>
          <w:bCs/>
          <w:sz w:val="32"/>
          <w:szCs w:val="32"/>
        </w:rPr>
        <w:t>7</w:t>
      </w:r>
      <w:r w:rsidR="005A00CB" w:rsidRPr="004D451D">
        <w:rPr>
          <w:rFonts w:eastAsia="標楷體"/>
          <w:bCs/>
          <w:sz w:val="32"/>
          <w:szCs w:val="32"/>
        </w:rPr>
        <w:t>年</w:t>
      </w:r>
      <w:r w:rsidR="00FF52AD" w:rsidRPr="004D451D">
        <w:rPr>
          <w:rFonts w:eastAsia="標楷體" w:hint="eastAsia"/>
          <w:bCs/>
          <w:sz w:val="32"/>
          <w:szCs w:val="32"/>
        </w:rPr>
        <w:t>06</w:t>
      </w:r>
      <w:r w:rsidR="005A00CB" w:rsidRPr="004D451D">
        <w:rPr>
          <w:rFonts w:eastAsia="標楷體"/>
          <w:bCs/>
          <w:sz w:val="32"/>
          <w:szCs w:val="32"/>
        </w:rPr>
        <w:t>月</w:t>
      </w:r>
      <w:r w:rsidRPr="004D451D">
        <w:rPr>
          <w:rFonts w:eastAsia="標楷體" w:hint="eastAsia"/>
          <w:bCs/>
          <w:sz w:val="32"/>
          <w:szCs w:val="32"/>
        </w:rPr>
        <w:t>3</w:t>
      </w:r>
      <w:r w:rsidR="00FF52AD" w:rsidRPr="004D451D">
        <w:rPr>
          <w:rFonts w:eastAsia="標楷體" w:hint="eastAsia"/>
          <w:bCs/>
          <w:sz w:val="32"/>
          <w:szCs w:val="32"/>
        </w:rPr>
        <w:t>0</w:t>
      </w:r>
      <w:r w:rsidR="005A00CB" w:rsidRPr="004D451D">
        <w:rPr>
          <w:rFonts w:eastAsia="標楷體"/>
          <w:bCs/>
          <w:sz w:val="32"/>
          <w:szCs w:val="32"/>
        </w:rPr>
        <w:t>日</w:t>
      </w:r>
      <w:r w:rsidR="009A1E6E" w:rsidRPr="004D451D">
        <w:rPr>
          <w:rFonts w:eastAsia="標楷體" w:hint="eastAsia"/>
          <w:bCs/>
          <w:sz w:val="32"/>
          <w:szCs w:val="32"/>
        </w:rPr>
        <w:t xml:space="preserve">　　　　　　</w:t>
      </w:r>
      <w:r w:rsidR="00117055" w:rsidRPr="004D451D">
        <w:rPr>
          <w:rFonts w:eastAsia="標楷體" w:hint="eastAsia"/>
          <w:bCs/>
          <w:szCs w:val="32"/>
        </w:rPr>
        <w:t>（</w:t>
      </w:r>
      <w:r w:rsidR="009A1E6E" w:rsidRPr="004D451D">
        <w:rPr>
          <w:rFonts w:eastAsia="標楷體"/>
          <w:bCs/>
        </w:rPr>
        <w:t>單位</w:t>
      </w:r>
      <w:r w:rsidR="009A1E6E" w:rsidRPr="004D451D">
        <w:rPr>
          <w:rFonts w:eastAsia="標楷體" w:hint="eastAsia"/>
          <w:bCs/>
        </w:rPr>
        <w:t>：</w:t>
      </w:r>
      <w:r w:rsidR="009A1E6E" w:rsidRPr="004D451D">
        <w:rPr>
          <w:rFonts w:eastAsia="標楷體"/>
          <w:bCs/>
        </w:rPr>
        <w:t>%</w:t>
      </w:r>
      <w:r w:rsidR="009A1E6E" w:rsidRPr="004D451D">
        <w:rPr>
          <w:rFonts w:eastAsia="標楷體" w:hint="eastAsia"/>
          <w:bCs/>
        </w:rPr>
        <w:t>；</w:t>
      </w:r>
      <w:r w:rsidR="009A1E6E" w:rsidRPr="004D451D">
        <w:rPr>
          <w:rFonts w:eastAsia="標楷體"/>
          <w:bCs/>
        </w:rPr>
        <w:t>人</w:t>
      </w:r>
      <w:r w:rsidR="00117055" w:rsidRPr="004D451D">
        <w:rPr>
          <w:rFonts w:eastAsia="標楷體" w:hint="eastAsia"/>
          <w:bCs/>
        </w:rPr>
        <w:t>）</w:t>
      </w:r>
    </w:p>
    <w:tbl>
      <w:tblPr>
        <w:tblW w:w="1020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93"/>
        <w:gridCol w:w="992"/>
        <w:gridCol w:w="728"/>
        <w:gridCol w:w="1275"/>
        <w:gridCol w:w="851"/>
        <w:gridCol w:w="850"/>
        <w:gridCol w:w="1217"/>
        <w:gridCol w:w="1276"/>
        <w:gridCol w:w="1053"/>
      </w:tblGrid>
      <w:tr w:rsidR="004D451D" w:rsidRPr="004D451D" w:rsidTr="00087571">
        <w:trPr>
          <w:trHeight w:val="528"/>
          <w:jc w:val="center"/>
        </w:trPr>
        <w:tc>
          <w:tcPr>
            <w:tcW w:w="974" w:type="dxa"/>
            <w:vMerge w:val="restart"/>
            <w:shd w:val="clear" w:color="auto" w:fill="auto"/>
            <w:vAlign w:val="center"/>
          </w:tcPr>
          <w:p w:rsidR="00AC556F" w:rsidRPr="004D451D" w:rsidRDefault="00CB1753" w:rsidP="00087571">
            <w:pPr>
              <w:spacing w:line="240" w:lineRule="atLeast"/>
              <w:jc w:val="both"/>
              <w:rPr>
                <w:rFonts w:eastAsia="標楷體"/>
              </w:rPr>
            </w:pPr>
            <w:r w:rsidRPr="004D451D">
              <w:rPr>
                <w:rFonts w:eastAsia="標楷體"/>
              </w:rPr>
              <w:t>暴險類型</w:t>
            </w:r>
            <w:r w:rsidR="00AC556F" w:rsidRPr="004D451D">
              <w:rPr>
                <w:rFonts w:eastAsia="標楷體"/>
              </w:rPr>
              <w:t>X</w:t>
            </w:r>
          </w:p>
        </w:tc>
        <w:tc>
          <w:tcPr>
            <w:tcW w:w="993"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違約機率範圍</w:t>
            </w:r>
          </w:p>
        </w:tc>
        <w:tc>
          <w:tcPr>
            <w:tcW w:w="992"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約當外部評等等級</w:t>
            </w:r>
          </w:p>
        </w:tc>
        <w:tc>
          <w:tcPr>
            <w:tcW w:w="728"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平均違約機率</w:t>
            </w:r>
          </w:p>
        </w:tc>
        <w:tc>
          <w:tcPr>
            <w:tcW w:w="1275"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以</w:t>
            </w:r>
            <w:r w:rsidR="00641EFA" w:rsidRPr="004D451D">
              <w:rPr>
                <w:rFonts w:eastAsia="標楷體" w:hint="eastAsia"/>
              </w:rPr>
              <w:t>借款</w:t>
            </w:r>
            <w:r w:rsidRPr="004D451D">
              <w:rPr>
                <w:rFonts w:eastAsia="標楷體"/>
              </w:rPr>
              <w:t>人計算違約機率之算術平均數</w:t>
            </w:r>
          </w:p>
        </w:tc>
        <w:tc>
          <w:tcPr>
            <w:tcW w:w="1701" w:type="dxa"/>
            <w:gridSpan w:val="2"/>
            <w:shd w:val="clear" w:color="auto" w:fill="auto"/>
            <w:vAlign w:val="center"/>
          </w:tcPr>
          <w:p w:rsidR="00AC556F" w:rsidRPr="004D451D" w:rsidRDefault="00AF2A37" w:rsidP="00087571">
            <w:pPr>
              <w:spacing w:line="240" w:lineRule="atLeast"/>
              <w:jc w:val="both"/>
              <w:rPr>
                <w:rFonts w:eastAsia="標楷體"/>
              </w:rPr>
            </w:pPr>
            <w:r w:rsidRPr="004D451D">
              <w:rPr>
                <w:rFonts w:eastAsia="標楷體" w:hint="eastAsia"/>
              </w:rPr>
              <w:t>借款人之人數</w:t>
            </w:r>
          </w:p>
        </w:tc>
        <w:tc>
          <w:tcPr>
            <w:tcW w:w="1217"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本年度違約之借款人</w:t>
            </w:r>
          </w:p>
        </w:tc>
        <w:tc>
          <w:tcPr>
            <w:tcW w:w="1276"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本年度違約借款人</w:t>
            </w:r>
            <w:r w:rsidR="0034436A" w:rsidRPr="004D451D">
              <w:rPr>
                <w:rFonts w:eastAsia="標楷體"/>
              </w:rPr>
              <w:t>中屬新撥款者</w:t>
            </w:r>
          </w:p>
        </w:tc>
        <w:tc>
          <w:tcPr>
            <w:tcW w:w="1053" w:type="dxa"/>
            <w:vMerge w:val="restart"/>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平均歷史年度違約率</w:t>
            </w:r>
          </w:p>
        </w:tc>
      </w:tr>
      <w:tr w:rsidR="004D451D" w:rsidRPr="004D451D" w:rsidTr="00087571">
        <w:trPr>
          <w:trHeight w:val="1117"/>
          <w:jc w:val="center"/>
        </w:trPr>
        <w:tc>
          <w:tcPr>
            <w:tcW w:w="974" w:type="dxa"/>
            <w:vMerge/>
            <w:shd w:val="clear" w:color="auto" w:fill="auto"/>
            <w:vAlign w:val="center"/>
          </w:tcPr>
          <w:p w:rsidR="00AC556F" w:rsidRPr="004D451D" w:rsidRDefault="00AC556F" w:rsidP="00087571">
            <w:pPr>
              <w:spacing w:line="240" w:lineRule="atLeast"/>
              <w:jc w:val="both"/>
              <w:rPr>
                <w:rFonts w:eastAsia="標楷體"/>
              </w:rPr>
            </w:pPr>
          </w:p>
        </w:tc>
        <w:tc>
          <w:tcPr>
            <w:tcW w:w="993" w:type="dxa"/>
            <w:vMerge/>
            <w:shd w:val="clear" w:color="auto" w:fill="auto"/>
            <w:vAlign w:val="center"/>
          </w:tcPr>
          <w:p w:rsidR="00AC556F" w:rsidRPr="004D451D" w:rsidRDefault="00AC556F" w:rsidP="00087571">
            <w:pPr>
              <w:spacing w:line="240" w:lineRule="atLeast"/>
              <w:jc w:val="both"/>
              <w:rPr>
                <w:rFonts w:eastAsia="標楷體"/>
              </w:rPr>
            </w:pPr>
          </w:p>
        </w:tc>
        <w:tc>
          <w:tcPr>
            <w:tcW w:w="992" w:type="dxa"/>
            <w:vMerge/>
            <w:shd w:val="clear" w:color="auto" w:fill="auto"/>
            <w:vAlign w:val="center"/>
          </w:tcPr>
          <w:p w:rsidR="00AC556F" w:rsidRPr="004D451D" w:rsidRDefault="00AC556F" w:rsidP="00087571">
            <w:pPr>
              <w:spacing w:line="240" w:lineRule="atLeast"/>
              <w:jc w:val="both"/>
              <w:rPr>
                <w:rFonts w:eastAsia="標楷體"/>
              </w:rPr>
            </w:pPr>
          </w:p>
        </w:tc>
        <w:tc>
          <w:tcPr>
            <w:tcW w:w="728" w:type="dxa"/>
            <w:vMerge/>
            <w:shd w:val="clear" w:color="auto" w:fill="auto"/>
            <w:vAlign w:val="center"/>
          </w:tcPr>
          <w:p w:rsidR="00AC556F" w:rsidRPr="004D451D" w:rsidRDefault="00AC556F" w:rsidP="00087571">
            <w:pPr>
              <w:spacing w:line="240" w:lineRule="atLeast"/>
              <w:jc w:val="both"/>
              <w:rPr>
                <w:rFonts w:eastAsia="標楷體"/>
              </w:rPr>
            </w:pPr>
          </w:p>
        </w:tc>
        <w:tc>
          <w:tcPr>
            <w:tcW w:w="1275" w:type="dxa"/>
            <w:vMerge/>
            <w:shd w:val="clear" w:color="auto" w:fill="auto"/>
            <w:vAlign w:val="center"/>
          </w:tcPr>
          <w:p w:rsidR="00AC556F" w:rsidRPr="004D451D" w:rsidRDefault="00AC556F" w:rsidP="00087571">
            <w:pPr>
              <w:spacing w:line="240" w:lineRule="atLeast"/>
              <w:jc w:val="both"/>
              <w:rPr>
                <w:rFonts w:eastAsia="標楷體"/>
              </w:rPr>
            </w:pPr>
          </w:p>
        </w:tc>
        <w:tc>
          <w:tcPr>
            <w:tcW w:w="851" w:type="dxa"/>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前一年底</w:t>
            </w:r>
          </w:p>
        </w:tc>
        <w:tc>
          <w:tcPr>
            <w:tcW w:w="850" w:type="dxa"/>
            <w:shd w:val="clear" w:color="auto" w:fill="auto"/>
            <w:vAlign w:val="center"/>
          </w:tcPr>
          <w:p w:rsidR="00AC556F" w:rsidRPr="004D451D" w:rsidRDefault="00AC556F" w:rsidP="00087571">
            <w:pPr>
              <w:spacing w:line="240" w:lineRule="atLeast"/>
              <w:jc w:val="both"/>
              <w:rPr>
                <w:rFonts w:eastAsia="標楷體"/>
              </w:rPr>
            </w:pPr>
            <w:r w:rsidRPr="004D451D">
              <w:rPr>
                <w:rFonts w:eastAsia="標楷體"/>
              </w:rPr>
              <w:t>本年底</w:t>
            </w:r>
          </w:p>
        </w:tc>
        <w:tc>
          <w:tcPr>
            <w:tcW w:w="1217" w:type="dxa"/>
            <w:vMerge/>
            <w:shd w:val="clear" w:color="auto" w:fill="auto"/>
            <w:vAlign w:val="center"/>
          </w:tcPr>
          <w:p w:rsidR="00AC556F" w:rsidRPr="004D451D" w:rsidRDefault="00AC556F" w:rsidP="00087571">
            <w:pPr>
              <w:spacing w:line="240" w:lineRule="atLeast"/>
              <w:jc w:val="both"/>
              <w:rPr>
                <w:rFonts w:eastAsia="標楷體"/>
              </w:rPr>
            </w:pPr>
          </w:p>
        </w:tc>
        <w:tc>
          <w:tcPr>
            <w:tcW w:w="1276" w:type="dxa"/>
            <w:vMerge/>
            <w:shd w:val="clear" w:color="auto" w:fill="auto"/>
            <w:vAlign w:val="center"/>
          </w:tcPr>
          <w:p w:rsidR="00AC556F" w:rsidRPr="004D451D" w:rsidRDefault="00AC556F" w:rsidP="00087571">
            <w:pPr>
              <w:spacing w:line="240" w:lineRule="atLeast"/>
              <w:jc w:val="both"/>
              <w:rPr>
                <w:rFonts w:eastAsia="標楷體"/>
              </w:rPr>
            </w:pPr>
          </w:p>
        </w:tc>
        <w:tc>
          <w:tcPr>
            <w:tcW w:w="1053" w:type="dxa"/>
            <w:vMerge/>
            <w:shd w:val="clear" w:color="auto" w:fill="auto"/>
            <w:vAlign w:val="center"/>
          </w:tcPr>
          <w:p w:rsidR="00AC556F" w:rsidRPr="004D451D" w:rsidRDefault="00AC556F" w:rsidP="00087571">
            <w:pPr>
              <w:spacing w:line="240" w:lineRule="atLeast"/>
              <w:jc w:val="both"/>
              <w:rPr>
                <w:rFonts w:eastAsia="標楷體"/>
              </w:rPr>
            </w:pPr>
          </w:p>
        </w:tc>
      </w:tr>
      <w:tr w:rsidR="004D451D" w:rsidRPr="004D451D" w:rsidTr="009E0A37">
        <w:trPr>
          <w:jc w:val="center"/>
        </w:trPr>
        <w:tc>
          <w:tcPr>
            <w:tcW w:w="974" w:type="dxa"/>
            <w:shd w:val="clear" w:color="auto" w:fill="auto"/>
          </w:tcPr>
          <w:p w:rsidR="003E20A0" w:rsidRPr="004D451D" w:rsidRDefault="003E20A0" w:rsidP="00D50631">
            <w:pPr>
              <w:spacing w:line="360" w:lineRule="auto"/>
              <w:rPr>
                <w:rFonts w:eastAsia="標楷體"/>
              </w:rPr>
            </w:pPr>
          </w:p>
        </w:tc>
        <w:tc>
          <w:tcPr>
            <w:tcW w:w="993" w:type="dxa"/>
            <w:shd w:val="clear" w:color="auto" w:fill="auto"/>
          </w:tcPr>
          <w:p w:rsidR="003E20A0" w:rsidRPr="004D451D" w:rsidRDefault="003E20A0" w:rsidP="00D50631">
            <w:pPr>
              <w:spacing w:line="360" w:lineRule="auto"/>
              <w:rPr>
                <w:rFonts w:eastAsia="標楷體"/>
              </w:rPr>
            </w:pPr>
          </w:p>
        </w:tc>
        <w:tc>
          <w:tcPr>
            <w:tcW w:w="992" w:type="dxa"/>
            <w:shd w:val="clear" w:color="auto" w:fill="auto"/>
          </w:tcPr>
          <w:p w:rsidR="003E20A0" w:rsidRPr="004D451D" w:rsidRDefault="003E20A0" w:rsidP="00D50631">
            <w:pPr>
              <w:spacing w:line="360" w:lineRule="auto"/>
              <w:rPr>
                <w:rFonts w:eastAsia="標楷體"/>
              </w:rPr>
            </w:pPr>
          </w:p>
        </w:tc>
        <w:tc>
          <w:tcPr>
            <w:tcW w:w="728" w:type="dxa"/>
            <w:shd w:val="clear" w:color="auto" w:fill="auto"/>
          </w:tcPr>
          <w:p w:rsidR="003E20A0" w:rsidRPr="004D451D" w:rsidRDefault="003E20A0" w:rsidP="00D50631">
            <w:pPr>
              <w:spacing w:line="360" w:lineRule="auto"/>
              <w:rPr>
                <w:rFonts w:eastAsia="標楷體"/>
              </w:rPr>
            </w:pPr>
          </w:p>
        </w:tc>
        <w:tc>
          <w:tcPr>
            <w:tcW w:w="1275" w:type="dxa"/>
            <w:shd w:val="clear" w:color="auto" w:fill="auto"/>
          </w:tcPr>
          <w:p w:rsidR="003E20A0" w:rsidRPr="004D451D" w:rsidRDefault="003E20A0" w:rsidP="00D50631">
            <w:pPr>
              <w:spacing w:line="360" w:lineRule="auto"/>
              <w:rPr>
                <w:rFonts w:eastAsia="標楷體"/>
              </w:rPr>
            </w:pPr>
          </w:p>
        </w:tc>
        <w:tc>
          <w:tcPr>
            <w:tcW w:w="851" w:type="dxa"/>
            <w:shd w:val="clear" w:color="auto" w:fill="auto"/>
          </w:tcPr>
          <w:p w:rsidR="003E20A0" w:rsidRPr="004D451D" w:rsidRDefault="003E20A0" w:rsidP="00D50631">
            <w:pPr>
              <w:spacing w:line="360" w:lineRule="auto"/>
              <w:rPr>
                <w:rFonts w:eastAsia="標楷體"/>
              </w:rPr>
            </w:pPr>
          </w:p>
        </w:tc>
        <w:tc>
          <w:tcPr>
            <w:tcW w:w="850" w:type="dxa"/>
            <w:shd w:val="clear" w:color="auto" w:fill="auto"/>
          </w:tcPr>
          <w:p w:rsidR="003E20A0" w:rsidRPr="004D451D" w:rsidRDefault="003E20A0" w:rsidP="00D50631">
            <w:pPr>
              <w:spacing w:line="360" w:lineRule="auto"/>
              <w:rPr>
                <w:rFonts w:eastAsia="標楷體"/>
              </w:rPr>
            </w:pPr>
          </w:p>
        </w:tc>
        <w:tc>
          <w:tcPr>
            <w:tcW w:w="1217" w:type="dxa"/>
            <w:shd w:val="clear" w:color="auto" w:fill="auto"/>
          </w:tcPr>
          <w:p w:rsidR="003E20A0" w:rsidRPr="004D451D" w:rsidRDefault="003E20A0" w:rsidP="00D50631">
            <w:pPr>
              <w:spacing w:line="360" w:lineRule="auto"/>
              <w:rPr>
                <w:rFonts w:eastAsia="標楷體"/>
              </w:rPr>
            </w:pPr>
          </w:p>
        </w:tc>
        <w:tc>
          <w:tcPr>
            <w:tcW w:w="1276" w:type="dxa"/>
            <w:shd w:val="clear" w:color="auto" w:fill="auto"/>
          </w:tcPr>
          <w:p w:rsidR="003E20A0" w:rsidRPr="004D451D" w:rsidRDefault="003E20A0" w:rsidP="00D50631">
            <w:pPr>
              <w:spacing w:line="360" w:lineRule="auto"/>
              <w:rPr>
                <w:rFonts w:eastAsia="標楷體"/>
              </w:rPr>
            </w:pPr>
          </w:p>
        </w:tc>
        <w:tc>
          <w:tcPr>
            <w:tcW w:w="1053" w:type="dxa"/>
            <w:shd w:val="clear" w:color="auto" w:fill="auto"/>
          </w:tcPr>
          <w:p w:rsidR="003E20A0" w:rsidRPr="004D451D" w:rsidRDefault="003E20A0" w:rsidP="00D50631">
            <w:pPr>
              <w:spacing w:line="360" w:lineRule="auto"/>
              <w:rPr>
                <w:rFonts w:eastAsia="標楷體"/>
              </w:rPr>
            </w:pPr>
          </w:p>
        </w:tc>
      </w:tr>
      <w:tr w:rsidR="004D451D" w:rsidRPr="004D451D" w:rsidTr="009E0A37">
        <w:trPr>
          <w:jc w:val="center"/>
        </w:trPr>
        <w:tc>
          <w:tcPr>
            <w:tcW w:w="974" w:type="dxa"/>
            <w:shd w:val="clear" w:color="auto" w:fill="auto"/>
          </w:tcPr>
          <w:p w:rsidR="003E20A0" w:rsidRPr="004D451D" w:rsidRDefault="003E20A0" w:rsidP="00D50631">
            <w:pPr>
              <w:spacing w:line="360" w:lineRule="auto"/>
              <w:rPr>
                <w:rFonts w:eastAsia="標楷體"/>
              </w:rPr>
            </w:pPr>
          </w:p>
        </w:tc>
        <w:tc>
          <w:tcPr>
            <w:tcW w:w="993" w:type="dxa"/>
            <w:shd w:val="clear" w:color="auto" w:fill="auto"/>
          </w:tcPr>
          <w:p w:rsidR="003E20A0" w:rsidRPr="004D451D" w:rsidRDefault="003E20A0" w:rsidP="00D50631">
            <w:pPr>
              <w:spacing w:line="360" w:lineRule="auto"/>
              <w:rPr>
                <w:rFonts w:eastAsia="標楷體"/>
              </w:rPr>
            </w:pPr>
          </w:p>
        </w:tc>
        <w:tc>
          <w:tcPr>
            <w:tcW w:w="992" w:type="dxa"/>
            <w:shd w:val="clear" w:color="auto" w:fill="auto"/>
          </w:tcPr>
          <w:p w:rsidR="003E20A0" w:rsidRPr="004D451D" w:rsidRDefault="003E20A0" w:rsidP="00D50631">
            <w:pPr>
              <w:spacing w:line="360" w:lineRule="auto"/>
              <w:rPr>
                <w:rFonts w:eastAsia="標楷體"/>
              </w:rPr>
            </w:pPr>
          </w:p>
        </w:tc>
        <w:tc>
          <w:tcPr>
            <w:tcW w:w="728" w:type="dxa"/>
            <w:shd w:val="clear" w:color="auto" w:fill="auto"/>
          </w:tcPr>
          <w:p w:rsidR="003E20A0" w:rsidRPr="004D451D" w:rsidRDefault="003E20A0" w:rsidP="00D50631">
            <w:pPr>
              <w:spacing w:line="360" w:lineRule="auto"/>
              <w:rPr>
                <w:rFonts w:eastAsia="標楷體"/>
              </w:rPr>
            </w:pPr>
          </w:p>
        </w:tc>
        <w:tc>
          <w:tcPr>
            <w:tcW w:w="1275" w:type="dxa"/>
            <w:shd w:val="clear" w:color="auto" w:fill="auto"/>
          </w:tcPr>
          <w:p w:rsidR="003E20A0" w:rsidRPr="004D451D" w:rsidRDefault="003E20A0" w:rsidP="00D50631">
            <w:pPr>
              <w:spacing w:line="360" w:lineRule="auto"/>
              <w:rPr>
                <w:rFonts w:eastAsia="標楷體"/>
              </w:rPr>
            </w:pPr>
          </w:p>
        </w:tc>
        <w:tc>
          <w:tcPr>
            <w:tcW w:w="851" w:type="dxa"/>
            <w:shd w:val="clear" w:color="auto" w:fill="auto"/>
          </w:tcPr>
          <w:p w:rsidR="003E20A0" w:rsidRPr="004D451D" w:rsidRDefault="003E20A0" w:rsidP="00D50631">
            <w:pPr>
              <w:spacing w:line="360" w:lineRule="auto"/>
              <w:rPr>
                <w:rFonts w:eastAsia="標楷體"/>
              </w:rPr>
            </w:pPr>
          </w:p>
        </w:tc>
        <w:tc>
          <w:tcPr>
            <w:tcW w:w="850" w:type="dxa"/>
            <w:shd w:val="clear" w:color="auto" w:fill="auto"/>
          </w:tcPr>
          <w:p w:rsidR="003E20A0" w:rsidRPr="004D451D" w:rsidRDefault="003E20A0" w:rsidP="00D50631">
            <w:pPr>
              <w:spacing w:line="360" w:lineRule="auto"/>
              <w:rPr>
                <w:rFonts w:eastAsia="標楷體"/>
              </w:rPr>
            </w:pPr>
          </w:p>
        </w:tc>
        <w:tc>
          <w:tcPr>
            <w:tcW w:w="1217" w:type="dxa"/>
            <w:shd w:val="clear" w:color="auto" w:fill="auto"/>
          </w:tcPr>
          <w:p w:rsidR="003E20A0" w:rsidRPr="004D451D" w:rsidRDefault="003E20A0" w:rsidP="00D50631">
            <w:pPr>
              <w:spacing w:line="360" w:lineRule="auto"/>
              <w:rPr>
                <w:rFonts w:eastAsia="標楷體"/>
              </w:rPr>
            </w:pPr>
          </w:p>
        </w:tc>
        <w:tc>
          <w:tcPr>
            <w:tcW w:w="1276" w:type="dxa"/>
            <w:shd w:val="clear" w:color="auto" w:fill="auto"/>
          </w:tcPr>
          <w:p w:rsidR="003E20A0" w:rsidRPr="004D451D" w:rsidRDefault="003E20A0" w:rsidP="00D50631">
            <w:pPr>
              <w:spacing w:line="360" w:lineRule="auto"/>
              <w:rPr>
                <w:rFonts w:eastAsia="標楷體"/>
              </w:rPr>
            </w:pPr>
          </w:p>
        </w:tc>
        <w:tc>
          <w:tcPr>
            <w:tcW w:w="1053" w:type="dxa"/>
            <w:shd w:val="clear" w:color="auto" w:fill="auto"/>
          </w:tcPr>
          <w:p w:rsidR="003E20A0" w:rsidRPr="004D451D" w:rsidRDefault="003E20A0" w:rsidP="00D50631">
            <w:pPr>
              <w:spacing w:line="360" w:lineRule="auto"/>
              <w:rPr>
                <w:rFonts w:eastAsia="標楷體"/>
              </w:rPr>
            </w:pPr>
          </w:p>
        </w:tc>
      </w:tr>
      <w:tr w:rsidR="004D451D" w:rsidRPr="004D451D" w:rsidTr="009E0A37">
        <w:trPr>
          <w:trHeight w:val="929"/>
          <w:jc w:val="center"/>
        </w:trPr>
        <w:tc>
          <w:tcPr>
            <w:tcW w:w="10209" w:type="dxa"/>
            <w:gridSpan w:val="10"/>
            <w:shd w:val="clear" w:color="auto" w:fill="auto"/>
          </w:tcPr>
          <w:p w:rsidR="00AC556F" w:rsidRPr="004D451D" w:rsidRDefault="00EC39D5" w:rsidP="00EC39D5">
            <w:pPr>
              <w:rPr>
                <w:rFonts w:eastAsia="標楷體"/>
              </w:rPr>
            </w:pPr>
            <w:r w:rsidRPr="004D451D">
              <w:rPr>
                <w:rFonts w:ascii="標楷體" w:eastAsia="標楷體" w:hAnsi="標楷體" w:hint="eastAsia"/>
              </w:rPr>
              <w:t>․</w:t>
            </w:r>
            <w:r w:rsidR="00AC556F" w:rsidRPr="004D451D">
              <w:rPr>
                <w:rFonts w:eastAsia="標楷體"/>
              </w:rPr>
              <w:t>重大變動原因及說明：</w:t>
            </w:r>
          </w:p>
          <w:p w:rsidR="00AC556F" w:rsidRPr="004D451D" w:rsidRDefault="00EC39D5" w:rsidP="00EC39D5">
            <w:pPr>
              <w:rPr>
                <w:rFonts w:eastAsia="標楷體"/>
              </w:rPr>
            </w:pPr>
            <w:r w:rsidRPr="004D451D">
              <w:rPr>
                <w:rFonts w:ascii="標楷體" w:eastAsia="標楷體" w:hAnsi="標楷體" w:hint="eastAsia"/>
              </w:rPr>
              <w:t>․</w:t>
            </w:r>
            <w:r w:rsidR="00AC556F" w:rsidRPr="004D451D">
              <w:rPr>
                <w:rFonts w:eastAsia="標楷體"/>
              </w:rPr>
              <w:t>年度中違約暴險轉正之暴險金額與借款人數量：</w:t>
            </w:r>
          </w:p>
        </w:tc>
      </w:tr>
    </w:tbl>
    <w:p w:rsidR="00142C81" w:rsidRPr="004D451D" w:rsidRDefault="00142C81" w:rsidP="00EC39D5">
      <w:pPr>
        <w:spacing w:line="240" w:lineRule="atLeast"/>
        <w:rPr>
          <w:rFonts w:eastAsia="標楷體"/>
          <w:b/>
          <w:kern w:val="0"/>
        </w:rPr>
      </w:pPr>
      <w:r w:rsidRPr="004D451D">
        <w:rPr>
          <w:rFonts w:eastAsia="標楷體"/>
          <w:b/>
          <w:kern w:val="0"/>
        </w:rPr>
        <w:t>填表說明：</w:t>
      </w:r>
    </w:p>
    <w:p w:rsidR="00142C81" w:rsidRPr="004D451D" w:rsidRDefault="00142C81" w:rsidP="00EF4134">
      <w:pPr>
        <w:numPr>
          <w:ilvl w:val="0"/>
          <w:numId w:val="46"/>
        </w:numPr>
        <w:spacing w:line="240" w:lineRule="atLeast"/>
        <w:ind w:leftChars="150" w:left="720" w:hangingChars="150"/>
        <w:jc w:val="both"/>
        <w:rPr>
          <w:rFonts w:eastAsia="標楷體"/>
        </w:rPr>
      </w:pPr>
      <w:r w:rsidRPr="004D451D">
        <w:rPr>
          <w:rFonts w:eastAsia="標楷體"/>
        </w:rPr>
        <w:t>本表更新頻率：年。</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本表採個體基礎填報。</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暴險類型</w:t>
      </w:r>
      <w:r w:rsidRPr="004D451D">
        <w:rPr>
          <w:rFonts w:eastAsia="標楷體"/>
        </w:rPr>
        <w:t>X</w:t>
      </w:r>
      <w:r w:rsidRPr="004D451D">
        <w:rPr>
          <w:rFonts w:eastAsia="標楷體"/>
        </w:rPr>
        <w:t>針對基礎內部評等法包含下列各暴險類型：</w:t>
      </w:r>
      <w:r w:rsidRPr="004D451D">
        <w:rPr>
          <w:rFonts w:eastAsia="標楷體"/>
        </w:rPr>
        <w:t>(i)</w:t>
      </w:r>
      <w:r w:rsidRPr="004D451D">
        <w:rPr>
          <w:rFonts w:eastAsia="標楷體"/>
        </w:rPr>
        <w:t>主權國家；</w:t>
      </w:r>
      <w:r w:rsidRPr="004D451D">
        <w:rPr>
          <w:rFonts w:eastAsia="標楷體"/>
        </w:rPr>
        <w:t>(ii)</w:t>
      </w:r>
      <w:r w:rsidRPr="004D451D">
        <w:rPr>
          <w:rFonts w:eastAsia="標楷體"/>
        </w:rPr>
        <w:t>銀行；</w:t>
      </w:r>
      <w:r w:rsidRPr="004D451D">
        <w:rPr>
          <w:rFonts w:eastAsia="標楷體"/>
        </w:rPr>
        <w:t>(iii)</w:t>
      </w:r>
      <w:r w:rsidRPr="004D451D">
        <w:rPr>
          <w:rFonts w:eastAsia="標楷體"/>
        </w:rPr>
        <w:t>企業；</w:t>
      </w:r>
      <w:r w:rsidRPr="004D451D">
        <w:rPr>
          <w:rFonts w:eastAsia="標楷體"/>
        </w:rPr>
        <w:t>(iv)</w:t>
      </w:r>
      <w:r w:rsidRPr="004D451D">
        <w:rPr>
          <w:rFonts w:eastAsia="標楷體"/>
        </w:rPr>
        <w:t>企業</w:t>
      </w:r>
      <w:r w:rsidRPr="004D451D">
        <w:rPr>
          <w:rFonts w:eastAsia="標楷體"/>
        </w:rPr>
        <w:t>-</w:t>
      </w:r>
      <w:r w:rsidRPr="004D451D">
        <w:rPr>
          <w:rFonts w:eastAsia="標楷體"/>
        </w:rPr>
        <w:t>特殊融資；</w:t>
      </w:r>
      <w:r w:rsidRPr="004D451D">
        <w:rPr>
          <w:rFonts w:eastAsia="標楷體"/>
        </w:rPr>
        <w:t>(v)</w:t>
      </w:r>
      <w:r w:rsidRPr="004D451D">
        <w:rPr>
          <w:rFonts w:eastAsia="標楷體"/>
        </w:rPr>
        <w:t>權益證券型</w:t>
      </w:r>
      <w:r w:rsidRPr="004D451D">
        <w:rPr>
          <w:rFonts w:eastAsia="標楷體"/>
        </w:rPr>
        <w:t>(</w:t>
      </w:r>
      <w:r w:rsidRPr="004D451D">
        <w:rPr>
          <w:rFonts w:eastAsia="標楷體"/>
        </w:rPr>
        <w:t>違約機率</w:t>
      </w:r>
      <w:r w:rsidRPr="004D451D">
        <w:rPr>
          <w:rFonts w:eastAsia="標楷體"/>
        </w:rPr>
        <w:t>/</w:t>
      </w:r>
      <w:r w:rsidRPr="004D451D">
        <w:rPr>
          <w:rFonts w:eastAsia="標楷體"/>
        </w:rPr>
        <w:t>違約損失率法</w:t>
      </w:r>
      <w:r w:rsidRPr="004D451D">
        <w:rPr>
          <w:rFonts w:eastAsia="標楷體"/>
        </w:rPr>
        <w:t>)</w:t>
      </w:r>
      <w:r w:rsidRPr="004D451D">
        <w:rPr>
          <w:rFonts w:eastAsia="標楷體"/>
        </w:rPr>
        <w:t>；</w:t>
      </w:r>
      <w:r w:rsidRPr="004D451D">
        <w:rPr>
          <w:rFonts w:eastAsia="標楷體"/>
        </w:rPr>
        <w:t>(vi)</w:t>
      </w:r>
      <w:r w:rsidRPr="004D451D">
        <w:rPr>
          <w:rFonts w:eastAsia="標楷體"/>
        </w:rPr>
        <w:t>買入應收帳款；而針對進階內部評等法各暴險類型如下：</w:t>
      </w:r>
      <w:r w:rsidRPr="004D451D">
        <w:rPr>
          <w:rFonts w:eastAsia="標楷體"/>
        </w:rPr>
        <w:t>(i)</w:t>
      </w:r>
      <w:r w:rsidRPr="004D451D">
        <w:rPr>
          <w:rFonts w:eastAsia="標楷體"/>
        </w:rPr>
        <w:t>主權國家；</w:t>
      </w:r>
      <w:r w:rsidRPr="004D451D">
        <w:rPr>
          <w:rFonts w:eastAsia="標楷體"/>
        </w:rPr>
        <w:t>(ii)</w:t>
      </w:r>
      <w:r w:rsidRPr="004D451D">
        <w:rPr>
          <w:rFonts w:eastAsia="標楷體"/>
        </w:rPr>
        <w:t>銀行；</w:t>
      </w:r>
      <w:r w:rsidRPr="004D451D">
        <w:rPr>
          <w:rFonts w:eastAsia="標楷體"/>
        </w:rPr>
        <w:t>(iii)</w:t>
      </w:r>
      <w:r w:rsidRPr="004D451D">
        <w:rPr>
          <w:rFonts w:eastAsia="標楷體"/>
        </w:rPr>
        <w:t>企業；</w:t>
      </w:r>
      <w:r w:rsidRPr="004D451D">
        <w:rPr>
          <w:rFonts w:eastAsia="標楷體"/>
        </w:rPr>
        <w:t>(iv)</w:t>
      </w:r>
      <w:r w:rsidRPr="004D451D">
        <w:rPr>
          <w:rFonts w:eastAsia="標楷體"/>
        </w:rPr>
        <w:t>企業</w:t>
      </w:r>
      <w:r w:rsidRPr="004D451D">
        <w:rPr>
          <w:rFonts w:eastAsia="標楷體"/>
        </w:rPr>
        <w:t>-</w:t>
      </w:r>
      <w:r w:rsidRPr="004D451D">
        <w:rPr>
          <w:rFonts w:eastAsia="標楷體"/>
        </w:rPr>
        <w:t>特殊融資；</w:t>
      </w:r>
      <w:r w:rsidRPr="004D451D">
        <w:rPr>
          <w:rFonts w:eastAsia="標楷體"/>
        </w:rPr>
        <w:t>(v)</w:t>
      </w:r>
      <w:r w:rsidRPr="004D451D">
        <w:rPr>
          <w:rFonts w:eastAsia="標楷體"/>
        </w:rPr>
        <w:t>權益證券型</w:t>
      </w:r>
      <w:r w:rsidRPr="004D451D">
        <w:rPr>
          <w:rFonts w:eastAsia="標楷體"/>
        </w:rPr>
        <w:t>(</w:t>
      </w:r>
      <w:r w:rsidRPr="004D451D">
        <w:rPr>
          <w:rFonts w:eastAsia="標楷體"/>
        </w:rPr>
        <w:t>違約機率</w:t>
      </w:r>
      <w:r w:rsidRPr="004D451D">
        <w:rPr>
          <w:rFonts w:eastAsia="標楷體"/>
        </w:rPr>
        <w:t>/</w:t>
      </w:r>
      <w:r w:rsidRPr="004D451D">
        <w:rPr>
          <w:rFonts w:eastAsia="標楷體"/>
        </w:rPr>
        <w:t>違約損失率法</w:t>
      </w:r>
      <w:r w:rsidRPr="004D451D">
        <w:rPr>
          <w:rFonts w:eastAsia="標楷體"/>
        </w:rPr>
        <w:t>)</w:t>
      </w:r>
      <w:r w:rsidRPr="004D451D">
        <w:rPr>
          <w:rFonts w:eastAsia="標楷體"/>
        </w:rPr>
        <w:t>；</w:t>
      </w:r>
      <w:r w:rsidRPr="004D451D">
        <w:rPr>
          <w:rFonts w:eastAsia="標楷體"/>
        </w:rPr>
        <w:t>(vi)</w:t>
      </w:r>
      <w:r w:rsidRPr="004D451D">
        <w:rPr>
          <w:rFonts w:eastAsia="標楷體"/>
        </w:rPr>
        <w:t>零售型</w:t>
      </w:r>
      <w:r w:rsidRPr="004D451D">
        <w:rPr>
          <w:rFonts w:eastAsia="標楷體"/>
        </w:rPr>
        <w:t>-</w:t>
      </w:r>
      <w:r w:rsidRPr="004D451D">
        <w:rPr>
          <w:rFonts w:eastAsia="標楷體"/>
        </w:rPr>
        <w:t>合格循環</w:t>
      </w:r>
      <w:r w:rsidRPr="004D451D">
        <w:rPr>
          <w:rFonts w:eastAsia="標楷體"/>
        </w:rPr>
        <w:t>(</w:t>
      </w:r>
      <w:r w:rsidRPr="004D451D">
        <w:rPr>
          <w:rFonts w:eastAsia="標楷體"/>
        </w:rPr>
        <w:t>合格循環零售型暴險</w:t>
      </w:r>
      <w:r w:rsidRPr="004D451D">
        <w:rPr>
          <w:rFonts w:eastAsia="標楷體"/>
        </w:rPr>
        <w:t>)</w:t>
      </w:r>
      <w:r w:rsidRPr="004D451D">
        <w:rPr>
          <w:rFonts w:eastAsia="標楷體"/>
        </w:rPr>
        <w:t>；</w:t>
      </w:r>
      <w:r w:rsidRPr="004D451D">
        <w:rPr>
          <w:rFonts w:eastAsia="標楷體"/>
        </w:rPr>
        <w:t>(vii)</w:t>
      </w:r>
      <w:r w:rsidRPr="004D451D">
        <w:rPr>
          <w:rFonts w:eastAsia="標楷體"/>
        </w:rPr>
        <w:t>零售型</w:t>
      </w:r>
      <w:r w:rsidRPr="004D451D">
        <w:rPr>
          <w:rFonts w:eastAsia="標楷體"/>
        </w:rPr>
        <w:t>-</w:t>
      </w:r>
      <w:r w:rsidRPr="004D451D">
        <w:rPr>
          <w:rFonts w:eastAsia="標楷體"/>
        </w:rPr>
        <w:t>住宅抵押暴險；</w:t>
      </w:r>
      <w:r w:rsidRPr="004D451D">
        <w:rPr>
          <w:rFonts w:eastAsia="標楷體"/>
        </w:rPr>
        <w:t>(viii)</w:t>
      </w:r>
      <w:r w:rsidRPr="004D451D">
        <w:rPr>
          <w:rFonts w:eastAsia="標楷體"/>
        </w:rPr>
        <w:t>零售型</w:t>
      </w:r>
      <w:r w:rsidRPr="004D451D">
        <w:rPr>
          <w:rFonts w:eastAsia="標楷體"/>
        </w:rPr>
        <w:t>-</w:t>
      </w:r>
      <w:r w:rsidRPr="004D451D">
        <w:rPr>
          <w:rFonts w:eastAsia="標楷體"/>
        </w:rPr>
        <w:t>中小企業公司；</w:t>
      </w:r>
      <w:r w:rsidRPr="004D451D">
        <w:rPr>
          <w:rFonts w:eastAsia="標楷體"/>
        </w:rPr>
        <w:t>(ix)</w:t>
      </w:r>
      <w:r w:rsidRPr="004D451D">
        <w:rPr>
          <w:rFonts w:eastAsia="標楷體"/>
        </w:rPr>
        <w:t>其他零售型暴險；</w:t>
      </w:r>
      <w:r w:rsidRPr="004D451D">
        <w:rPr>
          <w:rFonts w:eastAsia="標楷體"/>
        </w:rPr>
        <w:t>(x)</w:t>
      </w:r>
      <w:r w:rsidRPr="004D451D">
        <w:rPr>
          <w:rFonts w:eastAsia="標楷體"/>
        </w:rPr>
        <w:t>買入應收帳款。分別使用基礎內部評等法和進階內部評等法之暴險類型應區分兩個表格分別填報。</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約當的外部評等等級：為謹慎評估目的，必須填入於銀行所在主管機關核可之評等機構提供之評等值。</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平均違約機率：違約暴險額加權之借款人等級違約機率。</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以借款人計算違約機率之算術平均數：分組內之違約機率除以分組內之借款人人數。</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借款人之人數：須提供下列兩組資料：</w:t>
      </w:r>
      <w:r w:rsidRPr="004D451D">
        <w:rPr>
          <w:rFonts w:eastAsia="標楷體"/>
        </w:rPr>
        <w:t>(i)</w:t>
      </w:r>
      <w:r w:rsidRPr="004D451D">
        <w:rPr>
          <w:rFonts w:eastAsia="標楷體"/>
        </w:rPr>
        <w:t>前一年底之借款人人數；</w:t>
      </w:r>
      <w:r w:rsidRPr="004D451D">
        <w:rPr>
          <w:rFonts w:eastAsia="標楷體"/>
        </w:rPr>
        <w:t>(ii)</w:t>
      </w:r>
      <w:r w:rsidRPr="004D451D">
        <w:rPr>
          <w:rFonts w:eastAsia="標楷體"/>
        </w:rPr>
        <w:t>本年底報告日之借款人人數</w:t>
      </w:r>
      <w:r w:rsidRPr="004D451D">
        <w:rPr>
          <w:rFonts w:eastAsia="標楷體" w:hint="eastAsia"/>
        </w:rPr>
        <w:t>。</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本年度違約之借款人：在本年度中違約之借款人人數。</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本年度違約借款人中屬新撥款者：在前一財務年度年底並未撥款，而於最近</w:t>
      </w:r>
      <w:r w:rsidRPr="004D451D">
        <w:rPr>
          <w:rFonts w:eastAsia="標楷體"/>
        </w:rPr>
        <w:t>12</w:t>
      </w:r>
      <w:r w:rsidRPr="004D451D">
        <w:rPr>
          <w:rFonts w:eastAsia="標楷體"/>
        </w:rPr>
        <w:t>個月新發生違約之借款人人數。</w:t>
      </w:r>
    </w:p>
    <w:p w:rsidR="00EC39D5" w:rsidRPr="004D451D" w:rsidRDefault="00EC39D5" w:rsidP="00EF4134">
      <w:pPr>
        <w:numPr>
          <w:ilvl w:val="0"/>
          <w:numId w:val="46"/>
        </w:numPr>
        <w:spacing w:line="240" w:lineRule="atLeast"/>
        <w:ind w:leftChars="150" w:left="720" w:hangingChars="150"/>
        <w:jc w:val="both"/>
        <w:rPr>
          <w:rFonts w:eastAsia="標楷體"/>
        </w:rPr>
      </w:pPr>
      <w:r w:rsidRPr="004D451D">
        <w:rPr>
          <w:rFonts w:eastAsia="標楷體"/>
        </w:rPr>
        <w:t>平均歷史年度違約率：至少五年平均年度違約率</w:t>
      </w:r>
      <w:r w:rsidRPr="004D451D">
        <w:rPr>
          <w:rFonts w:eastAsia="標楷體"/>
        </w:rPr>
        <w:t>(</w:t>
      </w:r>
      <w:r w:rsidRPr="004D451D">
        <w:rPr>
          <w:rFonts w:eastAsia="標楷體"/>
        </w:rPr>
        <w:t>每年年初存在之借款人當中在該年度新增之違約借款人</w:t>
      </w:r>
      <w:r w:rsidRPr="004D451D">
        <w:rPr>
          <w:rFonts w:eastAsia="標楷體"/>
        </w:rPr>
        <w:t>/</w:t>
      </w:r>
      <w:r w:rsidRPr="004D451D">
        <w:rPr>
          <w:rFonts w:eastAsia="標楷體"/>
        </w:rPr>
        <w:t>該年度年初總借款人</w:t>
      </w:r>
      <w:r w:rsidRPr="004D451D">
        <w:rPr>
          <w:rFonts w:eastAsia="標楷體"/>
        </w:rPr>
        <w:t>)</w:t>
      </w:r>
      <w:r w:rsidRPr="004D451D">
        <w:rPr>
          <w:rFonts w:eastAsia="標楷體"/>
        </w:rPr>
        <w:t>，銀行可以使用與實際風險管理實務一致的較長的歷史期間資料。</w:t>
      </w:r>
    </w:p>
    <w:p w:rsidR="004E1675" w:rsidRPr="004D451D" w:rsidRDefault="0034436A" w:rsidP="004E1675">
      <w:pPr>
        <w:widowControl/>
        <w:rPr>
          <w:rFonts w:eastAsia="標楷體"/>
          <w:sz w:val="32"/>
          <w:szCs w:val="32"/>
        </w:rPr>
      </w:pPr>
      <w:r w:rsidRPr="004D451D">
        <w:rPr>
          <w:rFonts w:ascii="Arial" w:eastAsia="標楷體" w:hAnsi="Arial" w:cs="Arial"/>
          <w:sz w:val="32"/>
          <w:szCs w:val="32"/>
        </w:rPr>
        <w:br w:type="page"/>
      </w:r>
      <w:r w:rsidR="00E442E9" w:rsidRPr="004D451D">
        <w:rPr>
          <w:rFonts w:eastAsia="標楷體"/>
          <w:b/>
          <w:sz w:val="32"/>
          <w:szCs w:val="32"/>
        </w:rPr>
        <w:t>【附表</w:t>
      </w:r>
      <w:r w:rsidR="00B4421F" w:rsidRPr="004D451D">
        <w:rPr>
          <w:rFonts w:eastAsia="標楷體"/>
          <w:b/>
          <w:sz w:val="32"/>
          <w:szCs w:val="32"/>
        </w:rPr>
        <w:t>二十</w:t>
      </w:r>
      <w:r w:rsidR="00F605F6" w:rsidRPr="004D451D">
        <w:rPr>
          <w:rFonts w:eastAsia="標楷體" w:hint="eastAsia"/>
          <w:b/>
          <w:sz w:val="32"/>
          <w:szCs w:val="32"/>
        </w:rPr>
        <w:t>六</w:t>
      </w:r>
      <w:r w:rsidR="004E1675" w:rsidRPr="004D451D">
        <w:rPr>
          <w:rFonts w:eastAsia="標楷體"/>
          <w:b/>
          <w:sz w:val="32"/>
          <w:szCs w:val="32"/>
        </w:rPr>
        <w:t>】</w:t>
      </w:r>
    </w:p>
    <w:p w:rsidR="004E1675" w:rsidRPr="004D451D" w:rsidRDefault="004E1675" w:rsidP="004E1675">
      <w:pPr>
        <w:jc w:val="center"/>
        <w:rPr>
          <w:rFonts w:eastAsia="標楷體"/>
          <w:b/>
          <w:bCs/>
          <w:sz w:val="32"/>
          <w:szCs w:val="32"/>
        </w:rPr>
      </w:pPr>
      <w:r w:rsidRPr="004D451D">
        <w:rPr>
          <w:rFonts w:eastAsia="標楷體"/>
          <w:b/>
          <w:bCs/>
          <w:sz w:val="32"/>
          <w:szCs w:val="32"/>
        </w:rPr>
        <w:t>特殊融資及權益證券採簡易風險權數法</w:t>
      </w:r>
      <w:r w:rsidR="00F3145A" w:rsidRPr="004D451D">
        <w:rPr>
          <w:rFonts w:hint="eastAsia"/>
          <w:b/>
        </w:rPr>
        <w:t>─</w:t>
      </w:r>
      <w:r w:rsidR="00F3145A" w:rsidRPr="004D451D">
        <w:rPr>
          <w:rFonts w:eastAsia="標楷體"/>
          <w:b/>
          <w:bCs/>
          <w:sz w:val="32"/>
          <w:szCs w:val="32"/>
        </w:rPr>
        <w:t>內部評等法</w:t>
      </w:r>
      <w:r w:rsidR="00ED470E" w:rsidRPr="004D451D">
        <w:rPr>
          <w:rFonts w:eastAsia="標楷體" w:hint="eastAsia"/>
          <w:b/>
          <w:bCs/>
          <w:sz w:val="32"/>
          <w:szCs w:val="32"/>
        </w:rPr>
        <w:t>-</w:t>
      </w:r>
      <w:r w:rsidR="00ED470E" w:rsidRPr="004D451D">
        <w:rPr>
          <w:rFonts w:eastAsia="標楷體" w:hint="eastAsia"/>
          <w:b/>
          <w:bCs/>
          <w:sz w:val="32"/>
          <w:szCs w:val="32"/>
        </w:rPr>
        <w:t>不適用</w:t>
      </w:r>
    </w:p>
    <w:p w:rsidR="00F52CC4" w:rsidRPr="004D451D" w:rsidRDefault="00ED470E" w:rsidP="009A1E6E">
      <w:pPr>
        <w:jc w:val="right"/>
        <w:rPr>
          <w:rFonts w:eastAsia="標楷體"/>
          <w:b/>
          <w:bCs/>
        </w:rPr>
      </w:pPr>
      <w:r w:rsidRPr="004D451D">
        <w:rPr>
          <w:rFonts w:eastAsia="標楷體" w:hint="eastAsia"/>
          <w:bCs/>
          <w:sz w:val="32"/>
          <w:szCs w:val="32"/>
        </w:rPr>
        <w:t>10</w:t>
      </w:r>
      <w:r w:rsidR="00FF52AD" w:rsidRPr="004D451D">
        <w:rPr>
          <w:rFonts w:eastAsia="標楷體" w:hint="eastAsia"/>
          <w:bCs/>
          <w:sz w:val="32"/>
          <w:szCs w:val="32"/>
        </w:rPr>
        <w:t>7</w:t>
      </w:r>
      <w:r w:rsidR="004E1675" w:rsidRPr="004D451D">
        <w:rPr>
          <w:rFonts w:eastAsia="標楷體"/>
          <w:bCs/>
          <w:sz w:val="32"/>
          <w:szCs w:val="32"/>
        </w:rPr>
        <w:t>年</w:t>
      </w:r>
      <w:r w:rsidR="00FF52AD" w:rsidRPr="004D451D">
        <w:rPr>
          <w:rFonts w:eastAsia="標楷體" w:hint="eastAsia"/>
          <w:bCs/>
          <w:sz w:val="32"/>
          <w:szCs w:val="32"/>
        </w:rPr>
        <w:t>06</w:t>
      </w:r>
      <w:r w:rsidR="004E1675" w:rsidRPr="004D451D">
        <w:rPr>
          <w:rFonts w:eastAsia="標楷體"/>
          <w:bCs/>
          <w:sz w:val="32"/>
          <w:szCs w:val="32"/>
        </w:rPr>
        <w:t>月</w:t>
      </w:r>
      <w:r w:rsidRPr="004D451D">
        <w:rPr>
          <w:rFonts w:eastAsia="標楷體" w:hint="eastAsia"/>
          <w:bCs/>
          <w:sz w:val="32"/>
          <w:szCs w:val="32"/>
        </w:rPr>
        <w:t>3</w:t>
      </w:r>
      <w:r w:rsidR="00FF52AD" w:rsidRPr="004D451D">
        <w:rPr>
          <w:rFonts w:eastAsia="標楷體" w:hint="eastAsia"/>
          <w:bCs/>
          <w:sz w:val="32"/>
          <w:szCs w:val="32"/>
        </w:rPr>
        <w:t>0</w:t>
      </w:r>
      <w:r w:rsidR="004E1675" w:rsidRPr="004D451D">
        <w:rPr>
          <w:rFonts w:eastAsia="標楷體"/>
          <w:bCs/>
          <w:sz w:val="32"/>
          <w:szCs w:val="32"/>
        </w:rPr>
        <w:t>日</w:t>
      </w:r>
      <w:r w:rsidR="009A1E6E" w:rsidRPr="004D451D">
        <w:rPr>
          <w:rFonts w:eastAsia="標楷體" w:hint="eastAsia"/>
          <w:bCs/>
          <w:sz w:val="32"/>
          <w:szCs w:val="32"/>
        </w:rPr>
        <w:t xml:space="preserve">　　　　</w:t>
      </w:r>
      <w:r w:rsidR="00117055" w:rsidRPr="004D451D">
        <w:rPr>
          <w:rFonts w:eastAsia="標楷體" w:hint="eastAsia"/>
          <w:bCs/>
          <w:szCs w:val="32"/>
        </w:rPr>
        <w:t>（</w:t>
      </w:r>
      <w:r w:rsidR="009A1E6E" w:rsidRPr="004D451D">
        <w:rPr>
          <w:rFonts w:eastAsia="標楷體"/>
          <w:bCs/>
        </w:rPr>
        <w:t>單位：新臺幣千元</w:t>
      </w:r>
      <w:r w:rsidR="00117055" w:rsidRPr="004D451D">
        <w:rPr>
          <w:rFonts w:eastAsia="標楷體" w:hint="eastAsia"/>
          <w:bCs/>
        </w:rPr>
        <w:t>）</w:t>
      </w:r>
    </w:p>
    <w:tbl>
      <w:tblPr>
        <w:tblW w:w="10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711"/>
        <w:gridCol w:w="992"/>
        <w:gridCol w:w="697"/>
        <w:gridCol w:w="13"/>
        <w:gridCol w:w="709"/>
        <w:gridCol w:w="856"/>
        <w:gridCol w:w="705"/>
        <w:gridCol w:w="850"/>
        <w:gridCol w:w="709"/>
        <w:gridCol w:w="1416"/>
        <w:gridCol w:w="857"/>
        <w:gridCol w:w="993"/>
        <w:gridCol w:w="992"/>
      </w:tblGrid>
      <w:tr w:rsidR="004D451D" w:rsidRPr="004D451D" w:rsidTr="00E14F4C">
        <w:trPr>
          <w:trHeight w:val="386"/>
          <w:jc w:val="center"/>
        </w:trPr>
        <w:tc>
          <w:tcPr>
            <w:tcW w:w="10958" w:type="dxa"/>
            <w:gridSpan w:val="14"/>
            <w:shd w:val="clear" w:color="auto" w:fill="auto"/>
            <w:vAlign w:val="center"/>
          </w:tcPr>
          <w:p w:rsidR="00087571" w:rsidRPr="004D451D" w:rsidRDefault="00087571" w:rsidP="00087571">
            <w:pPr>
              <w:jc w:val="center"/>
              <w:rPr>
                <w:rFonts w:eastAsia="標楷體"/>
                <w:bCs/>
              </w:rPr>
            </w:pPr>
            <w:r w:rsidRPr="004D451D">
              <w:rPr>
                <w:rFonts w:eastAsia="標楷體"/>
                <w:bCs/>
              </w:rPr>
              <w:t>特殊融資</w:t>
            </w:r>
          </w:p>
        </w:tc>
      </w:tr>
      <w:tr w:rsidR="004D451D" w:rsidRPr="004D451D" w:rsidTr="00087571">
        <w:trPr>
          <w:trHeight w:val="408"/>
          <w:jc w:val="center"/>
        </w:trPr>
        <w:tc>
          <w:tcPr>
            <w:tcW w:w="10958" w:type="dxa"/>
            <w:gridSpan w:val="14"/>
            <w:shd w:val="clear" w:color="auto" w:fill="auto"/>
            <w:vAlign w:val="center"/>
          </w:tcPr>
          <w:p w:rsidR="00087571" w:rsidRPr="004D451D" w:rsidRDefault="00087571" w:rsidP="00087571">
            <w:pPr>
              <w:jc w:val="both"/>
              <w:rPr>
                <w:rFonts w:eastAsia="標楷體"/>
                <w:bCs/>
              </w:rPr>
            </w:pPr>
            <w:r w:rsidRPr="004D451D">
              <w:rPr>
                <w:rFonts w:eastAsia="標楷體"/>
                <w:bCs/>
              </w:rPr>
              <w:t>非高風險商用不動產融資</w:t>
            </w:r>
          </w:p>
        </w:tc>
      </w:tr>
      <w:tr w:rsidR="004D451D" w:rsidRPr="004D451D" w:rsidTr="00087571">
        <w:trPr>
          <w:trHeight w:val="416"/>
          <w:jc w:val="center"/>
        </w:trPr>
        <w:tc>
          <w:tcPr>
            <w:tcW w:w="1169" w:type="dxa"/>
            <w:gridSpan w:val="2"/>
            <w:vMerge w:val="restart"/>
            <w:shd w:val="clear" w:color="auto" w:fill="auto"/>
            <w:vAlign w:val="center"/>
          </w:tcPr>
          <w:p w:rsidR="00087571" w:rsidRPr="004D451D" w:rsidRDefault="00087571" w:rsidP="00087571">
            <w:pPr>
              <w:jc w:val="center"/>
              <w:rPr>
                <w:rFonts w:eastAsia="標楷體"/>
                <w:bCs/>
              </w:rPr>
            </w:pPr>
            <w:r w:rsidRPr="004D451D">
              <w:rPr>
                <w:rFonts w:eastAsia="標楷體"/>
                <w:bCs/>
              </w:rPr>
              <w:t>法定類別</w:t>
            </w:r>
          </w:p>
        </w:tc>
        <w:tc>
          <w:tcPr>
            <w:tcW w:w="992" w:type="dxa"/>
            <w:vMerge w:val="restart"/>
            <w:vAlign w:val="center"/>
          </w:tcPr>
          <w:p w:rsidR="00087571" w:rsidRPr="004D451D" w:rsidRDefault="00087571" w:rsidP="00E14F4C">
            <w:pPr>
              <w:jc w:val="center"/>
              <w:rPr>
                <w:rFonts w:eastAsia="標楷體"/>
                <w:bCs/>
              </w:rPr>
            </w:pPr>
            <w:r w:rsidRPr="004D451D">
              <w:rPr>
                <w:rFonts w:eastAsia="標楷體"/>
                <w:bCs/>
              </w:rPr>
              <w:t>剩餘期間</w:t>
            </w:r>
          </w:p>
        </w:tc>
        <w:tc>
          <w:tcPr>
            <w:tcW w:w="710" w:type="dxa"/>
            <w:gridSpan w:val="2"/>
            <w:vMerge w:val="restart"/>
            <w:vAlign w:val="center"/>
          </w:tcPr>
          <w:p w:rsidR="00087571" w:rsidRPr="004D451D" w:rsidRDefault="00087571" w:rsidP="000319A1">
            <w:pPr>
              <w:ind w:rightChars="-45" w:right="-108"/>
              <w:jc w:val="center"/>
              <w:rPr>
                <w:rFonts w:eastAsia="標楷體"/>
                <w:bCs/>
              </w:rPr>
            </w:pPr>
            <w:r w:rsidRPr="004D451D">
              <w:rPr>
                <w:rFonts w:eastAsia="標楷體"/>
                <w:bCs/>
              </w:rPr>
              <w:t>表內金額</w:t>
            </w:r>
            <w:r w:rsidR="00E14F4C" w:rsidRPr="004D451D">
              <w:rPr>
                <w:rFonts w:eastAsia="標楷體" w:hint="eastAsia"/>
                <w:bCs/>
              </w:rPr>
              <w:t>A</w:t>
            </w:r>
          </w:p>
        </w:tc>
        <w:tc>
          <w:tcPr>
            <w:tcW w:w="709" w:type="dxa"/>
            <w:vMerge w:val="restart"/>
            <w:vAlign w:val="center"/>
          </w:tcPr>
          <w:p w:rsidR="00087571" w:rsidRPr="004D451D" w:rsidRDefault="00087571" w:rsidP="00996B25">
            <w:pPr>
              <w:jc w:val="center"/>
              <w:rPr>
                <w:rFonts w:eastAsia="標楷體"/>
                <w:bCs/>
              </w:rPr>
            </w:pPr>
            <w:r w:rsidRPr="004D451D">
              <w:rPr>
                <w:rFonts w:eastAsia="標楷體"/>
                <w:bCs/>
              </w:rPr>
              <w:t>表外金額</w:t>
            </w:r>
            <w:r w:rsidR="00E14F4C" w:rsidRPr="004D451D">
              <w:rPr>
                <w:rFonts w:eastAsia="標楷體" w:hint="eastAsia"/>
                <w:bCs/>
              </w:rPr>
              <w:t>B</w:t>
            </w:r>
          </w:p>
        </w:tc>
        <w:tc>
          <w:tcPr>
            <w:tcW w:w="856" w:type="dxa"/>
            <w:vMerge w:val="restart"/>
            <w:vAlign w:val="center"/>
          </w:tcPr>
          <w:p w:rsidR="00087571" w:rsidRPr="004D451D" w:rsidRDefault="00087571" w:rsidP="00996B25">
            <w:pPr>
              <w:jc w:val="center"/>
              <w:rPr>
                <w:rFonts w:eastAsia="標楷體"/>
                <w:bCs/>
              </w:rPr>
            </w:pPr>
            <w:r w:rsidRPr="004D451D">
              <w:rPr>
                <w:rFonts w:eastAsia="標楷體"/>
                <w:bCs/>
              </w:rPr>
              <w:t>風險權數</w:t>
            </w:r>
            <w:r w:rsidR="00E14F4C" w:rsidRPr="004D451D">
              <w:rPr>
                <w:rFonts w:eastAsia="標楷體" w:hint="eastAsia"/>
                <w:bCs/>
              </w:rPr>
              <w:t>C</w:t>
            </w:r>
          </w:p>
        </w:tc>
        <w:tc>
          <w:tcPr>
            <w:tcW w:w="4537" w:type="dxa"/>
            <w:gridSpan w:val="5"/>
            <w:vAlign w:val="center"/>
          </w:tcPr>
          <w:p w:rsidR="00087571" w:rsidRPr="004D451D" w:rsidRDefault="00087571" w:rsidP="00996B25">
            <w:pPr>
              <w:jc w:val="center"/>
              <w:rPr>
                <w:rFonts w:eastAsia="標楷體"/>
                <w:bCs/>
              </w:rPr>
            </w:pPr>
            <w:r w:rsidRPr="004D451D">
              <w:rPr>
                <w:rFonts w:eastAsia="標楷體"/>
                <w:bCs/>
              </w:rPr>
              <w:t>暴險金額</w:t>
            </w:r>
            <w:r w:rsidR="00E14F4C" w:rsidRPr="004D451D">
              <w:rPr>
                <w:rFonts w:eastAsia="標楷體" w:hint="eastAsia"/>
                <w:bCs/>
              </w:rPr>
              <w:t>D</w:t>
            </w:r>
          </w:p>
        </w:tc>
        <w:tc>
          <w:tcPr>
            <w:tcW w:w="993" w:type="dxa"/>
            <w:vMerge w:val="restart"/>
            <w:vAlign w:val="center"/>
          </w:tcPr>
          <w:p w:rsidR="00087571" w:rsidRPr="004D451D" w:rsidRDefault="00087571" w:rsidP="00996B25">
            <w:pPr>
              <w:jc w:val="center"/>
              <w:rPr>
                <w:rFonts w:eastAsia="標楷體"/>
                <w:bCs/>
              </w:rPr>
            </w:pPr>
            <w:r w:rsidRPr="004D451D">
              <w:rPr>
                <w:rFonts w:eastAsia="標楷體"/>
                <w:bCs/>
              </w:rPr>
              <w:t>風險性資產</w:t>
            </w:r>
            <w:r w:rsidR="00E14F4C" w:rsidRPr="004D451D">
              <w:rPr>
                <w:rFonts w:eastAsia="標楷體" w:hint="eastAsia"/>
                <w:bCs/>
              </w:rPr>
              <w:t>E</w:t>
            </w:r>
          </w:p>
        </w:tc>
        <w:tc>
          <w:tcPr>
            <w:tcW w:w="992" w:type="dxa"/>
            <w:vMerge w:val="restart"/>
            <w:vAlign w:val="center"/>
          </w:tcPr>
          <w:p w:rsidR="00087571" w:rsidRPr="004D451D" w:rsidRDefault="00087571" w:rsidP="00996B25">
            <w:pPr>
              <w:jc w:val="center"/>
              <w:rPr>
                <w:rFonts w:eastAsia="標楷體"/>
                <w:bCs/>
              </w:rPr>
            </w:pPr>
            <w:r w:rsidRPr="004D451D">
              <w:rPr>
                <w:rFonts w:eastAsia="標楷體"/>
                <w:bCs/>
              </w:rPr>
              <w:t>預期損失</w:t>
            </w:r>
            <w:r w:rsidR="00E14F4C" w:rsidRPr="004D451D">
              <w:rPr>
                <w:rFonts w:eastAsia="標楷體" w:hint="eastAsia"/>
                <w:bCs/>
              </w:rPr>
              <w:t>F</w:t>
            </w:r>
          </w:p>
        </w:tc>
      </w:tr>
      <w:tr w:rsidR="004D451D" w:rsidRPr="004D451D" w:rsidTr="00087571">
        <w:trPr>
          <w:trHeight w:val="849"/>
          <w:jc w:val="center"/>
        </w:trPr>
        <w:tc>
          <w:tcPr>
            <w:tcW w:w="1169" w:type="dxa"/>
            <w:gridSpan w:val="2"/>
            <w:vMerge/>
            <w:shd w:val="clear" w:color="auto" w:fill="auto"/>
          </w:tcPr>
          <w:p w:rsidR="00087571" w:rsidRPr="004D451D" w:rsidRDefault="00087571" w:rsidP="00996B25">
            <w:pPr>
              <w:jc w:val="center"/>
              <w:rPr>
                <w:rFonts w:eastAsia="標楷體"/>
                <w:bCs/>
              </w:rPr>
            </w:pPr>
          </w:p>
        </w:tc>
        <w:tc>
          <w:tcPr>
            <w:tcW w:w="992" w:type="dxa"/>
            <w:vMerge/>
            <w:vAlign w:val="center"/>
          </w:tcPr>
          <w:p w:rsidR="00087571" w:rsidRPr="004D451D" w:rsidRDefault="00087571" w:rsidP="00996B25">
            <w:pPr>
              <w:jc w:val="center"/>
              <w:rPr>
                <w:rFonts w:eastAsia="標楷體"/>
                <w:bCs/>
              </w:rPr>
            </w:pPr>
          </w:p>
        </w:tc>
        <w:tc>
          <w:tcPr>
            <w:tcW w:w="710" w:type="dxa"/>
            <w:gridSpan w:val="2"/>
            <w:vMerge/>
            <w:vAlign w:val="center"/>
          </w:tcPr>
          <w:p w:rsidR="00087571" w:rsidRPr="004D451D" w:rsidRDefault="00087571" w:rsidP="00996B25">
            <w:pPr>
              <w:jc w:val="center"/>
              <w:rPr>
                <w:rFonts w:eastAsia="標楷體"/>
                <w:bCs/>
              </w:rPr>
            </w:pPr>
          </w:p>
        </w:tc>
        <w:tc>
          <w:tcPr>
            <w:tcW w:w="709" w:type="dxa"/>
            <w:vMerge/>
            <w:vAlign w:val="center"/>
          </w:tcPr>
          <w:p w:rsidR="00087571" w:rsidRPr="004D451D" w:rsidRDefault="00087571" w:rsidP="00996B25">
            <w:pPr>
              <w:jc w:val="center"/>
              <w:rPr>
                <w:rFonts w:eastAsia="標楷體"/>
                <w:bCs/>
              </w:rPr>
            </w:pPr>
          </w:p>
        </w:tc>
        <w:tc>
          <w:tcPr>
            <w:tcW w:w="856" w:type="dxa"/>
            <w:vMerge/>
            <w:vAlign w:val="center"/>
          </w:tcPr>
          <w:p w:rsidR="00087571" w:rsidRPr="004D451D" w:rsidRDefault="00087571" w:rsidP="00996B25">
            <w:pPr>
              <w:jc w:val="center"/>
              <w:rPr>
                <w:rFonts w:eastAsia="標楷體"/>
                <w:bCs/>
              </w:rPr>
            </w:pPr>
          </w:p>
        </w:tc>
        <w:tc>
          <w:tcPr>
            <w:tcW w:w="705" w:type="dxa"/>
            <w:vAlign w:val="center"/>
          </w:tcPr>
          <w:p w:rsidR="00087571" w:rsidRPr="004D451D" w:rsidRDefault="00087571" w:rsidP="00996B25">
            <w:pPr>
              <w:jc w:val="center"/>
              <w:rPr>
                <w:rFonts w:eastAsia="標楷體"/>
                <w:bCs/>
              </w:rPr>
            </w:pPr>
            <w:r w:rsidRPr="004D451D">
              <w:rPr>
                <w:rFonts w:eastAsia="標楷體"/>
                <w:bCs/>
              </w:rPr>
              <w:t>專案融資</w:t>
            </w:r>
          </w:p>
        </w:tc>
        <w:tc>
          <w:tcPr>
            <w:tcW w:w="850" w:type="dxa"/>
            <w:vAlign w:val="center"/>
          </w:tcPr>
          <w:p w:rsidR="00087571" w:rsidRPr="004D451D" w:rsidRDefault="00087571" w:rsidP="00996B25">
            <w:pPr>
              <w:jc w:val="center"/>
              <w:rPr>
                <w:rFonts w:eastAsia="標楷體"/>
                <w:bCs/>
              </w:rPr>
            </w:pPr>
            <w:r w:rsidRPr="004D451D">
              <w:rPr>
                <w:rFonts w:eastAsia="標楷體"/>
                <w:bCs/>
              </w:rPr>
              <w:t>標的融資</w:t>
            </w:r>
          </w:p>
        </w:tc>
        <w:tc>
          <w:tcPr>
            <w:tcW w:w="709" w:type="dxa"/>
            <w:vAlign w:val="center"/>
          </w:tcPr>
          <w:p w:rsidR="00087571" w:rsidRPr="004D451D" w:rsidRDefault="00087571" w:rsidP="00996B25">
            <w:pPr>
              <w:jc w:val="center"/>
              <w:rPr>
                <w:rFonts w:eastAsia="標楷體"/>
                <w:bCs/>
              </w:rPr>
            </w:pPr>
            <w:r w:rsidRPr="004D451D">
              <w:rPr>
                <w:rFonts w:eastAsia="標楷體"/>
                <w:bCs/>
              </w:rPr>
              <w:t>商品融資</w:t>
            </w:r>
          </w:p>
        </w:tc>
        <w:tc>
          <w:tcPr>
            <w:tcW w:w="1416" w:type="dxa"/>
            <w:vAlign w:val="center"/>
          </w:tcPr>
          <w:p w:rsidR="00087571" w:rsidRPr="004D451D" w:rsidRDefault="00087571" w:rsidP="00996B25">
            <w:pPr>
              <w:jc w:val="center"/>
              <w:rPr>
                <w:rFonts w:eastAsia="標楷體"/>
                <w:bCs/>
              </w:rPr>
            </w:pPr>
            <w:r w:rsidRPr="004D451D">
              <w:rPr>
                <w:rFonts w:eastAsia="標楷體"/>
                <w:bCs/>
              </w:rPr>
              <w:t>收益性商用不動產融資</w:t>
            </w:r>
          </w:p>
        </w:tc>
        <w:tc>
          <w:tcPr>
            <w:tcW w:w="857" w:type="dxa"/>
            <w:vAlign w:val="center"/>
          </w:tcPr>
          <w:p w:rsidR="00087571" w:rsidRPr="004D451D" w:rsidRDefault="00087571" w:rsidP="00996B25">
            <w:pPr>
              <w:jc w:val="center"/>
              <w:rPr>
                <w:rFonts w:eastAsia="標楷體"/>
                <w:bCs/>
              </w:rPr>
            </w:pPr>
            <w:r w:rsidRPr="004D451D">
              <w:rPr>
                <w:rFonts w:eastAsia="標楷體"/>
                <w:bCs/>
              </w:rPr>
              <w:t>總計</w:t>
            </w:r>
          </w:p>
        </w:tc>
        <w:tc>
          <w:tcPr>
            <w:tcW w:w="993" w:type="dxa"/>
            <w:vMerge/>
            <w:vAlign w:val="center"/>
          </w:tcPr>
          <w:p w:rsidR="00087571" w:rsidRPr="004D451D" w:rsidRDefault="00087571" w:rsidP="00996B25">
            <w:pPr>
              <w:jc w:val="center"/>
              <w:rPr>
                <w:rFonts w:eastAsia="標楷體"/>
                <w:bCs/>
              </w:rPr>
            </w:pPr>
          </w:p>
        </w:tc>
        <w:tc>
          <w:tcPr>
            <w:tcW w:w="992" w:type="dxa"/>
            <w:vMerge/>
            <w:vAlign w:val="center"/>
          </w:tcPr>
          <w:p w:rsidR="00087571" w:rsidRPr="004D451D" w:rsidRDefault="00087571" w:rsidP="00996B25">
            <w:pPr>
              <w:jc w:val="center"/>
              <w:rPr>
                <w:rFonts w:eastAsia="標楷體"/>
                <w:bCs/>
              </w:rPr>
            </w:pPr>
          </w:p>
        </w:tc>
      </w:tr>
      <w:tr w:rsidR="004D451D" w:rsidRPr="004D451D" w:rsidTr="00087571">
        <w:trPr>
          <w:trHeight w:val="408"/>
          <w:jc w:val="center"/>
        </w:trPr>
        <w:tc>
          <w:tcPr>
            <w:tcW w:w="458" w:type="dxa"/>
            <w:vMerge w:val="restart"/>
            <w:shd w:val="clear" w:color="auto" w:fill="auto"/>
            <w:vAlign w:val="center"/>
          </w:tcPr>
          <w:p w:rsidR="00087571" w:rsidRPr="004D451D" w:rsidRDefault="00087571" w:rsidP="00087571">
            <w:pPr>
              <w:jc w:val="center"/>
              <w:rPr>
                <w:rFonts w:eastAsia="標楷體"/>
                <w:bCs/>
              </w:rPr>
            </w:pPr>
            <w:r w:rsidRPr="004D451D">
              <w:rPr>
                <w:rFonts w:eastAsia="標楷體" w:hint="eastAsia"/>
                <w:bCs/>
              </w:rPr>
              <w:t>1</w:t>
            </w:r>
          </w:p>
        </w:tc>
        <w:tc>
          <w:tcPr>
            <w:tcW w:w="711" w:type="dxa"/>
            <w:vMerge w:val="restart"/>
            <w:vAlign w:val="center"/>
          </w:tcPr>
          <w:p w:rsidR="00087571" w:rsidRPr="004D451D" w:rsidRDefault="00087571" w:rsidP="00996B25">
            <w:pPr>
              <w:jc w:val="center"/>
              <w:rPr>
                <w:rFonts w:eastAsia="標楷體"/>
                <w:bCs/>
              </w:rPr>
            </w:pPr>
            <w:r w:rsidRPr="004D451D">
              <w:rPr>
                <w:rFonts w:eastAsia="標楷體"/>
                <w:bCs/>
              </w:rPr>
              <w:t>健全</w:t>
            </w:r>
          </w:p>
        </w:tc>
        <w:tc>
          <w:tcPr>
            <w:tcW w:w="992" w:type="dxa"/>
            <w:vAlign w:val="center"/>
          </w:tcPr>
          <w:p w:rsidR="00087571" w:rsidRPr="004D451D" w:rsidRDefault="00087571" w:rsidP="00087571">
            <w:pPr>
              <w:jc w:val="center"/>
              <w:rPr>
                <w:rFonts w:eastAsia="標楷體"/>
                <w:bCs/>
                <w:sz w:val="22"/>
                <w:szCs w:val="20"/>
              </w:rPr>
            </w:pPr>
            <w:r w:rsidRPr="004D451D">
              <w:rPr>
                <w:rFonts w:eastAsia="標楷體" w:hint="eastAsia"/>
                <w:bCs/>
                <w:sz w:val="22"/>
                <w:szCs w:val="20"/>
              </w:rPr>
              <w:t>＜</w:t>
            </w:r>
            <w:r w:rsidRPr="004D451D">
              <w:rPr>
                <w:rFonts w:eastAsia="標楷體"/>
                <w:bCs/>
                <w:sz w:val="22"/>
                <w:szCs w:val="20"/>
              </w:rPr>
              <w:t>2.5</w:t>
            </w:r>
            <w:r w:rsidRPr="004D451D">
              <w:rPr>
                <w:rFonts w:eastAsia="標楷體"/>
                <w:bCs/>
                <w:sz w:val="22"/>
                <w:szCs w:val="20"/>
              </w:rPr>
              <w:t>年</w:t>
            </w:r>
          </w:p>
        </w:tc>
        <w:tc>
          <w:tcPr>
            <w:tcW w:w="710" w:type="dxa"/>
            <w:gridSpan w:val="2"/>
            <w:vAlign w:val="center"/>
          </w:tcPr>
          <w:p w:rsidR="00087571" w:rsidRPr="004D451D" w:rsidRDefault="00087571" w:rsidP="00996B25">
            <w:pPr>
              <w:jc w:val="center"/>
              <w:rPr>
                <w:rFonts w:eastAsia="標楷體"/>
                <w:bCs/>
              </w:rPr>
            </w:pPr>
          </w:p>
        </w:tc>
        <w:tc>
          <w:tcPr>
            <w:tcW w:w="709" w:type="dxa"/>
            <w:vAlign w:val="center"/>
          </w:tcPr>
          <w:p w:rsidR="00087571" w:rsidRPr="004D451D" w:rsidRDefault="00087571" w:rsidP="00996B25">
            <w:pPr>
              <w:jc w:val="center"/>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50%</w:t>
            </w:r>
          </w:p>
        </w:tc>
        <w:tc>
          <w:tcPr>
            <w:tcW w:w="705" w:type="dxa"/>
            <w:vAlign w:val="center"/>
          </w:tcPr>
          <w:p w:rsidR="00087571" w:rsidRPr="004D451D" w:rsidRDefault="00087571" w:rsidP="00996B25">
            <w:pPr>
              <w:jc w:val="center"/>
              <w:rPr>
                <w:rFonts w:eastAsia="標楷體"/>
                <w:bCs/>
              </w:rPr>
            </w:pPr>
          </w:p>
        </w:tc>
        <w:tc>
          <w:tcPr>
            <w:tcW w:w="850" w:type="dxa"/>
            <w:vAlign w:val="center"/>
          </w:tcPr>
          <w:p w:rsidR="00087571" w:rsidRPr="004D451D" w:rsidRDefault="00087571" w:rsidP="00996B25">
            <w:pPr>
              <w:jc w:val="center"/>
              <w:rPr>
                <w:rFonts w:eastAsia="標楷體"/>
                <w:bCs/>
              </w:rPr>
            </w:pPr>
          </w:p>
        </w:tc>
        <w:tc>
          <w:tcPr>
            <w:tcW w:w="709" w:type="dxa"/>
            <w:vAlign w:val="center"/>
          </w:tcPr>
          <w:p w:rsidR="00087571" w:rsidRPr="004D451D" w:rsidRDefault="00087571" w:rsidP="00996B25">
            <w:pPr>
              <w:jc w:val="center"/>
              <w:rPr>
                <w:rFonts w:eastAsia="標楷體"/>
                <w:bCs/>
              </w:rPr>
            </w:pPr>
          </w:p>
        </w:tc>
        <w:tc>
          <w:tcPr>
            <w:tcW w:w="1416" w:type="dxa"/>
            <w:vAlign w:val="center"/>
          </w:tcPr>
          <w:p w:rsidR="00087571" w:rsidRPr="004D451D" w:rsidRDefault="00087571" w:rsidP="00996B25">
            <w:pPr>
              <w:jc w:val="center"/>
              <w:rPr>
                <w:rFonts w:eastAsia="標楷體"/>
                <w:bCs/>
              </w:rPr>
            </w:pPr>
          </w:p>
        </w:tc>
        <w:tc>
          <w:tcPr>
            <w:tcW w:w="857" w:type="dxa"/>
            <w:vAlign w:val="center"/>
          </w:tcPr>
          <w:p w:rsidR="00087571" w:rsidRPr="004D451D" w:rsidRDefault="00087571" w:rsidP="00996B25">
            <w:pPr>
              <w:jc w:val="center"/>
              <w:rPr>
                <w:rFonts w:eastAsia="標楷體"/>
                <w:bCs/>
              </w:rPr>
            </w:pPr>
          </w:p>
        </w:tc>
        <w:tc>
          <w:tcPr>
            <w:tcW w:w="993" w:type="dxa"/>
            <w:vAlign w:val="center"/>
          </w:tcPr>
          <w:p w:rsidR="00087571" w:rsidRPr="004D451D" w:rsidRDefault="00087571" w:rsidP="00996B25">
            <w:pPr>
              <w:jc w:val="center"/>
              <w:rPr>
                <w:rFonts w:eastAsia="標楷體"/>
                <w:bCs/>
              </w:rPr>
            </w:pPr>
          </w:p>
        </w:tc>
        <w:tc>
          <w:tcPr>
            <w:tcW w:w="992" w:type="dxa"/>
            <w:vAlign w:val="center"/>
          </w:tcPr>
          <w:p w:rsidR="00087571" w:rsidRPr="004D451D" w:rsidRDefault="00087571" w:rsidP="00996B25">
            <w:pPr>
              <w:jc w:val="center"/>
              <w:rPr>
                <w:rFonts w:eastAsia="標楷體"/>
                <w:bCs/>
              </w:rPr>
            </w:pPr>
          </w:p>
        </w:tc>
      </w:tr>
      <w:tr w:rsidR="004D451D" w:rsidRPr="004D451D" w:rsidTr="00087571">
        <w:trPr>
          <w:trHeight w:val="401"/>
          <w:jc w:val="center"/>
        </w:trPr>
        <w:tc>
          <w:tcPr>
            <w:tcW w:w="458" w:type="dxa"/>
            <w:vMerge/>
            <w:shd w:val="clear" w:color="auto" w:fill="auto"/>
            <w:vAlign w:val="center"/>
          </w:tcPr>
          <w:p w:rsidR="00087571" w:rsidRPr="004D451D" w:rsidRDefault="00087571" w:rsidP="00087571">
            <w:pPr>
              <w:jc w:val="center"/>
              <w:rPr>
                <w:rFonts w:eastAsia="標楷體"/>
                <w:bCs/>
              </w:rPr>
            </w:pPr>
          </w:p>
        </w:tc>
        <w:tc>
          <w:tcPr>
            <w:tcW w:w="711" w:type="dxa"/>
            <w:vMerge/>
            <w:vAlign w:val="center"/>
          </w:tcPr>
          <w:p w:rsidR="00087571" w:rsidRPr="004D451D" w:rsidRDefault="00087571" w:rsidP="00996B25">
            <w:pPr>
              <w:jc w:val="center"/>
              <w:rPr>
                <w:rFonts w:eastAsia="標楷體"/>
                <w:bCs/>
              </w:rPr>
            </w:pPr>
          </w:p>
        </w:tc>
        <w:tc>
          <w:tcPr>
            <w:tcW w:w="992" w:type="dxa"/>
            <w:vAlign w:val="center"/>
          </w:tcPr>
          <w:p w:rsidR="00087571" w:rsidRPr="004D451D" w:rsidRDefault="00087571" w:rsidP="00087571">
            <w:pPr>
              <w:jc w:val="center"/>
              <w:rPr>
                <w:rFonts w:eastAsia="標楷體"/>
                <w:bCs/>
                <w:sz w:val="22"/>
                <w:szCs w:val="20"/>
              </w:rPr>
            </w:pPr>
            <w:r w:rsidRPr="004D451D">
              <w:rPr>
                <w:rFonts w:ascii="新細明體" w:hAnsi="新細明體" w:hint="eastAsia"/>
                <w:b/>
                <w:bCs/>
                <w:kern w:val="24"/>
                <w:sz w:val="22"/>
                <w:szCs w:val="20"/>
              </w:rPr>
              <w:t>≧</w:t>
            </w:r>
            <w:r w:rsidRPr="004D451D">
              <w:rPr>
                <w:rFonts w:eastAsia="標楷體"/>
                <w:bCs/>
                <w:sz w:val="22"/>
                <w:szCs w:val="20"/>
              </w:rPr>
              <w:t>2.5</w:t>
            </w:r>
            <w:r w:rsidRPr="004D451D">
              <w:rPr>
                <w:rFonts w:eastAsia="標楷體"/>
                <w:bCs/>
                <w:sz w:val="22"/>
                <w:szCs w:val="20"/>
              </w:rPr>
              <w:t>年</w:t>
            </w: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70%</w:t>
            </w: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087571">
        <w:trPr>
          <w:trHeight w:val="420"/>
          <w:jc w:val="center"/>
        </w:trPr>
        <w:tc>
          <w:tcPr>
            <w:tcW w:w="458" w:type="dxa"/>
            <w:vMerge w:val="restart"/>
            <w:shd w:val="clear" w:color="auto" w:fill="auto"/>
            <w:vAlign w:val="center"/>
          </w:tcPr>
          <w:p w:rsidR="00087571" w:rsidRPr="004D451D" w:rsidRDefault="00087571" w:rsidP="00087571">
            <w:pPr>
              <w:jc w:val="center"/>
              <w:rPr>
                <w:rFonts w:eastAsia="標楷體"/>
                <w:bCs/>
              </w:rPr>
            </w:pPr>
            <w:r w:rsidRPr="004D451D">
              <w:rPr>
                <w:rFonts w:eastAsia="標楷體" w:hint="eastAsia"/>
                <w:bCs/>
              </w:rPr>
              <w:t>2</w:t>
            </w:r>
          </w:p>
        </w:tc>
        <w:tc>
          <w:tcPr>
            <w:tcW w:w="711" w:type="dxa"/>
            <w:vMerge w:val="restart"/>
            <w:vAlign w:val="center"/>
          </w:tcPr>
          <w:p w:rsidR="00087571" w:rsidRPr="004D451D" w:rsidRDefault="00087571" w:rsidP="00996B25">
            <w:pPr>
              <w:jc w:val="center"/>
              <w:rPr>
                <w:rFonts w:eastAsia="標楷體"/>
                <w:bCs/>
              </w:rPr>
            </w:pPr>
            <w:r w:rsidRPr="004D451D">
              <w:rPr>
                <w:rFonts w:eastAsia="標楷體"/>
                <w:bCs/>
              </w:rPr>
              <w:t>良好</w:t>
            </w:r>
          </w:p>
        </w:tc>
        <w:tc>
          <w:tcPr>
            <w:tcW w:w="992" w:type="dxa"/>
            <w:vAlign w:val="center"/>
          </w:tcPr>
          <w:p w:rsidR="00087571" w:rsidRPr="004D451D" w:rsidRDefault="00087571" w:rsidP="00087571">
            <w:pPr>
              <w:jc w:val="center"/>
              <w:rPr>
                <w:rFonts w:eastAsia="標楷體"/>
                <w:bCs/>
                <w:sz w:val="22"/>
                <w:szCs w:val="20"/>
              </w:rPr>
            </w:pPr>
            <w:r w:rsidRPr="004D451D">
              <w:rPr>
                <w:rFonts w:eastAsia="標楷體" w:hint="eastAsia"/>
                <w:bCs/>
                <w:sz w:val="22"/>
                <w:szCs w:val="20"/>
              </w:rPr>
              <w:t>＜</w:t>
            </w:r>
            <w:r w:rsidRPr="004D451D">
              <w:rPr>
                <w:rFonts w:eastAsia="標楷體"/>
                <w:bCs/>
                <w:sz w:val="22"/>
                <w:szCs w:val="20"/>
              </w:rPr>
              <w:t>2.5</w:t>
            </w:r>
            <w:r w:rsidRPr="004D451D">
              <w:rPr>
                <w:rFonts w:eastAsia="標楷體"/>
                <w:bCs/>
                <w:sz w:val="22"/>
                <w:szCs w:val="20"/>
              </w:rPr>
              <w:t>年</w:t>
            </w: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70%</w:t>
            </w: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087571">
        <w:trPr>
          <w:trHeight w:val="412"/>
          <w:jc w:val="center"/>
        </w:trPr>
        <w:tc>
          <w:tcPr>
            <w:tcW w:w="458" w:type="dxa"/>
            <w:vMerge/>
            <w:shd w:val="clear" w:color="auto" w:fill="auto"/>
            <w:vAlign w:val="center"/>
          </w:tcPr>
          <w:p w:rsidR="00087571" w:rsidRPr="004D451D" w:rsidRDefault="00087571" w:rsidP="00087571">
            <w:pPr>
              <w:jc w:val="center"/>
              <w:rPr>
                <w:rFonts w:eastAsia="標楷體"/>
                <w:bCs/>
              </w:rPr>
            </w:pPr>
          </w:p>
        </w:tc>
        <w:tc>
          <w:tcPr>
            <w:tcW w:w="711" w:type="dxa"/>
            <w:vMerge/>
            <w:vAlign w:val="center"/>
          </w:tcPr>
          <w:p w:rsidR="00087571" w:rsidRPr="004D451D" w:rsidRDefault="00087571" w:rsidP="00996B25">
            <w:pPr>
              <w:jc w:val="center"/>
              <w:rPr>
                <w:rFonts w:eastAsia="標楷體"/>
                <w:bCs/>
              </w:rPr>
            </w:pPr>
          </w:p>
        </w:tc>
        <w:tc>
          <w:tcPr>
            <w:tcW w:w="992" w:type="dxa"/>
            <w:tcBorders>
              <w:bottom w:val="single" w:sz="4" w:space="0" w:color="auto"/>
            </w:tcBorders>
            <w:vAlign w:val="center"/>
          </w:tcPr>
          <w:p w:rsidR="00087571" w:rsidRPr="004D451D" w:rsidRDefault="00087571" w:rsidP="00087571">
            <w:pPr>
              <w:jc w:val="center"/>
              <w:rPr>
                <w:rFonts w:eastAsia="標楷體"/>
                <w:bCs/>
                <w:sz w:val="22"/>
                <w:szCs w:val="20"/>
              </w:rPr>
            </w:pPr>
            <w:r w:rsidRPr="004D451D">
              <w:rPr>
                <w:rFonts w:ascii="新細明體" w:hAnsi="新細明體" w:hint="eastAsia"/>
                <w:b/>
                <w:bCs/>
                <w:kern w:val="24"/>
                <w:sz w:val="22"/>
                <w:szCs w:val="20"/>
              </w:rPr>
              <w:t>≧</w:t>
            </w:r>
            <w:r w:rsidRPr="004D451D">
              <w:rPr>
                <w:rFonts w:eastAsia="標楷體"/>
                <w:bCs/>
                <w:sz w:val="22"/>
                <w:szCs w:val="20"/>
              </w:rPr>
              <w:t>2.5</w:t>
            </w:r>
            <w:r w:rsidRPr="004D451D">
              <w:rPr>
                <w:rFonts w:eastAsia="標楷體"/>
                <w:bCs/>
                <w:sz w:val="22"/>
                <w:szCs w:val="20"/>
              </w:rPr>
              <w:t>年</w:t>
            </w: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90%</w:t>
            </w: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D616C1">
        <w:trPr>
          <w:trHeight w:val="582"/>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3</w:t>
            </w:r>
          </w:p>
        </w:tc>
        <w:tc>
          <w:tcPr>
            <w:tcW w:w="711" w:type="dxa"/>
            <w:vAlign w:val="center"/>
          </w:tcPr>
          <w:p w:rsidR="00087571" w:rsidRPr="004D451D" w:rsidRDefault="00087571" w:rsidP="00996B25">
            <w:pPr>
              <w:jc w:val="center"/>
              <w:rPr>
                <w:rFonts w:eastAsia="標楷體"/>
                <w:bCs/>
              </w:rPr>
            </w:pPr>
            <w:r w:rsidRPr="004D451D">
              <w:rPr>
                <w:rFonts w:eastAsia="標楷體"/>
                <w:bCs/>
              </w:rPr>
              <w:t>滿意</w:t>
            </w:r>
          </w:p>
        </w:tc>
        <w:tc>
          <w:tcPr>
            <w:tcW w:w="992" w:type="dxa"/>
            <w:vMerge w:val="restart"/>
            <w:shd w:val="clear" w:color="auto" w:fill="A6A6A6"/>
          </w:tcPr>
          <w:p w:rsidR="00087571" w:rsidRPr="004D451D" w:rsidRDefault="00087571" w:rsidP="00996B25">
            <w:pPr>
              <w:jc w:val="right"/>
              <w:rPr>
                <w:rFonts w:eastAsia="標楷體"/>
                <w:bCs/>
              </w:rPr>
            </w:pP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115%</w:t>
            </w: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D616C1">
        <w:trPr>
          <w:trHeight w:val="548"/>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4</w:t>
            </w:r>
          </w:p>
        </w:tc>
        <w:tc>
          <w:tcPr>
            <w:tcW w:w="711" w:type="dxa"/>
            <w:vAlign w:val="center"/>
          </w:tcPr>
          <w:p w:rsidR="00087571" w:rsidRPr="004D451D" w:rsidRDefault="00087571" w:rsidP="00996B25">
            <w:pPr>
              <w:jc w:val="center"/>
              <w:rPr>
                <w:rFonts w:eastAsia="標楷體"/>
                <w:bCs/>
              </w:rPr>
            </w:pPr>
            <w:r w:rsidRPr="004D451D">
              <w:rPr>
                <w:rFonts w:eastAsia="標楷體"/>
                <w:bCs/>
              </w:rPr>
              <w:t>略弱</w:t>
            </w:r>
          </w:p>
        </w:tc>
        <w:tc>
          <w:tcPr>
            <w:tcW w:w="992" w:type="dxa"/>
            <w:vMerge/>
            <w:shd w:val="clear" w:color="auto" w:fill="A6A6A6"/>
          </w:tcPr>
          <w:p w:rsidR="00087571" w:rsidRPr="004D451D" w:rsidRDefault="00087571" w:rsidP="00996B25">
            <w:pPr>
              <w:jc w:val="right"/>
              <w:rPr>
                <w:rFonts w:eastAsia="標楷體"/>
                <w:bCs/>
              </w:rPr>
            </w:pP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250%</w:t>
            </w: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D616C1">
        <w:trPr>
          <w:trHeight w:val="556"/>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5</w:t>
            </w:r>
          </w:p>
        </w:tc>
        <w:tc>
          <w:tcPr>
            <w:tcW w:w="711" w:type="dxa"/>
            <w:vAlign w:val="center"/>
          </w:tcPr>
          <w:p w:rsidR="00087571" w:rsidRPr="004D451D" w:rsidRDefault="00087571" w:rsidP="00996B25">
            <w:pPr>
              <w:jc w:val="center"/>
              <w:rPr>
                <w:rFonts w:eastAsia="標楷體"/>
                <w:bCs/>
              </w:rPr>
            </w:pPr>
            <w:r w:rsidRPr="004D451D">
              <w:rPr>
                <w:rFonts w:eastAsia="標楷體"/>
                <w:bCs/>
              </w:rPr>
              <w:t>違約</w:t>
            </w:r>
          </w:p>
        </w:tc>
        <w:tc>
          <w:tcPr>
            <w:tcW w:w="992" w:type="dxa"/>
            <w:vMerge/>
            <w:shd w:val="clear" w:color="auto" w:fill="A6A6A6"/>
          </w:tcPr>
          <w:p w:rsidR="00087571" w:rsidRPr="004D451D" w:rsidRDefault="00087571" w:rsidP="00996B25">
            <w:pPr>
              <w:jc w:val="right"/>
              <w:rPr>
                <w:rFonts w:eastAsia="標楷體"/>
                <w:bCs/>
              </w:rPr>
            </w:pP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w:t>
            </w: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D616C1">
        <w:trPr>
          <w:trHeight w:val="564"/>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6</w:t>
            </w:r>
          </w:p>
        </w:tc>
        <w:tc>
          <w:tcPr>
            <w:tcW w:w="711" w:type="dxa"/>
            <w:vAlign w:val="center"/>
          </w:tcPr>
          <w:p w:rsidR="00087571" w:rsidRPr="004D451D" w:rsidRDefault="00087571" w:rsidP="00996B25">
            <w:pPr>
              <w:jc w:val="center"/>
              <w:rPr>
                <w:rFonts w:eastAsia="標楷體"/>
                <w:bCs/>
              </w:rPr>
            </w:pPr>
            <w:r w:rsidRPr="004D451D">
              <w:rPr>
                <w:rFonts w:eastAsia="標楷體"/>
                <w:bCs/>
              </w:rPr>
              <w:t>總計</w:t>
            </w:r>
          </w:p>
        </w:tc>
        <w:tc>
          <w:tcPr>
            <w:tcW w:w="992" w:type="dxa"/>
            <w:vMerge/>
            <w:shd w:val="clear" w:color="auto" w:fill="A6A6A6"/>
          </w:tcPr>
          <w:p w:rsidR="00087571" w:rsidRPr="004D451D" w:rsidRDefault="00087571" w:rsidP="00996B25">
            <w:pPr>
              <w:jc w:val="right"/>
              <w:rPr>
                <w:rFonts w:eastAsia="標楷體"/>
                <w:bCs/>
              </w:rPr>
            </w:pPr>
          </w:p>
        </w:tc>
        <w:tc>
          <w:tcPr>
            <w:tcW w:w="710" w:type="dxa"/>
            <w:gridSpan w:val="2"/>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856" w:type="dxa"/>
          </w:tcPr>
          <w:p w:rsidR="00087571" w:rsidRPr="004D451D" w:rsidRDefault="00087571" w:rsidP="00996B25">
            <w:pPr>
              <w:jc w:val="right"/>
              <w:rPr>
                <w:rFonts w:eastAsia="標楷體"/>
                <w:bCs/>
              </w:rPr>
            </w:pPr>
          </w:p>
        </w:tc>
        <w:tc>
          <w:tcPr>
            <w:tcW w:w="705" w:type="dxa"/>
          </w:tcPr>
          <w:p w:rsidR="00087571" w:rsidRPr="004D451D" w:rsidRDefault="00087571" w:rsidP="00996B25">
            <w:pPr>
              <w:jc w:val="right"/>
              <w:rPr>
                <w:rFonts w:eastAsia="標楷體"/>
                <w:bCs/>
              </w:rPr>
            </w:pPr>
          </w:p>
        </w:tc>
        <w:tc>
          <w:tcPr>
            <w:tcW w:w="850" w:type="dxa"/>
          </w:tcPr>
          <w:p w:rsidR="00087571" w:rsidRPr="004D451D" w:rsidRDefault="00087571" w:rsidP="00996B25">
            <w:pPr>
              <w:jc w:val="right"/>
              <w:rPr>
                <w:rFonts w:eastAsia="標楷體"/>
                <w:bCs/>
              </w:rPr>
            </w:pPr>
          </w:p>
        </w:tc>
        <w:tc>
          <w:tcPr>
            <w:tcW w:w="709" w:type="dxa"/>
          </w:tcPr>
          <w:p w:rsidR="00087571" w:rsidRPr="004D451D" w:rsidRDefault="00087571" w:rsidP="00996B25">
            <w:pPr>
              <w:jc w:val="right"/>
              <w:rPr>
                <w:rFonts w:eastAsia="標楷體"/>
                <w:bCs/>
              </w:rPr>
            </w:pPr>
          </w:p>
        </w:tc>
        <w:tc>
          <w:tcPr>
            <w:tcW w:w="1416" w:type="dxa"/>
          </w:tcPr>
          <w:p w:rsidR="00087571" w:rsidRPr="004D451D" w:rsidRDefault="00087571" w:rsidP="00996B25">
            <w:pPr>
              <w:jc w:val="right"/>
              <w:rPr>
                <w:rFonts w:eastAsia="標楷體"/>
                <w:bCs/>
              </w:rPr>
            </w:pPr>
          </w:p>
        </w:tc>
        <w:tc>
          <w:tcPr>
            <w:tcW w:w="857" w:type="dxa"/>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087571">
        <w:trPr>
          <w:trHeight w:val="407"/>
          <w:jc w:val="center"/>
        </w:trPr>
        <w:tc>
          <w:tcPr>
            <w:tcW w:w="10958" w:type="dxa"/>
            <w:gridSpan w:val="14"/>
            <w:shd w:val="clear" w:color="auto" w:fill="auto"/>
            <w:vAlign w:val="center"/>
          </w:tcPr>
          <w:p w:rsidR="00087571" w:rsidRPr="004D451D" w:rsidRDefault="00087571" w:rsidP="00087571">
            <w:pPr>
              <w:jc w:val="both"/>
              <w:rPr>
                <w:rFonts w:eastAsia="標楷體"/>
              </w:rPr>
            </w:pPr>
            <w:r w:rsidRPr="004D451D">
              <w:rPr>
                <w:rFonts w:eastAsia="標楷體"/>
                <w:bCs/>
              </w:rPr>
              <w:t>高風險商用不動產融資</w:t>
            </w:r>
          </w:p>
        </w:tc>
      </w:tr>
      <w:tr w:rsidR="004D451D" w:rsidRPr="004D451D" w:rsidTr="00087571">
        <w:trPr>
          <w:trHeight w:val="983"/>
          <w:jc w:val="center"/>
        </w:trPr>
        <w:tc>
          <w:tcPr>
            <w:tcW w:w="1169" w:type="dxa"/>
            <w:gridSpan w:val="2"/>
            <w:shd w:val="clear" w:color="auto" w:fill="auto"/>
            <w:vAlign w:val="center"/>
          </w:tcPr>
          <w:p w:rsidR="00087571" w:rsidRPr="004D451D" w:rsidRDefault="00087571" w:rsidP="00087571">
            <w:pPr>
              <w:jc w:val="center"/>
              <w:rPr>
                <w:rFonts w:eastAsia="標楷體"/>
                <w:bCs/>
              </w:rPr>
            </w:pPr>
            <w:r w:rsidRPr="004D451D">
              <w:rPr>
                <w:rFonts w:eastAsia="標楷體"/>
                <w:bCs/>
              </w:rPr>
              <w:t>法定類別</w:t>
            </w:r>
          </w:p>
        </w:tc>
        <w:tc>
          <w:tcPr>
            <w:tcW w:w="992" w:type="dxa"/>
            <w:vAlign w:val="center"/>
          </w:tcPr>
          <w:p w:rsidR="00087571" w:rsidRPr="004D451D" w:rsidRDefault="00087571" w:rsidP="00E14F4C">
            <w:pPr>
              <w:jc w:val="center"/>
              <w:rPr>
                <w:rFonts w:eastAsia="標楷體"/>
                <w:bCs/>
              </w:rPr>
            </w:pPr>
            <w:r w:rsidRPr="004D451D">
              <w:rPr>
                <w:rFonts w:eastAsia="標楷體"/>
                <w:bCs/>
              </w:rPr>
              <w:t>剩餘期間</w:t>
            </w:r>
          </w:p>
        </w:tc>
        <w:tc>
          <w:tcPr>
            <w:tcW w:w="697" w:type="dxa"/>
            <w:vAlign w:val="center"/>
          </w:tcPr>
          <w:p w:rsidR="00087571" w:rsidRPr="004D451D" w:rsidRDefault="00087571" w:rsidP="00996B25">
            <w:pPr>
              <w:jc w:val="center"/>
              <w:rPr>
                <w:rFonts w:eastAsia="標楷體"/>
                <w:bCs/>
              </w:rPr>
            </w:pPr>
            <w:r w:rsidRPr="004D451D">
              <w:rPr>
                <w:rFonts w:eastAsia="標楷體"/>
                <w:bCs/>
              </w:rPr>
              <w:t>表內金額</w:t>
            </w:r>
            <w:r w:rsidR="00E14F4C" w:rsidRPr="004D451D">
              <w:rPr>
                <w:rFonts w:eastAsia="標楷體" w:hint="eastAsia"/>
                <w:bCs/>
              </w:rPr>
              <w:t>A</w:t>
            </w:r>
          </w:p>
        </w:tc>
        <w:tc>
          <w:tcPr>
            <w:tcW w:w="722" w:type="dxa"/>
            <w:gridSpan w:val="2"/>
            <w:vAlign w:val="center"/>
          </w:tcPr>
          <w:p w:rsidR="00087571" w:rsidRPr="004D451D" w:rsidRDefault="00087571" w:rsidP="00996B25">
            <w:pPr>
              <w:jc w:val="center"/>
              <w:rPr>
                <w:rFonts w:eastAsia="標楷體"/>
                <w:bCs/>
              </w:rPr>
            </w:pPr>
            <w:r w:rsidRPr="004D451D">
              <w:rPr>
                <w:rFonts w:eastAsia="標楷體"/>
                <w:bCs/>
              </w:rPr>
              <w:t>表外金額</w:t>
            </w:r>
            <w:r w:rsidR="00E14F4C" w:rsidRPr="004D451D">
              <w:rPr>
                <w:rFonts w:eastAsia="標楷體" w:hint="eastAsia"/>
                <w:bCs/>
              </w:rPr>
              <w:t>B</w:t>
            </w:r>
          </w:p>
        </w:tc>
        <w:tc>
          <w:tcPr>
            <w:tcW w:w="856" w:type="dxa"/>
            <w:vAlign w:val="center"/>
          </w:tcPr>
          <w:p w:rsidR="00087571" w:rsidRPr="004D451D" w:rsidRDefault="00087571" w:rsidP="00996B25">
            <w:pPr>
              <w:jc w:val="center"/>
              <w:rPr>
                <w:rFonts w:eastAsia="標楷體"/>
                <w:bCs/>
              </w:rPr>
            </w:pPr>
            <w:r w:rsidRPr="004D451D">
              <w:rPr>
                <w:rFonts w:eastAsia="標楷體"/>
                <w:bCs/>
              </w:rPr>
              <w:t>風險權數</w:t>
            </w:r>
            <w:r w:rsidR="00E14F4C" w:rsidRPr="004D451D">
              <w:rPr>
                <w:rFonts w:eastAsia="標楷體" w:hint="eastAsia"/>
                <w:bCs/>
              </w:rPr>
              <w:t>C</w:t>
            </w:r>
          </w:p>
        </w:tc>
        <w:tc>
          <w:tcPr>
            <w:tcW w:w="4537" w:type="dxa"/>
            <w:gridSpan w:val="5"/>
            <w:vAlign w:val="center"/>
          </w:tcPr>
          <w:p w:rsidR="00087571" w:rsidRPr="004D451D" w:rsidRDefault="00087571" w:rsidP="000319A1">
            <w:pPr>
              <w:spacing w:line="360" w:lineRule="auto"/>
              <w:jc w:val="center"/>
              <w:rPr>
                <w:rFonts w:eastAsia="標楷體"/>
              </w:rPr>
            </w:pPr>
            <w:r w:rsidRPr="004D451D">
              <w:rPr>
                <w:rFonts w:eastAsia="標楷體"/>
              </w:rPr>
              <w:t>暴險金額</w:t>
            </w:r>
            <w:r w:rsidR="00E14F4C" w:rsidRPr="004D451D">
              <w:rPr>
                <w:rFonts w:eastAsia="標楷體" w:hint="eastAsia"/>
              </w:rPr>
              <w:t>D</w:t>
            </w:r>
          </w:p>
        </w:tc>
        <w:tc>
          <w:tcPr>
            <w:tcW w:w="993" w:type="dxa"/>
            <w:vAlign w:val="center"/>
          </w:tcPr>
          <w:p w:rsidR="00087571" w:rsidRPr="004D451D" w:rsidRDefault="00087571" w:rsidP="002079CD">
            <w:pPr>
              <w:jc w:val="center"/>
              <w:rPr>
                <w:rFonts w:eastAsia="標楷體"/>
              </w:rPr>
            </w:pPr>
            <w:r w:rsidRPr="004D451D">
              <w:rPr>
                <w:rFonts w:eastAsia="標楷體"/>
                <w:bCs/>
              </w:rPr>
              <w:t>風險性資產</w:t>
            </w:r>
            <w:r w:rsidR="00E14F4C" w:rsidRPr="004D451D">
              <w:rPr>
                <w:rFonts w:eastAsia="標楷體" w:hint="eastAsia"/>
                <w:bCs/>
              </w:rPr>
              <w:t>E</w:t>
            </w:r>
          </w:p>
        </w:tc>
        <w:tc>
          <w:tcPr>
            <w:tcW w:w="992" w:type="dxa"/>
            <w:vAlign w:val="center"/>
          </w:tcPr>
          <w:p w:rsidR="00087571" w:rsidRPr="004D451D" w:rsidRDefault="00087571" w:rsidP="00087571">
            <w:pPr>
              <w:jc w:val="center"/>
              <w:rPr>
                <w:rFonts w:eastAsia="標楷體"/>
                <w:bCs/>
              </w:rPr>
            </w:pPr>
            <w:r w:rsidRPr="004D451D">
              <w:rPr>
                <w:rFonts w:eastAsia="標楷體"/>
                <w:bCs/>
              </w:rPr>
              <w:t>預期損失</w:t>
            </w:r>
            <w:r w:rsidR="00E14F4C" w:rsidRPr="004D451D">
              <w:rPr>
                <w:rFonts w:eastAsia="標楷體" w:hint="eastAsia"/>
                <w:bCs/>
              </w:rPr>
              <w:t>F</w:t>
            </w:r>
          </w:p>
        </w:tc>
      </w:tr>
      <w:tr w:rsidR="004D451D" w:rsidRPr="004D451D" w:rsidTr="00087571">
        <w:trPr>
          <w:trHeight w:val="175"/>
          <w:jc w:val="center"/>
        </w:trPr>
        <w:tc>
          <w:tcPr>
            <w:tcW w:w="458" w:type="dxa"/>
            <w:vMerge w:val="restart"/>
            <w:shd w:val="clear" w:color="auto" w:fill="auto"/>
            <w:vAlign w:val="center"/>
          </w:tcPr>
          <w:p w:rsidR="00087571" w:rsidRPr="004D451D" w:rsidRDefault="00087571" w:rsidP="00087571">
            <w:pPr>
              <w:jc w:val="center"/>
              <w:rPr>
                <w:rFonts w:eastAsia="標楷體"/>
                <w:bCs/>
              </w:rPr>
            </w:pPr>
            <w:r w:rsidRPr="004D451D">
              <w:rPr>
                <w:rFonts w:eastAsia="標楷體" w:hint="eastAsia"/>
                <w:bCs/>
              </w:rPr>
              <w:t>7</w:t>
            </w:r>
          </w:p>
        </w:tc>
        <w:tc>
          <w:tcPr>
            <w:tcW w:w="711" w:type="dxa"/>
            <w:vMerge w:val="restart"/>
            <w:vAlign w:val="center"/>
          </w:tcPr>
          <w:p w:rsidR="00087571" w:rsidRPr="004D451D" w:rsidRDefault="00087571" w:rsidP="00087571">
            <w:pPr>
              <w:jc w:val="both"/>
              <w:rPr>
                <w:rFonts w:eastAsia="標楷體"/>
                <w:bCs/>
              </w:rPr>
            </w:pPr>
            <w:r w:rsidRPr="004D451D">
              <w:rPr>
                <w:rFonts w:eastAsia="標楷體"/>
                <w:bCs/>
              </w:rPr>
              <w:t>健全</w:t>
            </w:r>
          </w:p>
        </w:tc>
        <w:tc>
          <w:tcPr>
            <w:tcW w:w="992" w:type="dxa"/>
            <w:vAlign w:val="center"/>
          </w:tcPr>
          <w:p w:rsidR="00087571" w:rsidRPr="004D451D" w:rsidRDefault="00087571" w:rsidP="008F2976">
            <w:pPr>
              <w:jc w:val="center"/>
              <w:rPr>
                <w:rFonts w:eastAsia="標楷體"/>
                <w:bCs/>
                <w:sz w:val="22"/>
                <w:szCs w:val="20"/>
              </w:rPr>
            </w:pPr>
            <w:r w:rsidRPr="004D451D">
              <w:rPr>
                <w:rFonts w:eastAsia="標楷體" w:hint="eastAsia"/>
                <w:bCs/>
                <w:sz w:val="22"/>
                <w:szCs w:val="20"/>
              </w:rPr>
              <w:t>＜</w:t>
            </w:r>
            <w:r w:rsidRPr="004D451D">
              <w:rPr>
                <w:rFonts w:eastAsia="標楷體"/>
                <w:bCs/>
                <w:sz w:val="22"/>
                <w:szCs w:val="20"/>
              </w:rPr>
              <w:t>2.5</w:t>
            </w:r>
            <w:r w:rsidRPr="004D451D">
              <w:rPr>
                <w:rFonts w:eastAsia="標楷體"/>
                <w:bCs/>
                <w:sz w:val="22"/>
                <w:szCs w:val="20"/>
              </w:rPr>
              <w:t>年</w:t>
            </w:r>
          </w:p>
        </w:tc>
        <w:tc>
          <w:tcPr>
            <w:tcW w:w="697" w:type="dxa"/>
          </w:tcPr>
          <w:p w:rsidR="00087571" w:rsidRPr="004D451D" w:rsidRDefault="00087571" w:rsidP="00996B25">
            <w:pPr>
              <w:jc w:val="center"/>
              <w:rPr>
                <w:rFonts w:eastAsia="標楷體"/>
                <w:bCs/>
              </w:rPr>
            </w:pPr>
          </w:p>
        </w:tc>
        <w:tc>
          <w:tcPr>
            <w:tcW w:w="722" w:type="dxa"/>
            <w:gridSpan w:val="2"/>
          </w:tcPr>
          <w:p w:rsidR="00087571" w:rsidRPr="004D451D" w:rsidRDefault="00087571" w:rsidP="00996B25">
            <w:pPr>
              <w:jc w:val="center"/>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70%</w:t>
            </w:r>
          </w:p>
        </w:tc>
        <w:tc>
          <w:tcPr>
            <w:tcW w:w="4537" w:type="dxa"/>
            <w:gridSpan w:val="5"/>
          </w:tcPr>
          <w:p w:rsidR="00087571" w:rsidRPr="004D451D" w:rsidRDefault="00087571" w:rsidP="00996B25">
            <w:pPr>
              <w:jc w:val="center"/>
              <w:rPr>
                <w:rFonts w:eastAsia="標楷體"/>
                <w:bCs/>
              </w:rPr>
            </w:pPr>
          </w:p>
        </w:tc>
        <w:tc>
          <w:tcPr>
            <w:tcW w:w="993" w:type="dxa"/>
          </w:tcPr>
          <w:p w:rsidR="00087571" w:rsidRPr="004D451D" w:rsidRDefault="00087571" w:rsidP="00996B25">
            <w:pPr>
              <w:jc w:val="center"/>
              <w:rPr>
                <w:rFonts w:eastAsia="標楷體"/>
                <w:bCs/>
              </w:rPr>
            </w:pPr>
          </w:p>
        </w:tc>
        <w:tc>
          <w:tcPr>
            <w:tcW w:w="992" w:type="dxa"/>
          </w:tcPr>
          <w:p w:rsidR="00087571" w:rsidRPr="004D451D" w:rsidRDefault="00087571" w:rsidP="00996B25">
            <w:pPr>
              <w:jc w:val="center"/>
              <w:rPr>
                <w:rFonts w:eastAsia="標楷體"/>
                <w:bCs/>
              </w:rPr>
            </w:pPr>
          </w:p>
        </w:tc>
      </w:tr>
      <w:tr w:rsidR="004D451D" w:rsidRPr="004D451D" w:rsidTr="00087571">
        <w:trPr>
          <w:trHeight w:val="121"/>
          <w:jc w:val="center"/>
        </w:trPr>
        <w:tc>
          <w:tcPr>
            <w:tcW w:w="458" w:type="dxa"/>
            <w:vMerge/>
            <w:shd w:val="clear" w:color="auto" w:fill="auto"/>
            <w:vAlign w:val="center"/>
          </w:tcPr>
          <w:p w:rsidR="00087571" w:rsidRPr="004D451D" w:rsidRDefault="00087571" w:rsidP="00087571">
            <w:pPr>
              <w:jc w:val="center"/>
              <w:rPr>
                <w:rFonts w:eastAsia="標楷體"/>
                <w:bCs/>
              </w:rPr>
            </w:pPr>
          </w:p>
        </w:tc>
        <w:tc>
          <w:tcPr>
            <w:tcW w:w="711" w:type="dxa"/>
            <w:vMerge/>
            <w:vAlign w:val="center"/>
          </w:tcPr>
          <w:p w:rsidR="00087571" w:rsidRPr="004D451D" w:rsidRDefault="00087571" w:rsidP="00087571">
            <w:pPr>
              <w:jc w:val="both"/>
              <w:rPr>
                <w:rFonts w:eastAsia="標楷體"/>
                <w:bCs/>
              </w:rPr>
            </w:pPr>
          </w:p>
        </w:tc>
        <w:tc>
          <w:tcPr>
            <w:tcW w:w="992" w:type="dxa"/>
          </w:tcPr>
          <w:p w:rsidR="00087571" w:rsidRPr="004D451D" w:rsidRDefault="00087571" w:rsidP="008F2976">
            <w:pPr>
              <w:jc w:val="right"/>
              <w:rPr>
                <w:rFonts w:eastAsia="標楷體"/>
                <w:bCs/>
                <w:sz w:val="22"/>
                <w:szCs w:val="20"/>
              </w:rPr>
            </w:pPr>
            <w:r w:rsidRPr="004D451D">
              <w:rPr>
                <w:rFonts w:ascii="新細明體" w:hAnsi="新細明體" w:hint="eastAsia"/>
                <w:b/>
                <w:bCs/>
                <w:kern w:val="24"/>
                <w:sz w:val="22"/>
                <w:szCs w:val="20"/>
              </w:rPr>
              <w:t>≧</w:t>
            </w:r>
            <w:r w:rsidRPr="004D451D">
              <w:rPr>
                <w:rFonts w:eastAsia="標楷體"/>
                <w:bCs/>
                <w:sz w:val="22"/>
                <w:szCs w:val="20"/>
              </w:rPr>
              <w:t>2.5</w:t>
            </w:r>
            <w:r w:rsidRPr="004D451D">
              <w:rPr>
                <w:rFonts w:eastAsia="標楷體"/>
                <w:bCs/>
                <w:sz w:val="22"/>
                <w:szCs w:val="20"/>
              </w:rPr>
              <w:t>年</w:t>
            </w:r>
          </w:p>
        </w:tc>
        <w:tc>
          <w:tcPr>
            <w:tcW w:w="697" w:type="dxa"/>
          </w:tcPr>
          <w:p w:rsidR="00087571" w:rsidRPr="004D451D" w:rsidRDefault="00087571" w:rsidP="00996B25">
            <w:pPr>
              <w:jc w:val="center"/>
              <w:rPr>
                <w:rFonts w:eastAsia="標楷體"/>
                <w:bCs/>
              </w:rPr>
            </w:pPr>
          </w:p>
        </w:tc>
        <w:tc>
          <w:tcPr>
            <w:tcW w:w="722" w:type="dxa"/>
            <w:gridSpan w:val="2"/>
          </w:tcPr>
          <w:p w:rsidR="00087571" w:rsidRPr="004D451D" w:rsidRDefault="00087571" w:rsidP="00996B25">
            <w:pPr>
              <w:jc w:val="center"/>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95%</w:t>
            </w:r>
          </w:p>
        </w:tc>
        <w:tc>
          <w:tcPr>
            <w:tcW w:w="4537" w:type="dxa"/>
            <w:gridSpan w:val="5"/>
          </w:tcPr>
          <w:p w:rsidR="00087571" w:rsidRPr="004D451D" w:rsidRDefault="00087571" w:rsidP="00996B25">
            <w:pPr>
              <w:jc w:val="center"/>
              <w:rPr>
                <w:rFonts w:eastAsia="標楷體"/>
                <w:bCs/>
              </w:rPr>
            </w:pPr>
          </w:p>
        </w:tc>
        <w:tc>
          <w:tcPr>
            <w:tcW w:w="993" w:type="dxa"/>
          </w:tcPr>
          <w:p w:rsidR="00087571" w:rsidRPr="004D451D" w:rsidRDefault="00087571" w:rsidP="00996B25">
            <w:pPr>
              <w:jc w:val="center"/>
              <w:rPr>
                <w:rFonts w:eastAsia="標楷體"/>
                <w:bCs/>
              </w:rPr>
            </w:pPr>
          </w:p>
        </w:tc>
        <w:tc>
          <w:tcPr>
            <w:tcW w:w="992" w:type="dxa"/>
          </w:tcPr>
          <w:p w:rsidR="00087571" w:rsidRPr="004D451D" w:rsidRDefault="00087571" w:rsidP="00996B25">
            <w:pPr>
              <w:jc w:val="center"/>
              <w:rPr>
                <w:rFonts w:eastAsia="標楷體"/>
                <w:bCs/>
              </w:rPr>
            </w:pPr>
          </w:p>
        </w:tc>
      </w:tr>
      <w:tr w:rsidR="004D451D" w:rsidRPr="004D451D" w:rsidTr="00087571">
        <w:trPr>
          <w:trHeight w:val="299"/>
          <w:jc w:val="center"/>
        </w:trPr>
        <w:tc>
          <w:tcPr>
            <w:tcW w:w="458" w:type="dxa"/>
            <w:vMerge w:val="restart"/>
            <w:shd w:val="clear" w:color="auto" w:fill="auto"/>
            <w:vAlign w:val="center"/>
          </w:tcPr>
          <w:p w:rsidR="00087571" w:rsidRPr="004D451D" w:rsidRDefault="00087571" w:rsidP="00087571">
            <w:pPr>
              <w:jc w:val="center"/>
              <w:rPr>
                <w:rFonts w:eastAsia="標楷體"/>
                <w:bCs/>
              </w:rPr>
            </w:pPr>
            <w:r w:rsidRPr="004D451D">
              <w:rPr>
                <w:rFonts w:eastAsia="標楷體" w:hint="eastAsia"/>
                <w:bCs/>
              </w:rPr>
              <w:t>8</w:t>
            </w:r>
          </w:p>
        </w:tc>
        <w:tc>
          <w:tcPr>
            <w:tcW w:w="711" w:type="dxa"/>
            <w:vMerge w:val="restart"/>
            <w:vAlign w:val="center"/>
          </w:tcPr>
          <w:p w:rsidR="00087571" w:rsidRPr="004D451D" w:rsidRDefault="00087571" w:rsidP="00087571">
            <w:pPr>
              <w:jc w:val="both"/>
              <w:rPr>
                <w:rFonts w:eastAsia="標楷體"/>
                <w:bCs/>
              </w:rPr>
            </w:pPr>
            <w:r w:rsidRPr="004D451D">
              <w:rPr>
                <w:rFonts w:eastAsia="標楷體"/>
                <w:bCs/>
              </w:rPr>
              <w:t>良好</w:t>
            </w:r>
          </w:p>
        </w:tc>
        <w:tc>
          <w:tcPr>
            <w:tcW w:w="992" w:type="dxa"/>
          </w:tcPr>
          <w:p w:rsidR="00087571" w:rsidRPr="004D451D" w:rsidRDefault="00087571" w:rsidP="008F2976">
            <w:pPr>
              <w:jc w:val="right"/>
              <w:rPr>
                <w:rFonts w:eastAsia="標楷體"/>
                <w:bCs/>
                <w:sz w:val="22"/>
                <w:szCs w:val="20"/>
              </w:rPr>
            </w:pPr>
            <w:r w:rsidRPr="004D451D">
              <w:rPr>
                <w:rFonts w:eastAsia="標楷體" w:hint="eastAsia"/>
                <w:bCs/>
                <w:sz w:val="22"/>
                <w:szCs w:val="20"/>
              </w:rPr>
              <w:t>＜</w:t>
            </w:r>
            <w:r w:rsidRPr="004D451D">
              <w:rPr>
                <w:rFonts w:eastAsia="標楷體"/>
                <w:bCs/>
                <w:sz w:val="22"/>
                <w:szCs w:val="20"/>
              </w:rPr>
              <w:t>2.5</w:t>
            </w:r>
            <w:r w:rsidRPr="004D451D">
              <w:rPr>
                <w:rFonts w:eastAsia="標楷體"/>
                <w:bCs/>
                <w:sz w:val="22"/>
                <w:szCs w:val="20"/>
              </w:rPr>
              <w:t>年</w:t>
            </w:r>
          </w:p>
        </w:tc>
        <w:tc>
          <w:tcPr>
            <w:tcW w:w="697" w:type="dxa"/>
          </w:tcPr>
          <w:p w:rsidR="00087571" w:rsidRPr="004D451D" w:rsidRDefault="00087571" w:rsidP="00996B25">
            <w:pPr>
              <w:jc w:val="center"/>
              <w:rPr>
                <w:rFonts w:eastAsia="標楷體"/>
                <w:bCs/>
              </w:rPr>
            </w:pPr>
          </w:p>
        </w:tc>
        <w:tc>
          <w:tcPr>
            <w:tcW w:w="722" w:type="dxa"/>
            <w:gridSpan w:val="2"/>
          </w:tcPr>
          <w:p w:rsidR="00087571" w:rsidRPr="004D451D" w:rsidRDefault="00087571" w:rsidP="00996B25">
            <w:pPr>
              <w:jc w:val="center"/>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95%</w:t>
            </w:r>
          </w:p>
        </w:tc>
        <w:tc>
          <w:tcPr>
            <w:tcW w:w="4537" w:type="dxa"/>
            <w:gridSpan w:val="5"/>
          </w:tcPr>
          <w:p w:rsidR="00087571" w:rsidRPr="004D451D" w:rsidRDefault="00087571" w:rsidP="00996B25">
            <w:pPr>
              <w:jc w:val="center"/>
              <w:rPr>
                <w:rFonts w:eastAsia="標楷體"/>
                <w:bCs/>
              </w:rPr>
            </w:pPr>
          </w:p>
        </w:tc>
        <w:tc>
          <w:tcPr>
            <w:tcW w:w="993" w:type="dxa"/>
          </w:tcPr>
          <w:p w:rsidR="00087571" w:rsidRPr="004D451D" w:rsidRDefault="00087571" w:rsidP="00996B25">
            <w:pPr>
              <w:jc w:val="center"/>
              <w:rPr>
                <w:rFonts w:eastAsia="標楷體"/>
                <w:bCs/>
              </w:rPr>
            </w:pPr>
          </w:p>
        </w:tc>
        <w:tc>
          <w:tcPr>
            <w:tcW w:w="992" w:type="dxa"/>
          </w:tcPr>
          <w:p w:rsidR="00087571" w:rsidRPr="004D451D" w:rsidRDefault="00087571" w:rsidP="00996B25">
            <w:pPr>
              <w:jc w:val="center"/>
              <w:rPr>
                <w:rFonts w:eastAsia="標楷體"/>
                <w:bCs/>
              </w:rPr>
            </w:pPr>
          </w:p>
        </w:tc>
      </w:tr>
      <w:tr w:rsidR="004D451D" w:rsidRPr="004D451D" w:rsidTr="00087571">
        <w:trPr>
          <w:trHeight w:val="205"/>
          <w:jc w:val="center"/>
        </w:trPr>
        <w:tc>
          <w:tcPr>
            <w:tcW w:w="458" w:type="dxa"/>
            <w:vMerge/>
            <w:shd w:val="clear" w:color="auto" w:fill="auto"/>
            <w:vAlign w:val="center"/>
          </w:tcPr>
          <w:p w:rsidR="00087571" w:rsidRPr="004D451D" w:rsidRDefault="00087571" w:rsidP="00087571">
            <w:pPr>
              <w:jc w:val="center"/>
              <w:rPr>
                <w:rFonts w:eastAsia="標楷體"/>
                <w:bCs/>
              </w:rPr>
            </w:pPr>
          </w:p>
        </w:tc>
        <w:tc>
          <w:tcPr>
            <w:tcW w:w="711" w:type="dxa"/>
            <w:vMerge/>
            <w:vAlign w:val="center"/>
          </w:tcPr>
          <w:p w:rsidR="00087571" w:rsidRPr="004D451D" w:rsidRDefault="00087571" w:rsidP="00087571">
            <w:pPr>
              <w:jc w:val="both"/>
              <w:rPr>
                <w:rFonts w:eastAsia="標楷體"/>
                <w:bCs/>
              </w:rPr>
            </w:pPr>
          </w:p>
        </w:tc>
        <w:tc>
          <w:tcPr>
            <w:tcW w:w="992" w:type="dxa"/>
            <w:tcBorders>
              <w:bottom w:val="single" w:sz="4" w:space="0" w:color="auto"/>
            </w:tcBorders>
          </w:tcPr>
          <w:p w:rsidR="00087571" w:rsidRPr="004D451D" w:rsidRDefault="00087571" w:rsidP="008F2976">
            <w:pPr>
              <w:jc w:val="right"/>
              <w:rPr>
                <w:rFonts w:eastAsia="標楷體"/>
                <w:bCs/>
                <w:sz w:val="22"/>
                <w:szCs w:val="20"/>
              </w:rPr>
            </w:pPr>
            <w:r w:rsidRPr="004D451D">
              <w:rPr>
                <w:rFonts w:ascii="新細明體" w:hAnsi="新細明體" w:hint="eastAsia"/>
                <w:b/>
                <w:bCs/>
                <w:kern w:val="24"/>
                <w:sz w:val="22"/>
                <w:szCs w:val="20"/>
              </w:rPr>
              <w:t>≧</w:t>
            </w:r>
            <w:r w:rsidRPr="004D451D">
              <w:rPr>
                <w:rFonts w:eastAsia="標楷體"/>
                <w:bCs/>
                <w:sz w:val="22"/>
                <w:szCs w:val="20"/>
              </w:rPr>
              <w:t>2.5</w:t>
            </w:r>
            <w:r w:rsidRPr="004D451D">
              <w:rPr>
                <w:rFonts w:eastAsia="標楷體"/>
                <w:bCs/>
                <w:sz w:val="22"/>
                <w:szCs w:val="20"/>
              </w:rPr>
              <w:t>年</w:t>
            </w:r>
          </w:p>
        </w:tc>
        <w:tc>
          <w:tcPr>
            <w:tcW w:w="697" w:type="dxa"/>
          </w:tcPr>
          <w:p w:rsidR="00087571" w:rsidRPr="004D451D" w:rsidRDefault="00087571" w:rsidP="00996B25">
            <w:pPr>
              <w:jc w:val="center"/>
              <w:rPr>
                <w:rFonts w:eastAsia="標楷體"/>
                <w:bCs/>
              </w:rPr>
            </w:pPr>
          </w:p>
        </w:tc>
        <w:tc>
          <w:tcPr>
            <w:tcW w:w="722" w:type="dxa"/>
            <w:gridSpan w:val="2"/>
          </w:tcPr>
          <w:p w:rsidR="00087571" w:rsidRPr="004D451D" w:rsidRDefault="00087571" w:rsidP="00996B25">
            <w:pPr>
              <w:jc w:val="center"/>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120%</w:t>
            </w:r>
          </w:p>
        </w:tc>
        <w:tc>
          <w:tcPr>
            <w:tcW w:w="4537" w:type="dxa"/>
            <w:gridSpan w:val="5"/>
          </w:tcPr>
          <w:p w:rsidR="00087571" w:rsidRPr="004D451D" w:rsidRDefault="00087571" w:rsidP="00996B25">
            <w:pPr>
              <w:jc w:val="center"/>
              <w:rPr>
                <w:rFonts w:eastAsia="標楷體"/>
                <w:bCs/>
              </w:rPr>
            </w:pPr>
          </w:p>
        </w:tc>
        <w:tc>
          <w:tcPr>
            <w:tcW w:w="993" w:type="dxa"/>
          </w:tcPr>
          <w:p w:rsidR="00087571" w:rsidRPr="004D451D" w:rsidRDefault="00087571" w:rsidP="00996B25">
            <w:pPr>
              <w:jc w:val="center"/>
              <w:rPr>
                <w:rFonts w:eastAsia="標楷體"/>
                <w:bCs/>
              </w:rPr>
            </w:pPr>
          </w:p>
        </w:tc>
        <w:tc>
          <w:tcPr>
            <w:tcW w:w="992" w:type="dxa"/>
          </w:tcPr>
          <w:p w:rsidR="00087571" w:rsidRPr="004D451D" w:rsidRDefault="00087571" w:rsidP="00996B25">
            <w:pPr>
              <w:jc w:val="center"/>
              <w:rPr>
                <w:rFonts w:eastAsia="標楷體"/>
                <w:bCs/>
              </w:rPr>
            </w:pPr>
          </w:p>
        </w:tc>
      </w:tr>
      <w:tr w:rsidR="004D451D" w:rsidRPr="004D451D" w:rsidTr="0052536F">
        <w:trPr>
          <w:trHeight w:val="508"/>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9</w:t>
            </w:r>
          </w:p>
        </w:tc>
        <w:tc>
          <w:tcPr>
            <w:tcW w:w="711" w:type="dxa"/>
            <w:vAlign w:val="center"/>
          </w:tcPr>
          <w:p w:rsidR="00087571" w:rsidRPr="004D451D" w:rsidRDefault="00087571" w:rsidP="00087571">
            <w:pPr>
              <w:jc w:val="both"/>
              <w:rPr>
                <w:rFonts w:eastAsia="標楷體"/>
                <w:bCs/>
              </w:rPr>
            </w:pPr>
            <w:r w:rsidRPr="004D451D">
              <w:rPr>
                <w:rFonts w:eastAsia="標楷體"/>
                <w:bCs/>
              </w:rPr>
              <w:t>滿意</w:t>
            </w:r>
          </w:p>
        </w:tc>
        <w:tc>
          <w:tcPr>
            <w:tcW w:w="992" w:type="dxa"/>
            <w:vMerge w:val="restart"/>
            <w:shd w:val="clear" w:color="auto" w:fill="A6A6A6"/>
          </w:tcPr>
          <w:p w:rsidR="00087571" w:rsidRPr="004D451D" w:rsidRDefault="00087571" w:rsidP="00996B25">
            <w:pPr>
              <w:jc w:val="right"/>
              <w:rPr>
                <w:rFonts w:eastAsia="標楷體"/>
                <w:bCs/>
                <w:sz w:val="20"/>
                <w:szCs w:val="20"/>
              </w:rPr>
            </w:pPr>
          </w:p>
        </w:tc>
        <w:tc>
          <w:tcPr>
            <w:tcW w:w="697" w:type="dxa"/>
          </w:tcPr>
          <w:p w:rsidR="00087571" w:rsidRPr="004D451D" w:rsidRDefault="00087571" w:rsidP="00996B25">
            <w:pPr>
              <w:jc w:val="right"/>
              <w:rPr>
                <w:rFonts w:eastAsia="標楷體"/>
                <w:bCs/>
              </w:rPr>
            </w:pPr>
          </w:p>
        </w:tc>
        <w:tc>
          <w:tcPr>
            <w:tcW w:w="722" w:type="dxa"/>
            <w:gridSpan w:val="2"/>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140%</w:t>
            </w:r>
          </w:p>
        </w:tc>
        <w:tc>
          <w:tcPr>
            <w:tcW w:w="4537" w:type="dxa"/>
            <w:gridSpan w:val="5"/>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52536F">
        <w:trPr>
          <w:trHeight w:val="544"/>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10</w:t>
            </w:r>
          </w:p>
        </w:tc>
        <w:tc>
          <w:tcPr>
            <w:tcW w:w="711" w:type="dxa"/>
            <w:vAlign w:val="center"/>
          </w:tcPr>
          <w:p w:rsidR="00087571" w:rsidRPr="004D451D" w:rsidRDefault="00087571" w:rsidP="00087571">
            <w:pPr>
              <w:jc w:val="both"/>
              <w:rPr>
                <w:rFonts w:eastAsia="標楷體"/>
                <w:bCs/>
              </w:rPr>
            </w:pPr>
            <w:r w:rsidRPr="004D451D">
              <w:rPr>
                <w:rFonts w:eastAsia="標楷體"/>
                <w:bCs/>
              </w:rPr>
              <w:t>略弱</w:t>
            </w:r>
          </w:p>
        </w:tc>
        <w:tc>
          <w:tcPr>
            <w:tcW w:w="992" w:type="dxa"/>
            <w:vMerge/>
            <w:shd w:val="clear" w:color="auto" w:fill="A6A6A6"/>
          </w:tcPr>
          <w:p w:rsidR="00087571" w:rsidRPr="004D451D" w:rsidRDefault="00087571" w:rsidP="00996B25">
            <w:pPr>
              <w:spacing w:line="360" w:lineRule="auto"/>
              <w:rPr>
                <w:rFonts w:eastAsia="標楷體"/>
              </w:rPr>
            </w:pPr>
          </w:p>
        </w:tc>
        <w:tc>
          <w:tcPr>
            <w:tcW w:w="697" w:type="dxa"/>
          </w:tcPr>
          <w:p w:rsidR="00087571" w:rsidRPr="004D451D" w:rsidRDefault="00087571" w:rsidP="00996B25">
            <w:pPr>
              <w:jc w:val="right"/>
              <w:rPr>
                <w:rFonts w:eastAsia="標楷體"/>
                <w:bCs/>
              </w:rPr>
            </w:pPr>
          </w:p>
        </w:tc>
        <w:tc>
          <w:tcPr>
            <w:tcW w:w="722" w:type="dxa"/>
            <w:gridSpan w:val="2"/>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250%</w:t>
            </w:r>
          </w:p>
        </w:tc>
        <w:tc>
          <w:tcPr>
            <w:tcW w:w="4537" w:type="dxa"/>
            <w:gridSpan w:val="5"/>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52536F">
        <w:trPr>
          <w:trHeight w:val="552"/>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11</w:t>
            </w:r>
          </w:p>
        </w:tc>
        <w:tc>
          <w:tcPr>
            <w:tcW w:w="711" w:type="dxa"/>
            <w:vAlign w:val="center"/>
          </w:tcPr>
          <w:p w:rsidR="00087571" w:rsidRPr="004D451D" w:rsidRDefault="00087571" w:rsidP="00087571">
            <w:pPr>
              <w:jc w:val="both"/>
              <w:rPr>
                <w:rFonts w:eastAsia="標楷體"/>
                <w:bCs/>
              </w:rPr>
            </w:pPr>
            <w:r w:rsidRPr="004D451D">
              <w:rPr>
                <w:rFonts w:eastAsia="標楷體"/>
                <w:bCs/>
              </w:rPr>
              <w:t>違約</w:t>
            </w:r>
          </w:p>
        </w:tc>
        <w:tc>
          <w:tcPr>
            <w:tcW w:w="992" w:type="dxa"/>
            <w:vMerge/>
            <w:shd w:val="clear" w:color="auto" w:fill="A6A6A6"/>
          </w:tcPr>
          <w:p w:rsidR="00087571" w:rsidRPr="004D451D" w:rsidRDefault="00087571" w:rsidP="00996B25">
            <w:pPr>
              <w:spacing w:line="360" w:lineRule="auto"/>
              <w:rPr>
                <w:rFonts w:eastAsia="標楷體"/>
              </w:rPr>
            </w:pPr>
          </w:p>
        </w:tc>
        <w:tc>
          <w:tcPr>
            <w:tcW w:w="697" w:type="dxa"/>
          </w:tcPr>
          <w:p w:rsidR="00087571" w:rsidRPr="004D451D" w:rsidRDefault="00087571" w:rsidP="00996B25">
            <w:pPr>
              <w:jc w:val="right"/>
              <w:rPr>
                <w:rFonts w:eastAsia="標楷體"/>
                <w:bCs/>
              </w:rPr>
            </w:pPr>
          </w:p>
        </w:tc>
        <w:tc>
          <w:tcPr>
            <w:tcW w:w="722" w:type="dxa"/>
            <w:gridSpan w:val="2"/>
          </w:tcPr>
          <w:p w:rsidR="00087571" w:rsidRPr="004D451D" w:rsidRDefault="00087571" w:rsidP="00996B25">
            <w:pPr>
              <w:jc w:val="right"/>
              <w:rPr>
                <w:rFonts w:eastAsia="標楷體"/>
                <w:bCs/>
              </w:rPr>
            </w:pPr>
          </w:p>
        </w:tc>
        <w:tc>
          <w:tcPr>
            <w:tcW w:w="856" w:type="dxa"/>
            <w:vAlign w:val="center"/>
          </w:tcPr>
          <w:p w:rsidR="00087571" w:rsidRPr="004D451D" w:rsidRDefault="00087571" w:rsidP="00087571">
            <w:pPr>
              <w:jc w:val="center"/>
              <w:rPr>
                <w:rFonts w:eastAsia="標楷體"/>
                <w:bCs/>
              </w:rPr>
            </w:pPr>
            <w:r w:rsidRPr="004D451D">
              <w:rPr>
                <w:rFonts w:eastAsia="標楷體"/>
                <w:bCs/>
              </w:rPr>
              <w:t>-</w:t>
            </w:r>
          </w:p>
        </w:tc>
        <w:tc>
          <w:tcPr>
            <w:tcW w:w="4537" w:type="dxa"/>
            <w:gridSpan w:val="5"/>
          </w:tcPr>
          <w:p w:rsidR="00087571" w:rsidRPr="004D451D" w:rsidRDefault="00087571" w:rsidP="00996B25">
            <w:pPr>
              <w:jc w:val="right"/>
              <w:rPr>
                <w:rFonts w:eastAsia="標楷體"/>
                <w:bCs/>
              </w:rPr>
            </w:pPr>
          </w:p>
        </w:tc>
        <w:tc>
          <w:tcPr>
            <w:tcW w:w="993" w:type="dxa"/>
          </w:tcPr>
          <w:p w:rsidR="00087571" w:rsidRPr="004D451D" w:rsidRDefault="00087571" w:rsidP="00996B25">
            <w:pPr>
              <w:jc w:val="right"/>
              <w:rPr>
                <w:rFonts w:eastAsia="標楷體"/>
                <w:bCs/>
              </w:rPr>
            </w:pPr>
          </w:p>
        </w:tc>
        <w:tc>
          <w:tcPr>
            <w:tcW w:w="992" w:type="dxa"/>
          </w:tcPr>
          <w:p w:rsidR="00087571" w:rsidRPr="004D451D" w:rsidRDefault="00087571" w:rsidP="00996B25">
            <w:pPr>
              <w:jc w:val="right"/>
              <w:rPr>
                <w:rFonts w:eastAsia="標楷體"/>
                <w:bCs/>
              </w:rPr>
            </w:pPr>
          </w:p>
        </w:tc>
      </w:tr>
      <w:tr w:rsidR="004D451D" w:rsidRPr="004D451D" w:rsidTr="0052536F">
        <w:trPr>
          <w:trHeight w:val="568"/>
          <w:jc w:val="center"/>
        </w:trPr>
        <w:tc>
          <w:tcPr>
            <w:tcW w:w="458"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12</w:t>
            </w:r>
          </w:p>
        </w:tc>
        <w:tc>
          <w:tcPr>
            <w:tcW w:w="711" w:type="dxa"/>
            <w:vAlign w:val="center"/>
          </w:tcPr>
          <w:p w:rsidR="00087571" w:rsidRPr="004D451D" w:rsidRDefault="00087571" w:rsidP="00087571">
            <w:pPr>
              <w:jc w:val="both"/>
              <w:rPr>
                <w:rFonts w:eastAsia="標楷體"/>
                <w:bCs/>
              </w:rPr>
            </w:pPr>
            <w:r w:rsidRPr="004D451D">
              <w:rPr>
                <w:rFonts w:eastAsia="標楷體"/>
                <w:bCs/>
              </w:rPr>
              <w:t>總計</w:t>
            </w:r>
          </w:p>
        </w:tc>
        <w:tc>
          <w:tcPr>
            <w:tcW w:w="992" w:type="dxa"/>
            <w:vMerge/>
            <w:shd w:val="clear" w:color="auto" w:fill="A6A6A6"/>
          </w:tcPr>
          <w:p w:rsidR="00087571" w:rsidRPr="004D451D" w:rsidRDefault="00087571" w:rsidP="000A15EA">
            <w:pPr>
              <w:rPr>
                <w:rFonts w:eastAsia="標楷體"/>
                <w:bCs/>
              </w:rPr>
            </w:pPr>
          </w:p>
        </w:tc>
        <w:tc>
          <w:tcPr>
            <w:tcW w:w="710" w:type="dxa"/>
            <w:gridSpan w:val="2"/>
          </w:tcPr>
          <w:p w:rsidR="00087571" w:rsidRPr="004D451D" w:rsidRDefault="00087571" w:rsidP="000A15EA">
            <w:pPr>
              <w:rPr>
                <w:rFonts w:eastAsia="標楷體"/>
                <w:bCs/>
              </w:rPr>
            </w:pPr>
          </w:p>
        </w:tc>
        <w:tc>
          <w:tcPr>
            <w:tcW w:w="709" w:type="dxa"/>
          </w:tcPr>
          <w:p w:rsidR="00087571" w:rsidRPr="004D451D" w:rsidRDefault="00087571" w:rsidP="000A15EA">
            <w:pPr>
              <w:rPr>
                <w:rFonts w:eastAsia="標楷體"/>
                <w:bCs/>
              </w:rPr>
            </w:pPr>
          </w:p>
        </w:tc>
        <w:tc>
          <w:tcPr>
            <w:tcW w:w="856" w:type="dxa"/>
          </w:tcPr>
          <w:p w:rsidR="00087571" w:rsidRPr="004D451D" w:rsidRDefault="00087571" w:rsidP="000A15EA">
            <w:pPr>
              <w:rPr>
                <w:rFonts w:eastAsia="標楷體"/>
                <w:bCs/>
              </w:rPr>
            </w:pPr>
          </w:p>
        </w:tc>
        <w:tc>
          <w:tcPr>
            <w:tcW w:w="4537" w:type="dxa"/>
            <w:gridSpan w:val="5"/>
          </w:tcPr>
          <w:p w:rsidR="00087571" w:rsidRPr="004D451D" w:rsidRDefault="00087571" w:rsidP="000A15EA">
            <w:pPr>
              <w:rPr>
                <w:rFonts w:eastAsia="標楷體"/>
                <w:bCs/>
              </w:rPr>
            </w:pPr>
          </w:p>
        </w:tc>
        <w:tc>
          <w:tcPr>
            <w:tcW w:w="993" w:type="dxa"/>
          </w:tcPr>
          <w:p w:rsidR="00087571" w:rsidRPr="004D451D" w:rsidRDefault="00087571" w:rsidP="000A15EA">
            <w:pPr>
              <w:rPr>
                <w:rFonts w:eastAsia="標楷體"/>
                <w:bCs/>
              </w:rPr>
            </w:pPr>
          </w:p>
        </w:tc>
        <w:tc>
          <w:tcPr>
            <w:tcW w:w="992" w:type="dxa"/>
          </w:tcPr>
          <w:p w:rsidR="00087571" w:rsidRPr="004D451D" w:rsidRDefault="00087571" w:rsidP="000A15EA">
            <w:pPr>
              <w:rPr>
                <w:rFonts w:eastAsia="標楷體"/>
                <w:bCs/>
              </w:rPr>
            </w:pPr>
          </w:p>
        </w:tc>
      </w:tr>
      <w:tr w:rsidR="00087571" w:rsidRPr="004D451D" w:rsidTr="00087571">
        <w:trPr>
          <w:trHeight w:val="660"/>
          <w:jc w:val="center"/>
        </w:trPr>
        <w:tc>
          <w:tcPr>
            <w:tcW w:w="10958" w:type="dxa"/>
            <w:gridSpan w:val="14"/>
            <w:shd w:val="clear" w:color="auto" w:fill="auto"/>
          </w:tcPr>
          <w:p w:rsidR="00087571" w:rsidRPr="004D451D" w:rsidRDefault="00087571" w:rsidP="000A15EA">
            <w:pPr>
              <w:rPr>
                <w:rFonts w:eastAsia="標楷體"/>
              </w:rPr>
            </w:pPr>
            <w:r w:rsidRPr="004D451D">
              <w:rPr>
                <w:rFonts w:eastAsia="標楷體"/>
                <w:bCs/>
              </w:rPr>
              <w:t>重大變動原因及說明</w:t>
            </w:r>
            <w:r w:rsidRPr="004D451D">
              <w:rPr>
                <w:rFonts w:eastAsia="標楷體" w:hint="eastAsia"/>
                <w:bCs/>
              </w:rPr>
              <w:t>：</w:t>
            </w:r>
          </w:p>
        </w:tc>
      </w:tr>
    </w:tbl>
    <w:p w:rsidR="00087571" w:rsidRPr="004D451D" w:rsidRDefault="00087571" w:rsidP="009A1E6E">
      <w:pPr>
        <w:spacing w:line="240" w:lineRule="atLeast"/>
        <w:rPr>
          <w:rFonts w:eastAsia="標楷體"/>
        </w:rPr>
      </w:pPr>
    </w:p>
    <w:tbl>
      <w:tblPr>
        <w:tblW w:w="10690"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76"/>
        <w:gridCol w:w="1461"/>
        <w:gridCol w:w="1417"/>
        <w:gridCol w:w="1560"/>
        <w:gridCol w:w="1684"/>
        <w:gridCol w:w="1735"/>
      </w:tblGrid>
      <w:tr w:rsidR="004D451D" w:rsidRPr="004D451D" w:rsidTr="00087571">
        <w:trPr>
          <w:jc w:val="center"/>
        </w:trPr>
        <w:tc>
          <w:tcPr>
            <w:tcW w:w="10690" w:type="dxa"/>
            <w:gridSpan w:val="7"/>
            <w:shd w:val="clear" w:color="auto" w:fill="auto"/>
          </w:tcPr>
          <w:p w:rsidR="00087571" w:rsidRPr="004D451D" w:rsidRDefault="00087571" w:rsidP="002C0099">
            <w:pPr>
              <w:jc w:val="center"/>
              <w:rPr>
                <w:rFonts w:eastAsia="標楷體"/>
              </w:rPr>
            </w:pPr>
            <w:r w:rsidRPr="004D451D">
              <w:rPr>
                <w:rFonts w:eastAsia="標楷體"/>
                <w:bCs/>
              </w:rPr>
              <w:t>簡易風險權重法下的權益證券</w:t>
            </w:r>
          </w:p>
        </w:tc>
      </w:tr>
      <w:tr w:rsidR="004D451D" w:rsidRPr="004D451D" w:rsidTr="00E14F4C">
        <w:trPr>
          <w:trHeight w:val="537"/>
          <w:jc w:val="center"/>
        </w:trPr>
        <w:tc>
          <w:tcPr>
            <w:tcW w:w="2833" w:type="dxa"/>
            <w:gridSpan w:val="2"/>
            <w:shd w:val="clear" w:color="auto" w:fill="auto"/>
            <w:vAlign w:val="center"/>
          </w:tcPr>
          <w:p w:rsidR="00087571" w:rsidRPr="004D451D" w:rsidRDefault="00087571" w:rsidP="00E14F4C">
            <w:pPr>
              <w:jc w:val="center"/>
              <w:rPr>
                <w:rFonts w:eastAsia="標楷體"/>
                <w:bCs/>
              </w:rPr>
            </w:pPr>
            <w:r w:rsidRPr="004D451D">
              <w:rPr>
                <w:rFonts w:eastAsia="標楷體"/>
                <w:bCs/>
              </w:rPr>
              <w:t>法定類別</w:t>
            </w:r>
          </w:p>
        </w:tc>
        <w:tc>
          <w:tcPr>
            <w:tcW w:w="1461" w:type="dxa"/>
            <w:vAlign w:val="center"/>
          </w:tcPr>
          <w:p w:rsidR="00087571" w:rsidRPr="004D451D" w:rsidRDefault="00087571" w:rsidP="00087571">
            <w:pPr>
              <w:jc w:val="center"/>
              <w:rPr>
                <w:rFonts w:eastAsia="標楷體"/>
                <w:bCs/>
              </w:rPr>
            </w:pPr>
            <w:r w:rsidRPr="004D451D">
              <w:rPr>
                <w:rFonts w:eastAsia="標楷體"/>
                <w:bCs/>
              </w:rPr>
              <w:t>表內金額</w:t>
            </w:r>
            <w:r w:rsidR="00E14F4C" w:rsidRPr="004D451D">
              <w:rPr>
                <w:rFonts w:eastAsia="標楷體" w:hint="eastAsia"/>
                <w:bCs/>
              </w:rPr>
              <w:t>A</w:t>
            </w:r>
          </w:p>
        </w:tc>
        <w:tc>
          <w:tcPr>
            <w:tcW w:w="1417" w:type="dxa"/>
            <w:vAlign w:val="center"/>
          </w:tcPr>
          <w:p w:rsidR="00087571" w:rsidRPr="004D451D" w:rsidRDefault="00087571" w:rsidP="00087571">
            <w:pPr>
              <w:jc w:val="center"/>
              <w:rPr>
                <w:rFonts w:eastAsia="標楷體"/>
                <w:bCs/>
              </w:rPr>
            </w:pPr>
            <w:r w:rsidRPr="004D451D">
              <w:rPr>
                <w:rFonts w:eastAsia="標楷體"/>
                <w:bCs/>
              </w:rPr>
              <w:t>表外金額</w:t>
            </w:r>
            <w:r w:rsidR="00E14F4C" w:rsidRPr="004D451D">
              <w:rPr>
                <w:rFonts w:eastAsia="標楷體" w:hint="eastAsia"/>
                <w:bCs/>
              </w:rPr>
              <w:t>B</w:t>
            </w:r>
          </w:p>
        </w:tc>
        <w:tc>
          <w:tcPr>
            <w:tcW w:w="1560" w:type="dxa"/>
            <w:vAlign w:val="center"/>
          </w:tcPr>
          <w:p w:rsidR="00087571" w:rsidRPr="004D451D" w:rsidRDefault="00087571" w:rsidP="00087571">
            <w:pPr>
              <w:jc w:val="center"/>
              <w:rPr>
                <w:rFonts w:eastAsia="標楷體"/>
                <w:bCs/>
              </w:rPr>
            </w:pPr>
            <w:r w:rsidRPr="004D451D">
              <w:rPr>
                <w:rFonts w:eastAsia="標楷體"/>
                <w:bCs/>
              </w:rPr>
              <w:t>風險權數</w:t>
            </w:r>
            <w:r w:rsidR="00E14F4C" w:rsidRPr="004D451D">
              <w:rPr>
                <w:rFonts w:eastAsia="標楷體" w:hint="eastAsia"/>
                <w:bCs/>
              </w:rPr>
              <w:t>C</w:t>
            </w:r>
          </w:p>
        </w:tc>
        <w:tc>
          <w:tcPr>
            <w:tcW w:w="1684" w:type="dxa"/>
            <w:vAlign w:val="center"/>
          </w:tcPr>
          <w:p w:rsidR="00087571" w:rsidRPr="004D451D" w:rsidRDefault="00087571" w:rsidP="00087571">
            <w:pPr>
              <w:jc w:val="center"/>
              <w:rPr>
                <w:rFonts w:eastAsia="標楷體"/>
                <w:bCs/>
              </w:rPr>
            </w:pPr>
            <w:r w:rsidRPr="004D451D">
              <w:rPr>
                <w:rFonts w:eastAsia="標楷體"/>
                <w:bCs/>
              </w:rPr>
              <w:t>暴險金額</w:t>
            </w:r>
            <w:r w:rsidR="00E14F4C" w:rsidRPr="004D451D">
              <w:rPr>
                <w:rFonts w:eastAsia="標楷體" w:hint="eastAsia"/>
                <w:bCs/>
              </w:rPr>
              <w:t>D</w:t>
            </w:r>
          </w:p>
        </w:tc>
        <w:tc>
          <w:tcPr>
            <w:tcW w:w="1735" w:type="dxa"/>
            <w:vAlign w:val="center"/>
          </w:tcPr>
          <w:p w:rsidR="00087571" w:rsidRPr="004D451D" w:rsidRDefault="00087571" w:rsidP="00087571">
            <w:pPr>
              <w:jc w:val="center"/>
              <w:rPr>
                <w:rFonts w:eastAsia="標楷體"/>
                <w:bCs/>
              </w:rPr>
            </w:pPr>
            <w:r w:rsidRPr="004D451D">
              <w:rPr>
                <w:rFonts w:eastAsia="標楷體"/>
                <w:bCs/>
              </w:rPr>
              <w:t>風險性資產</w:t>
            </w:r>
            <w:r w:rsidR="00E14F4C" w:rsidRPr="004D451D">
              <w:rPr>
                <w:rFonts w:eastAsia="標楷體" w:hint="eastAsia"/>
                <w:bCs/>
              </w:rPr>
              <w:t>E</w:t>
            </w:r>
          </w:p>
        </w:tc>
      </w:tr>
      <w:tr w:rsidR="004D451D" w:rsidRPr="004D451D" w:rsidTr="00E14F4C">
        <w:trPr>
          <w:trHeight w:val="558"/>
          <w:jc w:val="center"/>
        </w:trPr>
        <w:tc>
          <w:tcPr>
            <w:tcW w:w="457" w:type="dxa"/>
            <w:shd w:val="clear" w:color="auto" w:fill="auto"/>
            <w:vAlign w:val="center"/>
          </w:tcPr>
          <w:p w:rsidR="00087571" w:rsidRPr="004D451D" w:rsidRDefault="00087571" w:rsidP="00087571">
            <w:pPr>
              <w:jc w:val="center"/>
              <w:rPr>
                <w:rFonts w:eastAsia="標楷體"/>
                <w:bCs/>
              </w:rPr>
            </w:pPr>
            <w:r w:rsidRPr="004D451D">
              <w:rPr>
                <w:rFonts w:eastAsia="標楷體" w:hint="eastAsia"/>
                <w:bCs/>
              </w:rPr>
              <w:t>1</w:t>
            </w:r>
            <w:r w:rsidR="001855AA" w:rsidRPr="004D451D">
              <w:rPr>
                <w:rFonts w:eastAsia="標楷體" w:hint="eastAsia"/>
                <w:bCs/>
              </w:rPr>
              <w:t>3</w:t>
            </w:r>
          </w:p>
        </w:tc>
        <w:tc>
          <w:tcPr>
            <w:tcW w:w="0" w:type="auto"/>
            <w:vAlign w:val="center"/>
          </w:tcPr>
          <w:p w:rsidR="00087571" w:rsidRPr="004D451D" w:rsidRDefault="00087571" w:rsidP="00087571">
            <w:pPr>
              <w:jc w:val="both"/>
              <w:rPr>
                <w:rFonts w:eastAsia="標楷體"/>
                <w:bCs/>
              </w:rPr>
            </w:pPr>
            <w:r w:rsidRPr="004D451D">
              <w:rPr>
                <w:rFonts w:eastAsia="標楷體"/>
                <w:bCs/>
              </w:rPr>
              <w:t>公開市場交易的證券</w:t>
            </w:r>
          </w:p>
        </w:tc>
        <w:tc>
          <w:tcPr>
            <w:tcW w:w="1461" w:type="dxa"/>
          </w:tcPr>
          <w:p w:rsidR="00087571" w:rsidRPr="004D451D" w:rsidRDefault="00087571" w:rsidP="00996B25">
            <w:pPr>
              <w:jc w:val="center"/>
              <w:rPr>
                <w:rFonts w:eastAsia="標楷體"/>
                <w:bCs/>
              </w:rPr>
            </w:pPr>
          </w:p>
        </w:tc>
        <w:tc>
          <w:tcPr>
            <w:tcW w:w="1417" w:type="dxa"/>
          </w:tcPr>
          <w:p w:rsidR="00087571" w:rsidRPr="004D451D" w:rsidRDefault="00087571" w:rsidP="00996B25">
            <w:pPr>
              <w:jc w:val="center"/>
              <w:rPr>
                <w:rFonts w:eastAsia="標楷體"/>
                <w:bCs/>
              </w:rPr>
            </w:pPr>
          </w:p>
        </w:tc>
        <w:tc>
          <w:tcPr>
            <w:tcW w:w="1560" w:type="dxa"/>
            <w:vAlign w:val="center"/>
          </w:tcPr>
          <w:p w:rsidR="00087571" w:rsidRPr="004D451D" w:rsidRDefault="00087571" w:rsidP="00087571">
            <w:pPr>
              <w:jc w:val="center"/>
              <w:rPr>
                <w:rFonts w:eastAsia="標楷體"/>
                <w:bCs/>
              </w:rPr>
            </w:pPr>
            <w:r w:rsidRPr="004D451D">
              <w:rPr>
                <w:rFonts w:eastAsia="標楷體"/>
                <w:bCs/>
              </w:rPr>
              <w:t>300%</w:t>
            </w:r>
          </w:p>
        </w:tc>
        <w:tc>
          <w:tcPr>
            <w:tcW w:w="1684" w:type="dxa"/>
          </w:tcPr>
          <w:p w:rsidR="00087571" w:rsidRPr="004D451D" w:rsidRDefault="00087571" w:rsidP="00996B25">
            <w:pPr>
              <w:jc w:val="center"/>
              <w:rPr>
                <w:rFonts w:eastAsia="標楷體"/>
                <w:bCs/>
              </w:rPr>
            </w:pPr>
          </w:p>
        </w:tc>
        <w:tc>
          <w:tcPr>
            <w:tcW w:w="1735" w:type="dxa"/>
          </w:tcPr>
          <w:p w:rsidR="00087571" w:rsidRPr="004D451D" w:rsidRDefault="00087571" w:rsidP="00996B25">
            <w:pPr>
              <w:jc w:val="center"/>
              <w:rPr>
                <w:rFonts w:eastAsia="標楷體"/>
                <w:bCs/>
              </w:rPr>
            </w:pPr>
          </w:p>
        </w:tc>
      </w:tr>
      <w:tr w:rsidR="004D451D" w:rsidRPr="004D451D" w:rsidTr="00E14F4C">
        <w:trPr>
          <w:trHeight w:val="566"/>
          <w:jc w:val="center"/>
        </w:trPr>
        <w:tc>
          <w:tcPr>
            <w:tcW w:w="457" w:type="dxa"/>
            <w:shd w:val="clear" w:color="auto" w:fill="auto"/>
            <w:vAlign w:val="center"/>
          </w:tcPr>
          <w:p w:rsidR="00087571" w:rsidRPr="004D451D" w:rsidRDefault="001855AA" w:rsidP="00087571">
            <w:pPr>
              <w:jc w:val="center"/>
              <w:rPr>
                <w:rFonts w:eastAsia="標楷體"/>
                <w:bCs/>
              </w:rPr>
            </w:pPr>
            <w:r w:rsidRPr="004D451D">
              <w:rPr>
                <w:rFonts w:eastAsia="標楷體" w:hint="eastAsia"/>
                <w:bCs/>
              </w:rPr>
              <w:t>14</w:t>
            </w:r>
          </w:p>
        </w:tc>
        <w:tc>
          <w:tcPr>
            <w:tcW w:w="0" w:type="auto"/>
            <w:vAlign w:val="center"/>
          </w:tcPr>
          <w:p w:rsidR="00087571" w:rsidRPr="004D451D" w:rsidRDefault="00087571" w:rsidP="00087571">
            <w:pPr>
              <w:jc w:val="both"/>
              <w:rPr>
                <w:rFonts w:eastAsia="標楷體"/>
                <w:bCs/>
              </w:rPr>
            </w:pPr>
            <w:r w:rsidRPr="004D451D">
              <w:rPr>
                <w:rFonts w:eastAsia="標楷體"/>
                <w:bCs/>
              </w:rPr>
              <w:t>其他權益證券暴險</w:t>
            </w:r>
          </w:p>
        </w:tc>
        <w:tc>
          <w:tcPr>
            <w:tcW w:w="1461" w:type="dxa"/>
          </w:tcPr>
          <w:p w:rsidR="00087571" w:rsidRPr="004D451D" w:rsidRDefault="00087571" w:rsidP="00996B25">
            <w:pPr>
              <w:jc w:val="center"/>
              <w:rPr>
                <w:rFonts w:eastAsia="標楷體"/>
                <w:bCs/>
              </w:rPr>
            </w:pPr>
          </w:p>
        </w:tc>
        <w:tc>
          <w:tcPr>
            <w:tcW w:w="1417" w:type="dxa"/>
          </w:tcPr>
          <w:p w:rsidR="00087571" w:rsidRPr="004D451D" w:rsidRDefault="00087571" w:rsidP="00996B25">
            <w:pPr>
              <w:jc w:val="center"/>
              <w:rPr>
                <w:rFonts w:eastAsia="標楷體"/>
                <w:bCs/>
              </w:rPr>
            </w:pPr>
          </w:p>
        </w:tc>
        <w:tc>
          <w:tcPr>
            <w:tcW w:w="1560" w:type="dxa"/>
            <w:vAlign w:val="center"/>
          </w:tcPr>
          <w:p w:rsidR="00087571" w:rsidRPr="004D451D" w:rsidRDefault="00087571" w:rsidP="00087571">
            <w:pPr>
              <w:jc w:val="center"/>
              <w:rPr>
                <w:rFonts w:eastAsia="標楷體"/>
                <w:bCs/>
              </w:rPr>
            </w:pPr>
            <w:r w:rsidRPr="004D451D">
              <w:rPr>
                <w:rFonts w:eastAsia="標楷體"/>
                <w:bCs/>
              </w:rPr>
              <w:t>400%</w:t>
            </w:r>
          </w:p>
        </w:tc>
        <w:tc>
          <w:tcPr>
            <w:tcW w:w="1684" w:type="dxa"/>
          </w:tcPr>
          <w:p w:rsidR="00087571" w:rsidRPr="004D451D" w:rsidRDefault="00087571" w:rsidP="00996B25">
            <w:pPr>
              <w:jc w:val="center"/>
              <w:rPr>
                <w:rFonts w:eastAsia="標楷體"/>
                <w:bCs/>
              </w:rPr>
            </w:pPr>
          </w:p>
        </w:tc>
        <w:tc>
          <w:tcPr>
            <w:tcW w:w="1735" w:type="dxa"/>
          </w:tcPr>
          <w:p w:rsidR="00087571" w:rsidRPr="004D451D" w:rsidRDefault="00087571" w:rsidP="00996B25">
            <w:pPr>
              <w:jc w:val="center"/>
              <w:rPr>
                <w:rFonts w:eastAsia="標楷體"/>
                <w:bCs/>
              </w:rPr>
            </w:pPr>
          </w:p>
        </w:tc>
      </w:tr>
      <w:tr w:rsidR="004D451D" w:rsidRPr="004D451D" w:rsidTr="0052536F">
        <w:trPr>
          <w:trHeight w:val="546"/>
          <w:jc w:val="center"/>
        </w:trPr>
        <w:tc>
          <w:tcPr>
            <w:tcW w:w="457" w:type="dxa"/>
            <w:shd w:val="clear" w:color="auto" w:fill="auto"/>
            <w:vAlign w:val="center"/>
          </w:tcPr>
          <w:p w:rsidR="00087571" w:rsidRPr="004D451D" w:rsidRDefault="001855AA" w:rsidP="00087571">
            <w:pPr>
              <w:jc w:val="center"/>
              <w:rPr>
                <w:rFonts w:eastAsia="標楷體"/>
                <w:bCs/>
              </w:rPr>
            </w:pPr>
            <w:r w:rsidRPr="004D451D">
              <w:rPr>
                <w:rFonts w:eastAsia="標楷體" w:hint="eastAsia"/>
                <w:bCs/>
              </w:rPr>
              <w:t>15</w:t>
            </w:r>
          </w:p>
        </w:tc>
        <w:tc>
          <w:tcPr>
            <w:tcW w:w="0" w:type="auto"/>
            <w:vAlign w:val="center"/>
          </w:tcPr>
          <w:p w:rsidR="00087571" w:rsidRPr="004D451D" w:rsidRDefault="00087571" w:rsidP="00087571">
            <w:pPr>
              <w:jc w:val="both"/>
              <w:rPr>
                <w:rFonts w:eastAsia="標楷體"/>
                <w:bCs/>
              </w:rPr>
            </w:pPr>
            <w:r w:rsidRPr="004D451D">
              <w:rPr>
                <w:rFonts w:eastAsia="標楷體"/>
                <w:bCs/>
              </w:rPr>
              <w:t>總計</w:t>
            </w:r>
          </w:p>
        </w:tc>
        <w:tc>
          <w:tcPr>
            <w:tcW w:w="1461" w:type="dxa"/>
          </w:tcPr>
          <w:p w:rsidR="00087571" w:rsidRPr="004D451D" w:rsidRDefault="00087571" w:rsidP="00996B25">
            <w:pPr>
              <w:jc w:val="center"/>
              <w:rPr>
                <w:rFonts w:eastAsia="標楷體"/>
                <w:bCs/>
              </w:rPr>
            </w:pPr>
          </w:p>
        </w:tc>
        <w:tc>
          <w:tcPr>
            <w:tcW w:w="1417" w:type="dxa"/>
          </w:tcPr>
          <w:p w:rsidR="00087571" w:rsidRPr="004D451D" w:rsidRDefault="00087571" w:rsidP="00996B25">
            <w:pPr>
              <w:jc w:val="center"/>
              <w:rPr>
                <w:rFonts w:eastAsia="標楷體"/>
                <w:bCs/>
              </w:rPr>
            </w:pPr>
          </w:p>
        </w:tc>
        <w:tc>
          <w:tcPr>
            <w:tcW w:w="1560" w:type="dxa"/>
            <w:shd w:val="clear" w:color="auto" w:fill="A6A6A6"/>
          </w:tcPr>
          <w:p w:rsidR="00087571" w:rsidRPr="004D451D" w:rsidRDefault="00087571" w:rsidP="00996B25">
            <w:pPr>
              <w:jc w:val="center"/>
              <w:rPr>
                <w:rFonts w:eastAsia="標楷體"/>
                <w:bCs/>
              </w:rPr>
            </w:pPr>
          </w:p>
        </w:tc>
        <w:tc>
          <w:tcPr>
            <w:tcW w:w="1684" w:type="dxa"/>
          </w:tcPr>
          <w:p w:rsidR="00087571" w:rsidRPr="004D451D" w:rsidRDefault="00087571" w:rsidP="00996B25">
            <w:pPr>
              <w:jc w:val="center"/>
              <w:rPr>
                <w:rFonts w:eastAsia="標楷體"/>
                <w:bCs/>
              </w:rPr>
            </w:pPr>
          </w:p>
        </w:tc>
        <w:tc>
          <w:tcPr>
            <w:tcW w:w="1735" w:type="dxa"/>
          </w:tcPr>
          <w:p w:rsidR="00087571" w:rsidRPr="004D451D" w:rsidRDefault="00087571" w:rsidP="00996B25">
            <w:pPr>
              <w:jc w:val="center"/>
              <w:rPr>
                <w:rFonts w:eastAsia="標楷體"/>
                <w:bCs/>
              </w:rPr>
            </w:pPr>
          </w:p>
        </w:tc>
      </w:tr>
      <w:tr w:rsidR="004D451D" w:rsidRPr="004D451D" w:rsidTr="00087571">
        <w:trPr>
          <w:trHeight w:val="696"/>
          <w:jc w:val="center"/>
        </w:trPr>
        <w:tc>
          <w:tcPr>
            <w:tcW w:w="10690" w:type="dxa"/>
            <w:gridSpan w:val="7"/>
            <w:shd w:val="clear" w:color="auto" w:fill="auto"/>
          </w:tcPr>
          <w:p w:rsidR="00087571" w:rsidRPr="004D451D" w:rsidRDefault="00087571" w:rsidP="00996B25">
            <w:pPr>
              <w:spacing w:line="360" w:lineRule="auto"/>
              <w:rPr>
                <w:rFonts w:eastAsia="標楷體"/>
              </w:rPr>
            </w:pPr>
            <w:r w:rsidRPr="004D451D">
              <w:rPr>
                <w:rFonts w:eastAsia="標楷體"/>
                <w:bCs/>
              </w:rPr>
              <w:t>重大變動原因及說明</w:t>
            </w:r>
            <w:r w:rsidRPr="004D451D">
              <w:rPr>
                <w:rFonts w:eastAsia="標楷體" w:hint="eastAsia"/>
                <w:bCs/>
              </w:rPr>
              <w:t>：</w:t>
            </w:r>
          </w:p>
        </w:tc>
      </w:tr>
    </w:tbl>
    <w:p w:rsidR="00AB1834" w:rsidRPr="004D451D" w:rsidRDefault="00AB1834" w:rsidP="00AB1834">
      <w:pPr>
        <w:spacing w:line="240" w:lineRule="atLeast"/>
        <w:rPr>
          <w:rFonts w:eastAsia="標楷體"/>
          <w:b/>
          <w:kern w:val="0"/>
        </w:rPr>
      </w:pPr>
    </w:p>
    <w:p w:rsidR="00BF33CC" w:rsidRPr="004D451D" w:rsidRDefault="00BF33CC" w:rsidP="00AB1834">
      <w:pPr>
        <w:spacing w:line="240" w:lineRule="atLeast"/>
        <w:rPr>
          <w:rFonts w:eastAsia="標楷體"/>
          <w:b/>
          <w:kern w:val="0"/>
        </w:rPr>
      </w:pPr>
      <w:r w:rsidRPr="004D451D">
        <w:rPr>
          <w:rFonts w:eastAsia="標楷體"/>
          <w:b/>
          <w:kern w:val="0"/>
        </w:rPr>
        <w:t>填表說明：</w:t>
      </w:r>
    </w:p>
    <w:p w:rsidR="00BF33CC" w:rsidRPr="004D451D" w:rsidRDefault="00BF33CC" w:rsidP="00EF4134">
      <w:pPr>
        <w:numPr>
          <w:ilvl w:val="0"/>
          <w:numId w:val="47"/>
        </w:numPr>
        <w:spacing w:line="240" w:lineRule="atLeast"/>
        <w:ind w:leftChars="150" w:left="720" w:hangingChars="150"/>
        <w:rPr>
          <w:rFonts w:eastAsia="標楷體"/>
        </w:rPr>
      </w:pPr>
      <w:r w:rsidRPr="004D451D">
        <w:rPr>
          <w:rFonts w:eastAsia="標楷體"/>
        </w:rPr>
        <w:t>本表更新頻率：</w:t>
      </w:r>
      <w:r w:rsidR="005C7E9C" w:rsidRPr="004D451D">
        <w:rPr>
          <w:rFonts w:eastAsia="標楷體"/>
        </w:rPr>
        <w:t>半</w:t>
      </w:r>
      <w:r w:rsidRPr="004D451D">
        <w:rPr>
          <w:rFonts w:eastAsia="標楷體"/>
        </w:rPr>
        <w:t>年。</w:t>
      </w:r>
    </w:p>
    <w:p w:rsidR="00AB1834" w:rsidRPr="004D451D" w:rsidRDefault="00AB1834" w:rsidP="00EF4134">
      <w:pPr>
        <w:numPr>
          <w:ilvl w:val="0"/>
          <w:numId w:val="47"/>
        </w:numPr>
        <w:spacing w:line="240" w:lineRule="atLeast"/>
        <w:ind w:leftChars="150" w:left="720" w:hangingChars="150"/>
        <w:rPr>
          <w:rFonts w:eastAsia="標楷體"/>
        </w:rPr>
      </w:pPr>
      <w:r w:rsidRPr="004D451D">
        <w:rPr>
          <w:rFonts w:eastAsia="標楷體"/>
        </w:rPr>
        <w:t>本表採個體基礎填報。</w:t>
      </w:r>
    </w:p>
    <w:p w:rsidR="00AB1834" w:rsidRPr="004D451D" w:rsidRDefault="00AB1834" w:rsidP="00EF4134">
      <w:pPr>
        <w:numPr>
          <w:ilvl w:val="0"/>
          <w:numId w:val="47"/>
        </w:numPr>
        <w:spacing w:line="240" w:lineRule="atLeast"/>
        <w:ind w:leftChars="150" w:left="720" w:hangingChars="150"/>
        <w:rPr>
          <w:rFonts w:eastAsia="標楷體"/>
        </w:rPr>
      </w:pPr>
      <w:r w:rsidRPr="004D451D">
        <w:rPr>
          <w:rFonts w:eastAsia="標楷體"/>
        </w:rPr>
        <w:t>本表可與主管機關第一支柱申報表【表</w:t>
      </w:r>
      <w:r w:rsidRPr="004D451D">
        <w:rPr>
          <w:rFonts w:eastAsia="標楷體"/>
        </w:rPr>
        <w:t>3-C</w:t>
      </w:r>
      <w:r w:rsidRPr="004D451D">
        <w:rPr>
          <w:rFonts w:eastAsia="標楷體"/>
        </w:rPr>
        <w:t>】勾稽，相關欄位填報說明如下：</w:t>
      </w:r>
    </w:p>
    <w:p w:rsidR="00AB1834" w:rsidRPr="004D451D" w:rsidRDefault="00AB1834" w:rsidP="00482E54">
      <w:pPr>
        <w:numPr>
          <w:ilvl w:val="0"/>
          <w:numId w:val="48"/>
        </w:numPr>
        <w:spacing w:line="240" w:lineRule="atLeast"/>
        <w:ind w:leftChars="250" w:left="1080" w:hangingChars="200" w:hanging="480"/>
        <w:rPr>
          <w:rFonts w:eastAsia="標楷體"/>
        </w:rPr>
      </w:pPr>
      <w:r w:rsidRPr="004D451D">
        <w:rPr>
          <w:rFonts w:eastAsia="標楷體"/>
        </w:rPr>
        <w:t>特殊融資的分類與外部評等之對照情形大致如下：</w:t>
      </w:r>
    </w:p>
    <w:tbl>
      <w:tblPr>
        <w:tblpPr w:leftFromText="180" w:rightFromText="180" w:vertAnchor="text" w:horzAnchor="page" w:tblpX="2304" w:tblpY="179"/>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292"/>
        <w:gridCol w:w="1212"/>
        <w:gridCol w:w="977"/>
        <w:gridCol w:w="918"/>
      </w:tblGrid>
      <w:tr w:rsidR="004D451D" w:rsidRPr="004D451D" w:rsidTr="00F605F6">
        <w:trPr>
          <w:trHeight w:val="255"/>
        </w:trPr>
        <w:tc>
          <w:tcPr>
            <w:tcW w:w="0" w:type="auto"/>
            <w:vAlign w:val="center"/>
          </w:tcPr>
          <w:p w:rsidR="00AB1834" w:rsidRPr="004D451D" w:rsidRDefault="00AB1834" w:rsidP="00AB1834">
            <w:pPr>
              <w:spacing w:line="240" w:lineRule="atLeast"/>
              <w:jc w:val="center"/>
              <w:rPr>
                <w:rFonts w:eastAsia="標楷體"/>
                <w:bCs/>
              </w:rPr>
            </w:pPr>
            <w:r w:rsidRPr="004D451D">
              <w:rPr>
                <w:rFonts w:eastAsia="標楷體"/>
                <w:bCs/>
              </w:rPr>
              <w:t>健全</w:t>
            </w:r>
          </w:p>
        </w:tc>
        <w:tc>
          <w:tcPr>
            <w:tcW w:w="0" w:type="auto"/>
            <w:vAlign w:val="center"/>
          </w:tcPr>
          <w:p w:rsidR="00AB1834" w:rsidRPr="004D451D" w:rsidRDefault="00AB1834" w:rsidP="00AB1834">
            <w:pPr>
              <w:spacing w:line="240" w:lineRule="atLeast"/>
              <w:jc w:val="center"/>
              <w:rPr>
                <w:rFonts w:eastAsia="標楷體"/>
                <w:bCs/>
              </w:rPr>
            </w:pPr>
            <w:r w:rsidRPr="004D451D">
              <w:rPr>
                <w:rFonts w:eastAsia="標楷體"/>
                <w:bCs/>
              </w:rPr>
              <w:t>良好</w:t>
            </w:r>
          </w:p>
        </w:tc>
        <w:tc>
          <w:tcPr>
            <w:tcW w:w="0" w:type="auto"/>
            <w:vAlign w:val="center"/>
          </w:tcPr>
          <w:p w:rsidR="00AB1834" w:rsidRPr="004D451D" w:rsidRDefault="00AB1834" w:rsidP="00AB1834">
            <w:pPr>
              <w:spacing w:line="240" w:lineRule="atLeast"/>
              <w:jc w:val="center"/>
              <w:rPr>
                <w:rFonts w:eastAsia="標楷體"/>
                <w:bCs/>
              </w:rPr>
            </w:pPr>
            <w:r w:rsidRPr="004D451D">
              <w:rPr>
                <w:rFonts w:eastAsia="標楷體"/>
                <w:bCs/>
              </w:rPr>
              <w:t>滿意</w:t>
            </w:r>
          </w:p>
        </w:tc>
        <w:tc>
          <w:tcPr>
            <w:tcW w:w="0" w:type="auto"/>
            <w:vAlign w:val="center"/>
          </w:tcPr>
          <w:p w:rsidR="00AB1834" w:rsidRPr="004D451D" w:rsidRDefault="00AB1834" w:rsidP="00AB1834">
            <w:pPr>
              <w:spacing w:line="240" w:lineRule="atLeast"/>
              <w:jc w:val="center"/>
              <w:rPr>
                <w:rFonts w:eastAsia="標楷體"/>
                <w:bCs/>
              </w:rPr>
            </w:pPr>
            <w:r w:rsidRPr="004D451D">
              <w:rPr>
                <w:rFonts w:eastAsia="標楷體"/>
                <w:bCs/>
              </w:rPr>
              <w:t>略弱</w:t>
            </w:r>
          </w:p>
        </w:tc>
        <w:tc>
          <w:tcPr>
            <w:tcW w:w="918" w:type="dxa"/>
            <w:vAlign w:val="center"/>
          </w:tcPr>
          <w:p w:rsidR="00AB1834" w:rsidRPr="004D451D" w:rsidRDefault="00AB1834" w:rsidP="00AB1834">
            <w:pPr>
              <w:spacing w:line="240" w:lineRule="atLeast"/>
              <w:jc w:val="center"/>
              <w:rPr>
                <w:rFonts w:eastAsia="標楷體"/>
                <w:bCs/>
              </w:rPr>
            </w:pPr>
            <w:r w:rsidRPr="004D451D">
              <w:rPr>
                <w:rFonts w:eastAsia="標楷體"/>
                <w:bCs/>
              </w:rPr>
              <w:t>違約</w:t>
            </w:r>
          </w:p>
        </w:tc>
      </w:tr>
      <w:tr w:rsidR="004D451D" w:rsidRPr="004D451D" w:rsidTr="00F605F6">
        <w:tc>
          <w:tcPr>
            <w:tcW w:w="0" w:type="auto"/>
          </w:tcPr>
          <w:p w:rsidR="00AB1834" w:rsidRPr="004D451D" w:rsidRDefault="00AB1834" w:rsidP="00AB1834">
            <w:pPr>
              <w:spacing w:line="240" w:lineRule="atLeast"/>
              <w:jc w:val="center"/>
              <w:rPr>
                <w:rFonts w:eastAsia="標楷體"/>
                <w:bCs/>
              </w:rPr>
            </w:pPr>
            <w:r w:rsidRPr="004D451D">
              <w:rPr>
                <w:rFonts w:eastAsia="標楷體"/>
                <w:bCs/>
              </w:rPr>
              <w:t>BBB-(</w:t>
            </w:r>
            <w:r w:rsidRPr="004D451D">
              <w:rPr>
                <w:rFonts w:eastAsia="標楷體"/>
                <w:bCs/>
              </w:rPr>
              <w:t>含</w:t>
            </w:r>
            <w:r w:rsidRPr="004D451D">
              <w:rPr>
                <w:rFonts w:eastAsia="標楷體"/>
                <w:bCs/>
              </w:rPr>
              <w:t>)</w:t>
            </w:r>
          </w:p>
        </w:tc>
        <w:tc>
          <w:tcPr>
            <w:tcW w:w="0" w:type="auto"/>
          </w:tcPr>
          <w:p w:rsidR="00AB1834" w:rsidRPr="004D451D" w:rsidRDefault="00AB1834" w:rsidP="00AB1834">
            <w:pPr>
              <w:spacing w:line="240" w:lineRule="atLeast"/>
              <w:jc w:val="center"/>
              <w:rPr>
                <w:rFonts w:eastAsia="標楷體"/>
                <w:bCs/>
              </w:rPr>
            </w:pPr>
            <w:r w:rsidRPr="004D451D">
              <w:rPr>
                <w:rFonts w:eastAsia="標楷體"/>
                <w:bCs/>
              </w:rPr>
              <w:t>BB+</w:t>
            </w:r>
            <w:r w:rsidRPr="004D451D">
              <w:rPr>
                <w:rFonts w:eastAsia="標楷體"/>
                <w:bCs/>
              </w:rPr>
              <w:t>到</w:t>
            </w:r>
            <w:r w:rsidRPr="004D451D">
              <w:rPr>
                <w:rFonts w:eastAsia="標楷體"/>
                <w:bCs/>
              </w:rPr>
              <w:t>BB</w:t>
            </w:r>
          </w:p>
        </w:tc>
        <w:tc>
          <w:tcPr>
            <w:tcW w:w="0" w:type="auto"/>
          </w:tcPr>
          <w:p w:rsidR="00AB1834" w:rsidRPr="004D451D" w:rsidRDefault="00AB1834" w:rsidP="00AB1834">
            <w:pPr>
              <w:spacing w:line="240" w:lineRule="atLeast"/>
              <w:jc w:val="center"/>
              <w:rPr>
                <w:rFonts w:eastAsia="標楷體"/>
                <w:bCs/>
              </w:rPr>
            </w:pPr>
            <w:r w:rsidRPr="004D451D">
              <w:rPr>
                <w:rFonts w:eastAsia="標楷體"/>
                <w:bCs/>
              </w:rPr>
              <w:t>BB-</w:t>
            </w:r>
            <w:r w:rsidRPr="004D451D">
              <w:rPr>
                <w:rFonts w:eastAsia="標楷體"/>
                <w:bCs/>
              </w:rPr>
              <w:t>到</w:t>
            </w:r>
            <w:r w:rsidRPr="004D451D">
              <w:rPr>
                <w:rFonts w:eastAsia="標楷體"/>
                <w:bCs/>
              </w:rPr>
              <w:t>B+</w:t>
            </w:r>
          </w:p>
        </w:tc>
        <w:tc>
          <w:tcPr>
            <w:tcW w:w="0" w:type="auto"/>
          </w:tcPr>
          <w:p w:rsidR="00AB1834" w:rsidRPr="004D451D" w:rsidRDefault="00AB1834" w:rsidP="00AB1834">
            <w:pPr>
              <w:spacing w:line="240" w:lineRule="atLeast"/>
              <w:jc w:val="center"/>
              <w:rPr>
                <w:rFonts w:eastAsia="標楷體"/>
                <w:bCs/>
              </w:rPr>
            </w:pPr>
            <w:r w:rsidRPr="004D451D">
              <w:rPr>
                <w:rFonts w:eastAsia="標楷體"/>
                <w:bCs/>
              </w:rPr>
              <w:t>B</w:t>
            </w:r>
            <w:r w:rsidRPr="004D451D">
              <w:rPr>
                <w:rFonts w:eastAsia="標楷體"/>
                <w:bCs/>
              </w:rPr>
              <w:t>到</w:t>
            </w:r>
            <w:r w:rsidRPr="004D451D">
              <w:rPr>
                <w:rFonts w:eastAsia="標楷體"/>
                <w:bCs/>
              </w:rPr>
              <w:t>C-</w:t>
            </w:r>
          </w:p>
        </w:tc>
        <w:tc>
          <w:tcPr>
            <w:tcW w:w="918" w:type="dxa"/>
          </w:tcPr>
          <w:p w:rsidR="00AB1834" w:rsidRPr="004D451D" w:rsidRDefault="00AB1834" w:rsidP="00AB1834">
            <w:pPr>
              <w:spacing w:line="240" w:lineRule="atLeast"/>
              <w:jc w:val="center"/>
              <w:rPr>
                <w:rFonts w:eastAsia="標楷體"/>
                <w:bCs/>
              </w:rPr>
            </w:pPr>
            <w:r w:rsidRPr="004D451D">
              <w:rPr>
                <w:rFonts w:eastAsia="標楷體"/>
                <w:bCs/>
              </w:rPr>
              <w:t>N/A</w:t>
            </w:r>
          </w:p>
        </w:tc>
      </w:tr>
    </w:tbl>
    <w:p w:rsidR="00AB1834" w:rsidRPr="004D451D" w:rsidRDefault="00AB1834" w:rsidP="00AB1834">
      <w:pPr>
        <w:spacing w:line="240" w:lineRule="atLeast"/>
        <w:ind w:left="720"/>
        <w:rPr>
          <w:rFonts w:eastAsia="標楷體"/>
        </w:rPr>
      </w:pPr>
    </w:p>
    <w:p w:rsidR="00AB1834" w:rsidRPr="004D451D" w:rsidRDefault="00AB1834" w:rsidP="00AB1834">
      <w:pPr>
        <w:spacing w:line="240" w:lineRule="atLeast"/>
        <w:ind w:left="720"/>
        <w:rPr>
          <w:rFonts w:eastAsia="標楷體"/>
        </w:rPr>
      </w:pPr>
    </w:p>
    <w:p w:rsidR="00AB1834" w:rsidRPr="004D451D" w:rsidRDefault="00AB1834" w:rsidP="00AB1834">
      <w:pPr>
        <w:spacing w:line="240" w:lineRule="atLeast"/>
        <w:ind w:left="720"/>
        <w:rPr>
          <w:rFonts w:eastAsia="標楷體"/>
        </w:rPr>
      </w:pPr>
    </w:p>
    <w:p w:rsidR="00AB1834" w:rsidRPr="004D451D" w:rsidRDefault="00AB1834" w:rsidP="00482E54">
      <w:pPr>
        <w:numPr>
          <w:ilvl w:val="0"/>
          <w:numId w:val="48"/>
        </w:numPr>
        <w:spacing w:line="240" w:lineRule="atLeast"/>
        <w:ind w:leftChars="250" w:left="1080" w:hangingChars="200" w:hanging="480"/>
        <w:rPr>
          <w:rFonts w:eastAsia="標楷體"/>
        </w:rPr>
      </w:pPr>
      <w:r w:rsidRPr="004D451D">
        <w:rPr>
          <w:rFonts w:eastAsia="標楷體"/>
        </w:rPr>
        <w:t>簡易風險權重法下的權益證券下，所謂公開市場的認定是以在被認可之證券交易所</w:t>
      </w:r>
      <w:r w:rsidR="00B96483" w:rsidRPr="004D451D">
        <w:rPr>
          <w:rFonts w:eastAsia="標楷體" w:hint="eastAsia"/>
        </w:rPr>
        <w:t>進</w:t>
      </w:r>
      <w:r w:rsidRPr="004D451D">
        <w:rPr>
          <w:rFonts w:eastAsia="標楷體"/>
        </w:rPr>
        <w:t>行之有價證券買賣。</w:t>
      </w:r>
    </w:p>
    <w:p w:rsidR="00AB1834" w:rsidRPr="004D451D" w:rsidRDefault="00AB1834" w:rsidP="00482E54">
      <w:pPr>
        <w:numPr>
          <w:ilvl w:val="0"/>
          <w:numId w:val="48"/>
        </w:numPr>
        <w:spacing w:line="240" w:lineRule="atLeast"/>
        <w:ind w:leftChars="250" w:left="1080" w:hangingChars="200" w:hanging="480"/>
        <w:rPr>
          <w:rFonts w:eastAsia="標楷體"/>
        </w:rPr>
      </w:pPr>
      <w:r w:rsidRPr="004D451D">
        <w:rPr>
          <w:rFonts w:eastAsia="標楷體"/>
        </w:rPr>
        <w:t>表內金額：銀行須揭露之暴險金額</w:t>
      </w:r>
      <w:r w:rsidRPr="004D451D">
        <w:rPr>
          <w:rFonts w:eastAsia="標楷體"/>
        </w:rPr>
        <w:t>(</w:t>
      </w:r>
      <w:r w:rsidRPr="004D451D">
        <w:rPr>
          <w:rFonts w:eastAsia="標楷體"/>
        </w:rPr>
        <w:t>扣除損失準備及轉銷</w:t>
      </w:r>
      <w:r w:rsidR="00B96483" w:rsidRPr="004D451D">
        <w:rPr>
          <w:rFonts w:eastAsia="標楷體" w:hint="eastAsia"/>
        </w:rPr>
        <w:t>呆帳</w:t>
      </w:r>
      <w:r w:rsidRPr="004D451D">
        <w:rPr>
          <w:rFonts w:eastAsia="標楷體"/>
        </w:rPr>
        <w:t>)</w:t>
      </w:r>
      <w:r w:rsidRPr="004D451D">
        <w:rPr>
          <w:rFonts w:eastAsia="標楷體"/>
        </w:rPr>
        <w:t>。</w:t>
      </w:r>
    </w:p>
    <w:p w:rsidR="00AB1834" w:rsidRPr="004D451D" w:rsidRDefault="00AB1834" w:rsidP="00482E54">
      <w:pPr>
        <w:numPr>
          <w:ilvl w:val="0"/>
          <w:numId w:val="48"/>
        </w:numPr>
        <w:spacing w:line="240" w:lineRule="atLeast"/>
        <w:ind w:leftChars="250" w:left="1080" w:hangingChars="200" w:hanging="480"/>
        <w:rPr>
          <w:rFonts w:eastAsia="標楷體"/>
        </w:rPr>
      </w:pPr>
      <w:r w:rsidRPr="004D451D">
        <w:rPr>
          <w:rFonts w:eastAsia="標楷體"/>
        </w:rPr>
        <w:t>表外金額：銀行須揭露未考慮</w:t>
      </w:r>
      <w:r w:rsidR="00B96483" w:rsidRPr="004D451D">
        <w:rPr>
          <w:rFonts w:eastAsia="標楷體" w:hint="eastAsia"/>
        </w:rPr>
        <w:t>轉換</w:t>
      </w:r>
      <w:r w:rsidRPr="004D451D">
        <w:rPr>
          <w:rFonts w:eastAsia="標楷體"/>
        </w:rPr>
        <w:t>係數及信用風險抵減方法下暴險額。</w:t>
      </w:r>
    </w:p>
    <w:p w:rsidR="00AB1834" w:rsidRPr="004D451D" w:rsidRDefault="00AB1834" w:rsidP="00482E54">
      <w:pPr>
        <w:numPr>
          <w:ilvl w:val="0"/>
          <w:numId w:val="48"/>
        </w:numPr>
        <w:spacing w:line="240" w:lineRule="atLeast"/>
        <w:ind w:leftChars="250" w:left="1080" w:hangingChars="200" w:hanging="480"/>
        <w:rPr>
          <w:rFonts w:eastAsia="標楷體"/>
        </w:rPr>
      </w:pPr>
      <w:r w:rsidRPr="004D451D">
        <w:rPr>
          <w:rFonts w:eastAsia="標楷體"/>
        </w:rPr>
        <w:t>暴險金額：此為用來計算資本要求的金額，故為考慮</w:t>
      </w:r>
      <w:r w:rsidR="00B96483" w:rsidRPr="004D451D">
        <w:rPr>
          <w:rFonts w:eastAsia="標楷體" w:hint="eastAsia"/>
        </w:rPr>
        <w:t>轉換</w:t>
      </w:r>
      <w:r w:rsidRPr="004D451D">
        <w:rPr>
          <w:rFonts w:eastAsia="標楷體"/>
        </w:rPr>
        <w:t>係數及信用風險抵減方法下暴險額。</w:t>
      </w:r>
    </w:p>
    <w:p w:rsidR="00253D89" w:rsidRPr="004D451D" w:rsidRDefault="00AB1834" w:rsidP="00482E54">
      <w:pPr>
        <w:numPr>
          <w:ilvl w:val="0"/>
          <w:numId w:val="48"/>
        </w:numPr>
        <w:spacing w:line="240" w:lineRule="atLeast"/>
        <w:ind w:leftChars="250" w:left="1080" w:hangingChars="200" w:hanging="480"/>
        <w:rPr>
          <w:rFonts w:eastAsia="標楷體"/>
        </w:rPr>
      </w:pPr>
      <w:r w:rsidRPr="004D451D">
        <w:rPr>
          <w:rFonts w:eastAsia="標楷體"/>
        </w:rPr>
        <w:t>預期損失：對特殊融資採主管機關分類基礎法之暴險而言，預期損失的金額是由下述風險權數乘以暴險金額所得到之風險性資產，再乘以</w:t>
      </w:r>
      <w:r w:rsidRPr="004D451D">
        <w:rPr>
          <w:rFonts w:eastAsia="標楷體"/>
        </w:rPr>
        <w:t>8%</w:t>
      </w:r>
      <w:r w:rsidRPr="004D451D">
        <w:rPr>
          <w:rFonts w:eastAsia="標楷體"/>
        </w:rPr>
        <w:t>得出。</w:t>
      </w:r>
    </w:p>
    <w:tbl>
      <w:tblPr>
        <w:tblpPr w:leftFromText="180" w:rightFromText="180" w:vertAnchor="text" w:horzAnchor="margin" w:tblpXSpec="center"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28"/>
        <w:gridCol w:w="1428"/>
        <w:gridCol w:w="1428"/>
        <w:gridCol w:w="1428"/>
        <w:gridCol w:w="1428"/>
      </w:tblGrid>
      <w:tr w:rsidR="004D451D" w:rsidRPr="004D451D" w:rsidTr="00087571">
        <w:trPr>
          <w:trHeight w:val="598"/>
        </w:trPr>
        <w:tc>
          <w:tcPr>
            <w:tcW w:w="4284" w:type="dxa"/>
            <w:gridSpan w:val="3"/>
            <w:vAlign w:val="center"/>
          </w:tcPr>
          <w:p w:rsidR="00087571" w:rsidRPr="004D451D" w:rsidRDefault="00087571" w:rsidP="00087571">
            <w:pPr>
              <w:spacing w:line="240" w:lineRule="atLeast"/>
              <w:jc w:val="both"/>
              <w:rPr>
                <w:rFonts w:eastAsia="標楷體"/>
                <w:b/>
              </w:rPr>
            </w:pPr>
            <w:r w:rsidRPr="004D451D">
              <w:rPr>
                <w:rFonts w:eastAsia="標楷體"/>
                <w:b/>
              </w:rPr>
              <w:t>非高風險商用不動產融資</w:t>
            </w:r>
          </w:p>
        </w:tc>
        <w:tc>
          <w:tcPr>
            <w:tcW w:w="4284" w:type="dxa"/>
            <w:gridSpan w:val="3"/>
            <w:vAlign w:val="center"/>
          </w:tcPr>
          <w:p w:rsidR="00087571" w:rsidRPr="004D451D" w:rsidRDefault="00087571" w:rsidP="00087571">
            <w:pPr>
              <w:spacing w:line="240" w:lineRule="atLeast"/>
              <w:jc w:val="both"/>
              <w:rPr>
                <w:rFonts w:eastAsia="標楷體"/>
                <w:b/>
              </w:rPr>
            </w:pPr>
            <w:r w:rsidRPr="004D451D">
              <w:rPr>
                <w:rFonts w:eastAsia="標楷體"/>
                <w:b/>
              </w:rPr>
              <w:t>高風險商用不動產融資</w:t>
            </w:r>
          </w:p>
        </w:tc>
      </w:tr>
      <w:tr w:rsidR="004D451D" w:rsidRPr="004D451D" w:rsidTr="00087571">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法定類別</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剩餘期間</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風險權數</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法定類別</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剩餘期間</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風險權數</w:t>
            </w:r>
          </w:p>
        </w:tc>
      </w:tr>
      <w:tr w:rsidR="004D451D" w:rsidRPr="004D451D" w:rsidTr="00087571">
        <w:trPr>
          <w:trHeight w:val="342"/>
        </w:trPr>
        <w:tc>
          <w:tcPr>
            <w:tcW w:w="1428" w:type="dxa"/>
            <w:vMerge w:val="restart"/>
            <w:vAlign w:val="center"/>
          </w:tcPr>
          <w:p w:rsidR="00087571" w:rsidRPr="004D451D" w:rsidRDefault="00087571" w:rsidP="00087571">
            <w:pPr>
              <w:spacing w:line="240" w:lineRule="atLeast"/>
              <w:jc w:val="center"/>
              <w:rPr>
                <w:rFonts w:eastAsia="標楷體"/>
                <w:bCs/>
              </w:rPr>
            </w:pPr>
            <w:r w:rsidRPr="004D451D">
              <w:rPr>
                <w:rFonts w:eastAsia="標楷體"/>
                <w:bCs/>
              </w:rPr>
              <w:t>健全</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hint="eastAsia"/>
                <w:bCs/>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0%</w:t>
            </w:r>
          </w:p>
        </w:tc>
        <w:tc>
          <w:tcPr>
            <w:tcW w:w="1428" w:type="dxa"/>
            <w:vMerge w:val="restart"/>
            <w:vAlign w:val="center"/>
          </w:tcPr>
          <w:p w:rsidR="00087571" w:rsidRPr="004D451D" w:rsidRDefault="00087571" w:rsidP="00087571">
            <w:pPr>
              <w:spacing w:line="240" w:lineRule="atLeast"/>
              <w:jc w:val="center"/>
              <w:rPr>
                <w:rFonts w:eastAsia="標楷體"/>
                <w:bCs/>
              </w:rPr>
            </w:pPr>
            <w:r w:rsidRPr="004D451D">
              <w:rPr>
                <w:rFonts w:eastAsia="標楷體"/>
                <w:bCs/>
              </w:rPr>
              <w:t>健全</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hint="eastAsia"/>
                <w:bCs/>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5%</w:t>
            </w:r>
          </w:p>
        </w:tc>
      </w:tr>
      <w:tr w:rsidR="004D451D" w:rsidRPr="004D451D" w:rsidTr="00087571">
        <w:tc>
          <w:tcPr>
            <w:tcW w:w="1428" w:type="dxa"/>
            <w:vMerge/>
            <w:vAlign w:val="center"/>
          </w:tcPr>
          <w:p w:rsidR="00087571" w:rsidRPr="004D451D" w:rsidRDefault="00087571" w:rsidP="00087571">
            <w:pPr>
              <w:spacing w:line="240" w:lineRule="atLeast"/>
              <w:jc w:val="center"/>
              <w:rPr>
                <w:rFonts w:eastAsia="標楷體"/>
                <w:bCs/>
              </w:rPr>
            </w:pPr>
          </w:p>
        </w:tc>
        <w:tc>
          <w:tcPr>
            <w:tcW w:w="1428" w:type="dxa"/>
            <w:vAlign w:val="center"/>
          </w:tcPr>
          <w:p w:rsidR="00087571" w:rsidRPr="004D451D" w:rsidRDefault="00087571" w:rsidP="00087571">
            <w:pPr>
              <w:spacing w:line="240" w:lineRule="atLeast"/>
              <w:jc w:val="center"/>
              <w:rPr>
                <w:rFonts w:eastAsia="標楷體"/>
                <w:bCs/>
              </w:rPr>
            </w:pPr>
            <w:r w:rsidRPr="004D451D">
              <w:rPr>
                <w:rFonts w:ascii="新細明體" w:hAnsi="新細明體" w:hint="eastAsia"/>
                <w:b/>
                <w:bCs/>
                <w:kern w:val="24"/>
                <w:sz w:val="20"/>
                <w:szCs w:val="20"/>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5%</w:t>
            </w:r>
          </w:p>
        </w:tc>
        <w:tc>
          <w:tcPr>
            <w:tcW w:w="1428" w:type="dxa"/>
            <w:vMerge/>
            <w:vAlign w:val="center"/>
          </w:tcPr>
          <w:p w:rsidR="00087571" w:rsidRPr="004D451D" w:rsidRDefault="00087571" w:rsidP="00087571">
            <w:pPr>
              <w:spacing w:line="240" w:lineRule="atLeast"/>
              <w:jc w:val="center"/>
              <w:rPr>
                <w:rFonts w:eastAsia="標楷體"/>
                <w:bCs/>
              </w:rPr>
            </w:pPr>
          </w:p>
        </w:tc>
        <w:tc>
          <w:tcPr>
            <w:tcW w:w="1428" w:type="dxa"/>
            <w:vAlign w:val="center"/>
          </w:tcPr>
          <w:p w:rsidR="00087571" w:rsidRPr="004D451D" w:rsidRDefault="00087571" w:rsidP="00087571">
            <w:pPr>
              <w:spacing w:line="240" w:lineRule="atLeast"/>
              <w:jc w:val="center"/>
              <w:rPr>
                <w:rFonts w:eastAsia="標楷體"/>
                <w:bCs/>
              </w:rPr>
            </w:pPr>
            <w:r w:rsidRPr="004D451D">
              <w:rPr>
                <w:rFonts w:ascii="新細明體" w:hAnsi="新細明體" w:hint="eastAsia"/>
                <w:b/>
                <w:bCs/>
                <w:kern w:val="24"/>
                <w:sz w:val="20"/>
                <w:szCs w:val="20"/>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5%</w:t>
            </w:r>
          </w:p>
        </w:tc>
      </w:tr>
      <w:tr w:rsidR="004D451D" w:rsidRPr="004D451D" w:rsidTr="00087571">
        <w:tc>
          <w:tcPr>
            <w:tcW w:w="1428" w:type="dxa"/>
            <w:vMerge w:val="restart"/>
            <w:vAlign w:val="center"/>
          </w:tcPr>
          <w:p w:rsidR="00087571" w:rsidRPr="004D451D" w:rsidRDefault="00087571" w:rsidP="00087571">
            <w:pPr>
              <w:spacing w:line="240" w:lineRule="atLeast"/>
              <w:jc w:val="center"/>
              <w:rPr>
                <w:rFonts w:eastAsia="標楷體"/>
                <w:bCs/>
              </w:rPr>
            </w:pPr>
            <w:r w:rsidRPr="004D451D">
              <w:rPr>
                <w:rFonts w:eastAsia="標楷體"/>
                <w:bCs/>
              </w:rPr>
              <w:t>良好</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hint="eastAsia"/>
                <w:bCs/>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5%</w:t>
            </w:r>
          </w:p>
        </w:tc>
        <w:tc>
          <w:tcPr>
            <w:tcW w:w="1428" w:type="dxa"/>
            <w:vMerge w:val="restart"/>
            <w:vAlign w:val="center"/>
          </w:tcPr>
          <w:p w:rsidR="00087571" w:rsidRPr="004D451D" w:rsidRDefault="00087571" w:rsidP="00087571">
            <w:pPr>
              <w:spacing w:line="240" w:lineRule="atLeast"/>
              <w:jc w:val="center"/>
              <w:rPr>
                <w:rFonts w:eastAsia="標楷體"/>
                <w:bCs/>
              </w:rPr>
            </w:pPr>
            <w:r w:rsidRPr="004D451D">
              <w:rPr>
                <w:rFonts w:eastAsia="標楷體"/>
                <w:bCs/>
              </w:rPr>
              <w:t>良好</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hint="eastAsia"/>
                <w:bCs/>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5%</w:t>
            </w:r>
          </w:p>
        </w:tc>
      </w:tr>
      <w:tr w:rsidR="004D451D" w:rsidRPr="004D451D" w:rsidTr="00087571">
        <w:tc>
          <w:tcPr>
            <w:tcW w:w="1428" w:type="dxa"/>
            <w:vMerge/>
            <w:vAlign w:val="center"/>
          </w:tcPr>
          <w:p w:rsidR="00087571" w:rsidRPr="004D451D" w:rsidRDefault="00087571" w:rsidP="00087571">
            <w:pPr>
              <w:spacing w:line="240" w:lineRule="atLeast"/>
              <w:jc w:val="center"/>
              <w:rPr>
                <w:rFonts w:eastAsia="標楷體"/>
                <w:bCs/>
              </w:rPr>
            </w:pPr>
          </w:p>
        </w:tc>
        <w:tc>
          <w:tcPr>
            <w:tcW w:w="1428" w:type="dxa"/>
            <w:tcBorders>
              <w:bottom w:val="single" w:sz="4" w:space="0" w:color="auto"/>
            </w:tcBorders>
            <w:vAlign w:val="center"/>
          </w:tcPr>
          <w:p w:rsidR="00087571" w:rsidRPr="004D451D" w:rsidRDefault="00087571" w:rsidP="00087571">
            <w:pPr>
              <w:spacing w:line="240" w:lineRule="atLeast"/>
              <w:jc w:val="center"/>
              <w:rPr>
                <w:rFonts w:eastAsia="標楷體"/>
                <w:bCs/>
              </w:rPr>
            </w:pPr>
            <w:r w:rsidRPr="004D451D">
              <w:rPr>
                <w:rFonts w:ascii="新細明體" w:hAnsi="新細明體" w:hint="eastAsia"/>
                <w:b/>
                <w:bCs/>
                <w:kern w:val="24"/>
                <w:sz w:val="20"/>
                <w:szCs w:val="20"/>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10%</w:t>
            </w:r>
          </w:p>
        </w:tc>
        <w:tc>
          <w:tcPr>
            <w:tcW w:w="1428" w:type="dxa"/>
            <w:vMerge/>
            <w:vAlign w:val="center"/>
          </w:tcPr>
          <w:p w:rsidR="00087571" w:rsidRPr="004D451D" w:rsidRDefault="00087571" w:rsidP="00087571">
            <w:pPr>
              <w:spacing w:line="240" w:lineRule="atLeast"/>
              <w:jc w:val="center"/>
              <w:rPr>
                <w:rFonts w:eastAsia="標楷體"/>
                <w:bCs/>
              </w:rPr>
            </w:pPr>
          </w:p>
        </w:tc>
        <w:tc>
          <w:tcPr>
            <w:tcW w:w="1428" w:type="dxa"/>
            <w:vAlign w:val="center"/>
          </w:tcPr>
          <w:p w:rsidR="00087571" w:rsidRPr="004D451D" w:rsidRDefault="00087571" w:rsidP="00087571">
            <w:pPr>
              <w:spacing w:line="240" w:lineRule="atLeast"/>
              <w:jc w:val="center"/>
              <w:rPr>
                <w:rFonts w:eastAsia="標楷體"/>
                <w:bCs/>
              </w:rPr>
            </w:pPr>
            <w:r w:rsidRPr="004D451D">
              <w:rPr>
                <w:rFonts w:ascii="新細明體" w:hAnsi="新細明體" w:hint="eastAsia"/>
                <w:b/>
                <w:bCs/>
                <w:kern w:val="24"/>
                <w:sz w:val="20"/>
                <w:szCs w:val="20"/>
              </w:rPr>
              <w:t>≧</w:t>
            </w:r>
            <w:r w:rsidRPr="004D451D">
              <w:rPr>
                <w:rFonts w:eastAsia="標楷體"/>
                <w:bCs/>
              </w:rPr>
              <w:t>2.5</w:t>
            </w:r>
            <w:r w:rsidRPr="004D451D">
              <w:rPr>
                <w:rFonts w:eastAsia="標楷體"/>
                <w:bCs/>
              </w:rPr>
              <w:t>年</w:t>
            </w: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5%</w:t>
            </w:r>
          </w:p>
        </w:tc>
      </w:tr>
      <w:tr w:rsidR="004D451D" w:rsidRPr="004D451D" w:rsidTr="0052536F">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滿意</w:t>
            </w:r>
          </w:p>
        </w:tc>
        <w:tc>
          <w:tcPr>
            <w:tcW w:w="1428" w:type="dxa"/>
            <w:vMerge w:val="restart"/>
            <w:shd w:val="clear" w:color="auto" w:fill="A6A6A6"/>
          </w:tcPr>
          <w:p w:rsidR="00087571" w:rsidRPr="004D451D" w:rsidRDefault="00087571" w:rsidP="00087571">
            <w:pPr>
              <w:spacing w:line="240" w:lineRule="atLeast"/>
              <w:jc w:val="center"/>
              <w:rPr>
                <w:rFonts w:eastAsia="標楷體"/>
                <w:bCs/>
              </w:rPr>
            </w:pP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35%</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滿意</w:t>
            </w:r>
          </w:p>
        </w:tc>
        <w:tc>
          <w:tcPr>
            <w:tcW w:w="1428" w:type="dxa"/>
            <w:vMerge w:val="restart"/>
            <w:shd w:val="clear" w:color="auto" w:fill="A6A6A6"/>
          </w:tcPr>
          <w:p w:rsidR="00087571" w:rsidRPr="004D451D" w:rsidRDefault="00087571" w:rsidP="00087571">
            <w:pPr>
              <w:spacing w:line="240" w:lineRule="atLeast"/>
              <w:jc w:val="center"/>
              <w:rPr>
                <w:rFonts w:eastAsia="標楷體"/>
                <w:bCs/>
              </w:rPr>
            </w:pP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35%</w:t>
            </w:r>
          </w:p>
        </w:tc>
      </w:tr>
      <w:tr w:rsidR="004D451D" w:rsidRPr="004D451D" w:rsidTr="0052536F">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略弱</w:t>
            </w:r>
          </w:p>
        </w:tc>
        <w:tc>
          <w:tcPr>
            <w:tcW w:w="1428" w:type="dxa"/>
            <w:vMerge/>
            <w:shd w:val="clear" w:color="auto" w:fill="A6A6A6"/>
            <w:vAlign w:val="center"/>
          </w:tcPr>
          <w:p w:rsidR="00087571" w:rsidRPr="004D451D" w:rsidRDefault="00087571" w:rsidP="00087571">
            <w:pPr>
              <w:spacing w:line="240" w:lineRule="atLeast"/>
              <w:jc w:val="center"/>
              <w:rPr>
                <w:rFonts w:eastAsia="標楷體"/>
                <w:bCs/>
              </w:rPr>
            </w:pP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100%</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略弱</w:t>
            </w:r>
          </w:p>
        </w:tc>
        <w:tc>
          <w:tcPr>
            <w:tcW w:w="1428" w:type="dxa"/>
            <w:vMerge/>
            <w:shd w:val="clear" w:color="auto" w:fill="A6A6A6"/>
          </w:tcPr>
          <w:p w:rsidR="00087571" w:rsidRPr="004D451D" w:rsidRDefault="00087571" w:rsidP="00087571">
            <w:pPr>
              <w:spacing w:line="240" w:lineRule="atLeast"/>
              <w:jc w:val="center"/>
              <w:rPr>
                <w:rFonts w:eastAsia="標楷體"/>
                <w:bCs/>
              </w:rPr>
            </w:pP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100%</w:t>
            </w:r>
          </w:p>
        </w:tc>
      </w:tr>
      <w:tr w:rsidR="004D451D" w:rsidRPr="004D451D" w:rsidTr="0052536F">
        <w:trPr>
          <w:trHeight w:val="163"/>
        </w:trPr>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違約</w:t>
            </w:r>
          </w:p>
        </w:tc>
        <w:tc>
          <w:tcPr>
            <w:tcW w:w="1428" w:type="dxa"/>
            <w:vMerge/>
            <w:shd w:val="clear" w:color="auto" w:fill="A6A6A6"/>
          </w:tcPr>
          <w:p w:rsidR="00087571" w:rsidRPr="004D451D" w:rsidRDefault="00087571" w:rsidP="00087571">
            <w:pPr>
              <w:spacing w:line="240" w:lineRule="atLeast"/>
              <w:jc w:val="center"/>
              <w:rPr>
                <w:rFonts w:eastAsia="標楷體"/>
                <w:bCs/>
              </w:rPr>
            </w:pP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625%</w:t>
            </w:r>
          </w:p>
        </w:tc>
        <w:tc>
          <w:tcPr>
            <w:tcW w:w="1428" w:type="dxa"/>
            <w:vAlign w:val="center"/>
          </w:tcPr>
          <w:p w:rsidR="00087571" w:rsidRPr="004D451D" w:rsidRDefault="00087571" w:rsidP="00087571">
            <w:pPr>
              <w:spacing w:line="240" w:lineRule="atLeast"/>
              <w:jc w:val="center"/>
              <w:rPr>
                <w:rFonts w:eastAsia="標楷體"/>
                <w:bCs/>
              </w:rPr>
            </w:pPr>
            <w:r w:rsidRPr="004D451D">
              <w:rPr>
                <w:rFonts w:eastAsia="標楷體"/>
                <w:bCs/>
              </w:rPr>
              <w:t>違約</w:t>
            </w:r>
          </w:p>
        </w:tc>
        <w:tc>
          <w:tcPr>
            <w:tcW w:w="1428" w:type="dxa"/>
            <w:vMerge/>
            <w:shd w:val="clear" w:color="auto" w:fill="A6A6A6"/>
          </w:tcPr>
          <w:p w:rsidR="00087571" w:rsidRPr="004D451D" w:rsidRDefault="00087571" w:rsidP="00087571">
            <w:pPr>
              <w:spacing w:line="240" w:lineRule="atLeast"/>
              <w:jc w:val="center"/>
              <w:rPr>
                <w:rFonts w:eastAsia="標楷體"/>
                <w:bCs/>
              </w:rPr>
            </w:pPr>
          </w:p>
        </w:tc>
        <w:tc>
          <w:tcPr>
            <w:tcW w:w="1428" w:type="dxa"/>
          </w:tcPr>
          <w:p w:rsidR="00087571" w:rsidRPr="004D451D" w:rsidRDefault="00087571" w:rsidP="00087571">
            <w:pPr>
              <w:spacing w:line="240" w:lineRule="atLeast"/>
              <w:jc w:val="center"/>
              <w:rPr>
                <w:rFonts w:eastAsia="標楷體"/>
                <w:bCs/>
              </w:rPr>
            </w:pPr>
            <w:r w:rsidRPr="004D451D">
              <w:rPr>
                <w:rFonts w:eastAsia="標楷體"/>
                <w:bCs/>
              </w:rPr>
              <w:t>625%</w:t>
            </w:r>
          </w:p>
        </w:tc>
      </w:tr>
    </w:tbl>
    <w:p w:rsidR="000A15EA" w:rsidRPr="004D451D" w:rsidRDefault="000A15EA" w:rsidP="008F693C">
      <w:pPr>
        <w:spacing w:line="360" w:lineRule="auto"/>
        <w:rPr>
          <w:rFonts w:ascii="Arial" w:eastAsia="標楷體" w:hAnsi="Arial" w:cs="Arial"/>
        </w:rPr>
      </w:pPr>
    </w:p>
    <w:p w:rsidR="008D1012" w:rsidRPr="004D451D" w:rsidRDefault="00AB1834" w:rsidP="00F16EA4">
      <w:pPr>
        <w:widowControl/>
        <w:spacing w:line="480" w:lineRule="exact"/>
        <w:rPr>
          <w:rFonts w:eastAsia="標楷體"/>
          <w:sz w:val="32"/>
          <w:szCs w:val="32"/>
        </w:rPr>
      </w:pPr>
      <w:r w:rsidRPr="004D451D">
        <w:rPr>
          <w:rFonts w:ascii="Arial" w:eastAsia="標楷體" w:hAnsi="Arial" w:cs="Arial"/>
          <w:sz w:val="32"/>
          <w:szCs w:val="32"/>
        </w:rPr>
        <w:br w:type="page"/>
      </w:r>
      <w:r w:rsidR="008D1012" w:rsidRPr="004D451D">
        <w:rPr>
          <w:rFonts w:eastAsia="標楷體"/>
          <w:b/>
          <w:sz w:val="32"/>
          <w:szCs w:val="32"/>
        </w:rPr>
        <w:t>【附表</w:t>
      </w:r>
      <w:r w:rsidR="00085AC6" w:rsidRPr="004D451D">
        <w:rPr>
          <w:rFonts w:eastAsia="標楷體"/>
          <w:b/>
          <w:sz w:val="32"/>
          <w:szCs w:val="32"/>
        </w:rPr>
        <w:t>二十</w:t>
      </w:r>
      <w:r w:rsidR="00F605F6" w:rsidRPr="004D451D">
        <w:rPr>
          <w:rFonts w:eastAsia="標楷體" w:hint="eastAsia"/>
          <w:b/>
          <w:sz w:val="32"/>
          <w:szCs w:val="32"/>
        </w:rPr>
        <w:t>七</w:t>
      </w:r>
      <w:r w:rsidR="008D1012" w:rsidRPr="004D451D">
        <w:rPr>
          <w:rFonts w:eastAsia="標楷體"/>
          <w:b/>
          <w:sz w:val="32"/>
          <w:szCs w:val="32"/>
        </w:rPr>
        <w:t>】</w:t>
      </w:r>
    </w:p>
    <w:p w:rsidR="008D1012" w:rsidRPr="004D451D" w:rsidRDefault="008D1012" w:rsidP="00F16EA4">
      <w:pPr>
        <w:spacing w:line="480" w:lineRule="exact"/>
        <w:jc w:val="center"/>
        <w:rPr>
          <w:rFonts w:eastAsia="標楷體"/>
          <w:b/>
          <w:bCs/>
          <w:sz w:val="32"/>
          <w:szCs w:val="32"/>
        </w:rPr>
      </w:pPr>
      <w:r w:rsidRPr="004D451D">
        <w:rPr>
          <w:rFonts w:eastAsia="標楷體"/>
          <w:b/>
          <w:bCs/>
          <w:sz w:val="32"/>
          <w:szCs w:val="32"/>
        </w:rPr>
        <w:t>交易對手信用風險之定性揭露</w:t>
      </w:r>
    </w:p>
    <w:p w:rsidR="008D1012" w:rsidRPr="004D451D" w:rsidRDefault="00ED470E" w:rsidP="008D1012">
      <w:pPr>
        <w:spacing w:line="360" w:lineRule="auto"/>
        <w:jc w:val="center"/>
        <w:rPr>
          <w:rFonts w:eastAsia="標楷體"/>
          <w:bCs/>
          <w:sz w:val="32"/>
          <w:szCs w:val="32"/>
        </w:rPr>
      </w:pPr>
      <w:r w:rsidRPr="004D451D">
        <w:rPr>
          <w:rFonts w:eastAsia="標楷體" w:hint="eastAsia"/>
          <w:bCs/>
          <w:sz w:val="32"/>
          <w:szCs w:val="32"/>
        </w:rPr>
        <w:t>10</w:t>
      </w:r>
      <w:r w:rsidR="00FF52AD" w:rsidRPr="004D451D">
        <w:rPr>
          <w:rFonts w:eastAsia="標楷體" w:hint="eastAsia"/>
          <w:bCs/>
          <w:sz w:val="32"/>
          <w:szCs w:val="32"/>
        </w:rPr>
        <w:t>7</w:t>
      </w:r>
      <w:r w:rsidR="008D1012" w:rsidRPr="004D451D">
        <w:rPr>
          <w:rFonts w:eastAsia="標楷體"/>
          <w:bCs/>
          <w:sz w:val="32"/>
          <w:szCs w:val="32"/>
        </w:rPr>
        <w:t>年</w:t>
      </w:r>
      <w:r w:rsidR="00867697" w:rsidRPr="004D451D">
        <w:rPr>
          <w:rFonts w:eastAsia="標楷體" w:hint="eastAsia"/>
          <w:bCs/>
          <w:sz w:val="32"/>
          <w:szCs w:val="32"/>
        </w:rPr>
        <w:t>6</w:t>
      </w:r>
      <w:r w:rsidR="00867697" w:rsidRPr="004D451D">
        <w:rPr>
          <w:rFonts w:eastAsia="標楷體" w:hint="eastAsia"/>
          <w:bCs/>
          <w:sz w:val="32"/>
          <w:szCs w:val="32"/>
        </w:rPr>
        <w:t>月</w:t>
      </w:r>
      <w:r w:rsidR="00867697" w:rsidRPr="004D451D">
        <w:rPr>
          <w:rFonts w:eastAsia="標楷體" w:hint="eastAsia"/>
          <w:bCs/>
          <w:sz w:val="32"/>
          <w:szCs w:val="32"/>
        </w:rPr>
        <w:t>30</w:t>
      </w:r>
      <w:r w:rsidR="00867697" w:rsidRPr="004D451D">
        <w:rPr>
          <w:rFonts w:eastAsia="標楷體" w:hint="eastAsia"/>
          <w:bCs/>
          <w:sz w:val="32"/>
          <w:szCs w:val="32"/>
        </w:rPr>
        <w:t>日</w:t>
      </w:r>
    </w:p>
    <w:tbl>
      <w:tblPr>
        <w:tblW w:w="10164" w:type="dxa"/>
        <w:tblInd w:w="-347" w:type="dxa"/>
        <w:tblCellMar>
          <w:left w:w="28" w:type="dxa"/>
          <w:right w:w="28" w:type="dxa"/>
        </w:tblCellMar>
        <w:tblLook w:val="0000" w:firstRow="0" w:lastRow="0" w:firstColumn="0" w:lastColumn="0" w:noHBand="0" w:noVBand="0"/>
      </w:tblPr>
      <w:tblGrid>
        <w:gridCol w:w="647"/>
        <w:gridCol w:w="2705"/>
        <w:gridCol w:w="6812"/>
      </w:tblGrid>
      <w:tr w:rsidR="004D451D" w:rsidRPr="004D451D" w:rsidTr="00896C3C">
        <w:trPr>
          <w:trHeight w:val="514"/>
        </w:trPr>
        <w:tc>
          <w:tcPr>
            <w:tcW w:w="3352" w:type="dxa"/>
            <w:gridSpan w:val="2"/>
            <w:tcBorders>
              <w:top w:val="single" w:sz="4" w:space="0" w:color="auto"/>
              <w:left w:val="single" w:sz="4" w:space="0" w:color="auto"/>
              <w:bottom w:val="single" w:sz="4" w:space="0" w:color="auto"/>
              <w:right w:val="single" w:sz="4" w:space="0" w:color="auto"/>
            </w:tcBorders>
            <w:noWrap/>
            <w:vAlign w:val="center"/>
          </w:tcPr>
          <w:p w:rsidR="00101AE4" w:rsidRPr="004D451D" w:rsidRDefault="00101AE4" w:rsidP="00A97363">
            <w:pPr>
              <w:widowControl/>
              <w:jc w:val="center"/>
              <w:rPr>
                <w:rFonts w:eastAsia="標楷體"/>
                <w:kern w:val="0"/>
              </w:rPr>
            </w:pPr>
            <w:r w:rsidRPr="004D451D">
              <w:rPr>
                <w:rFonts w:eastAsia="標楷體"/>
                <w:kern w:val="0"/>
              </w:rPr>
              <w:t>項目</w:t>
            </w:r>
          </w:p>
        </w:tc>
        <w:tc>
          <w:tcPr>
            <w:tcW w:w="6812" w:type="dxa"/>
            <w:tcBorders>
              <w:top w:val="single" w:sz="4" w:space="0" w:color="auto"/>
              <w:left w:val="nil"/>
              <w:bottom w:val="single" w:sz="4" w:space="0" w:color="auto"/>
              <w:right w:val="single" w:sz="4" w:space="0" w:color="auto"/>
            </w:tcBorders>
            <w:noWrap/>
            <w:vAlign w:val="center"/>
          </w:tcPr>
          <w:p w:rsidR="00101AE4" w:rsidRPr="004D451D" w:rsidRDefault="00101AE4" w:rsidP="00A97363">
            <w:pPr>
              <w:widowControl/>
              <w:jc w:val="center"/>
              <w:rPr>
                <w:rFonts w:eastAsia="標楷體"/>
                <w:kern w:val="0"/>
              </w:rPr>
            </w:pPr>
            <w:r w:rsidRPr="004D451D">
              <w:rPr>
                <w:rFonts w:eastAsia="標楷體"/>
                <w:kern w:val="0"/>
              </w:rPr>
              <w:t>內容</w:t>
            </w:r>
          </w:p>
        </w:tc>
      </w:tr>
      <w:tr w:rsidR="004D451D" w:rsidRPr="004D451D" w:rsidTr="00ED470E">
        <w:trPr>
          <w:trHeight w:val="568"/>
        </w:trPr>
        <w:tc>
          <w:tcPr>
            <w:tcW w:w="10164" w:type="dxa"/>
            <w:gridSpan w:val="3"/>
            <w:tcBorders>
              <w:top w:val="nil"/>
              <w:left w:val="single" w:sz="4" w:space="0" w:color="auto"/>
              <w:bottom w:val="single" w:sz="4" w:space="0" w:color="auto"/>
              <w:right w:val="single" w:sz="4" w:space="0" w:color="auto"/>
            </w:tcBorders>
            <w:noWrap/>
            <w:vAlign w:val="center"/>
          </w:tcPr>
          <w:p w:rsidR="002B2344" w:rsidRPr="004D451D" w:rsidRDefault="002B2344" w:rsidP="007F2F90">
            <w:pPr>
              <w:widowControl/>
              <w:rPr>
                <w:rFonts w:eastAsia="標楷體"/>
                <w:kern w:val="0"/>
              </w:rPr>
            </w:pPr>
            <w:r w:rsidRPr="004D451D">
              <w:rPr>
                <w:rFonts w:eastAsia="標楷體"/>
                <w:kern w:val="0"/>
              </w:rPr>
              <w:t>交易對手信用風險的管理目標和政策</w:t>
            </w:r>
          </w:p>
        </w:tc>
      </w:tr>
      <w:tr w:rsidR="004D451D" w:rsidRPr="004D451D"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4D451D" w:rsidRDefault="00ED470E" w:rsidP="00A97363">
            <w:pPr>
              <w:widowControl/>
              <w:jc w:val="center"/>
              <w:rPr>
                <w:rFonts w:eastAsia="標楷體"/>
                <w:kern w:val="0"/>
              </w:rPr>
            </w:pPr>
            <w:r w:rsidRPr="004D451D">
              <w:rPr>
                <w:rFonts w:eastAsia="標楷體"/>
                <w:kern w:val="0"/>
              </w:rPr>
              <w:t>1</w:t>
            </w:r>
          </w:p>
        </w:tc>
        <w:tc>
          <w:tcPr>
            <w:tcW w:w="2705" w:type="dxa"/>
            <w:tcBorders>
              <w:top w:val="single" w:sz="4" w:space="0" w:color="auto"/>
              <w:left w:val="nil"/>
              <w:bottom w:val="single" w:sz="4" w:space="0" w:color="auto"/>
              <w:right w:val="single" w:sz="4" w:space="0" w:color="000000"/>
            </w:tcBorders>
            <w:vAlign w:val="center"/>
          </w:tcPr>
          <w:p w:rsidR="00ED470E" w:rsidRPr="004D451D" w:rsidRDefault="00ED470E" w:rsidP="00A97363">
            <w:pPr>
              <w:widowControl/>
              <w:rPr>
                <w:rFonts w:eastAsia="標楷體"/>
                <w:kern w:val="0"/>
              </w:rPr>
            </w:pPr>
            <w:r w:rsidRPr="004D451D">
              <w:rPr>
                <w:rFonts w:eastAsia="標楷體"/>
                <w:kern w:val="0"/>
              </w:rPr>
              <w:t>針對交易對手及集中結算交易對手訂定以資本為基礎之限額方法</w:t>
            </w:r>
          </w:p>
        </w:tc>
        <w:tc>
          <w:tcPr>
            <w:tcW w:w="6812" w:type="dxa"/>
            <w:tcBorders>
              <w:top w:val="single" w:sz="4" w:space="0" w:color="auto"/>
              <w:left w:val="nil"/>
              <w:bottom w:val="single" w:sz="4" w:space="0" w:color="auto"/>
              <w:right w:val="single" w:sz="4" w:space="0" w:color="auto"/>
            </w:tcBorders>
            <w:noWrap/>
            <w:vAlign w:val="center"/>
          </w:tcPr>
          <w:p w:rsidR="00ED470E" w:rsidRPr="004D451D" w:rsidRDefault="00ED470E" w:rsidP="00A36047">
            <w:pPr>
              <w:widowControl/>
              <w:spacing w:line="280" w:lineRule="exact"/>
              <w:rPr>
                <w:rFonts w:eastAsia="標楷體"/>
                <w:kern w:val="0"/>
              </w:rPr>
            </w:pPr>
            <w:r w:rsidRPr="004D451D">
              <w:rPr>
                <w:rFonts w:eastAsia="標楷體" w:hint="eastAsia"/>
                <w:kern w:val="0"/>
              </w:rPr>
              <w:t>為免於信用風險集中</w:t>
            </w:r>
            <w:r w:rsidRPr="004D451D">
              <w:rPr>
                <w:rFonts w:ascii="標楷體" w:eastAsia="標楷體" w:hAnsi="標楷體" w:hint="eastAsia"/>
                <w:kern w:val="0"/>
              </w:rPr>
              <w:t>，本行</w:t>
            </w:r>
            <w:r w:rsidRPr="004D451D">
              <w:rPr>
                <w:rFonts w:eastAsia="標楷體" w:hint="eastAsia"/>
                <w:kern w:val="0"/>
              </w:rPr>
              <w:t>針對授信</w:t>
            </w:r>
            <w:r w:rsidRPr="004D451D">
              <w:rPr>
                <w:rFonts w:ascii="標楷體" w:eastAsia="標楷體" w:hAnsi="標楷體" w:hint="eastAsia"/>
                <w:kern w:val="0"/>
              </w:rPr>
              <w:t>、</w:t>
            </w:r>
            <w:r w:rsidRPr="004D451D">
              <w:rPr>
                <w:rFonts w:eastAsia="標楷體" w:hint="eastAsia"/>
              </w:rPr>
              <w:t>存放及拆借銀行同業</w:t>
            </w:r>
            <w:r w:rsidRPr="004D451D">
              <w:rPr>
                <w:rFonts w:ascii="標楷體" w:eastAsia="標楷體" w:hAnsi="標楷體" w:hint="eastAsia"/>
                <w:kern w:val="0"/>
              </w:rPr>
              <w:t>、</w:t>
            </w:r>
            <w:r w:rsidRPr="004D451D">
              <w:rPr>
                <w:rFonts w:eastAsia="標楷體" w:hint="eastAsia"/>
              </w:rPr>
              <w:t>衍生性金融商品交易契約名目本金總部位等交易對手</w:t>
            </w:r>
            <w:r w:rsidRPr="004D451D">
              <w:rPr>
                <w:rFonts w:eastAsia="標楷體"/>
                <w:kern w:val="0"/>
              </w:rPr>
              <w:t>訂定以</w:t>
            </w:r>
            <w:r w:rsidRPr="004D451D">
              <w:rPr>
                <w:rFonts w:eastAsia="標楷體" w:hint="eastAsia"/>
                <w:kern w:val="0"/>
              </w:rPr>
              <w:t>淨值</w:t>
            </w:r>
            <w:r w:rsidRPr="004D451D">
              <w:rPr>
                <w:rFonts w:eastAsia="標楷體"/>
                <w:kern w:val="0"/>
              </w:rPr>
              <w:t>為基礎之</w:t>
            </w:r>
            <w:r w:rsidRPr="004D451D">
              <w:rPr>
                <w:rFonts w:eastAsia="標楷體" w:hint="eastAsia"/>
                <w:kern w:val="0"/>
              </w:rPr>
              <w:t>各項</w:t>
            </w:r>
            <w:r w:rsidRPr="004D451D">
              <w:rPr>
                <w:rFonts w:eastAsia="標楷體"/>
                <w:kern w:val="0"/>
              </w:rPr>
              <w:t>限額</w:t>
            </w:r>
            <w:r w:rsidRPr="004D451D">
              <w:rPr>
                <w:rFonts w:eastAsia="標楷體" w:hint="eastAsia"/>
                <w:kern w:val="0"/>
              </w:rPr>
              <w:t>。</w:t>
            </w:r>
          </w:p>
        </w:tc>
      </w:tr>
      <w:tr w:rsidR="004D451D" w:rsidRPr="004D451D"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4D451D" w:rsidRDefault="00ED470E" w:rsidP="00A97363">
            <w:pPr>
              <w:widowControl/>
              <w:jc w:val="center"/>
              <w:rPr>
                <w:rFonts w:eastAsia="標楷體"/>
                <w:kern w:val="0"/>
              </w:rPr>
            </w:pPr>
            <w:r w:rsidRPr="004D451D">
              <w:rPr>
                <w:rFonts w:eastAsia="標楷體"/>
                <w:kern w:val="0"/>
              </w:rPr>
              <w:t>2</w:t>
            </w:r>
          </w:p>
        </w:tc>
        <w:tc>
          <w:tcPr>
            <w:tcW w:w="2705" w:type="dxa"/>
            <w:tcBorders>
              <w:top w:val="single" w:sz="4" w:space="0" w:color="auto"/>
              <w:left w:val="nil"/>
              <w:bottom w:val="single" w:sz="4" w:space="0" w:color="auto"/>
              <w:right w:val="single" w:sz="4" w:space="0" w:color="000000"/>
            </w:tcBorders>
            <w:vAlign w:val="center"/>
          </w:tcPr>
          <w:p w:rsidR="00ED470E" w:rsidRPr="004D451D" w:rsidRDefault="00ED470E" w:rsidP="00A97363">
            <w:pPr>
              <w:widowControl/>
              <w:rPr>
                <w:rFonts w:eastAsia="標楷體"/>
                <w:kern w:val="0"/>
              </w:rPr>
            </w:pPr>
            <w:r w:rsidRPr="004D451D">
              <w:rPr>
                <w:rFonts w:eastAsia="標楷體"/>
                <w:kern w:val="0"/>
              </w:rPr>
              <w:t>有關保證與其他風險抵減以及評估交易對手</w:t>
            </w:r>
            <w:r w:rsidRPr="004D451D">
              <w:rPr>
                <w:rFonts w:eastAsia="標楷體"/>
                <w:kern w:val="0"/>
              </w:rPr>
              <w:t>(</w:t>
            </w:r>
            <w:r w:rsidRPr="004D451D">
              <w:rPr>
                <w:rFonts w:eastAsia="標楷體"/>
                <w:kern w:val="0"/>
              </w:rPr>
              <w:t>含集中結算交易對手</w:t>
            </w:r>
            <w:r w:rsidRPr="004D451D">
              <w:rPr>
                <w:rFonts w:eastAsia="標楷體"/>
                <w:kern w:val="0"/>
              </w:rPr>
              <w:t>)</w:t>
            </w:r>
            <w:r w:rsidRPr="004D451D">
              <w:rPr>
                <w:rFonts w:eastAsia="標楷體"/>
                <w:kern w:val="0"/>
              </w:rPr>
              <w:t>風險的政策</w:t>
            </w:r>
          </w:p>
        </w:tc>
        <w:tc>
          <w:tcPr>
            <w:tcW w:w="6812" w:type="dxa"/>
            <w:tcBorders>
              <w:top w:val="single" w:sz="4" w:space="0" w:color="auto"/>
              <w:left w:val="nil"/>
              <w:bottom w:val="single" w:sz="4" w:space="0" w:color="auto"/>
              <w:right w:val="single" w:sz="4" w:space="0" w:color="auto"/>
            </w:tcBorders>
            <w:noWrap/>
            <w:vAlign w:val="center"/>
          </w:tcPr>
          <w:p w:rsidR="00ED470E" w:rsidRPr="004D451D" w:rsidRDefault="00ED470E" w:rsidP="00A36047">
            <w:pPr>
              <w:spacing w:line="280" w:lineRule="exact"/>
              <w:jc w:val="both"/>
              <w:rPr>
                <w:rFonts w:eastAsia="標楷體"/>
              </w:rPr>
            </w:pPr>
            <w:r w:rsidRPr="004D451D">
              <w:rPr>
                <w:rFonts w:eastAsia="標楷體"/>
                <w:kern w:val="0"/>
              </w:rPr>
              <w:t>有關</w:t>
            </w:r>
            <w:r w:rsidRPr="004D451D">
              <w:rPr>
                <w:rFonts w:eastAsia="標楷體" w:hint="eastAsia"/>
                <w:kern w:val="0"/>
              </w:rPr>
              <w:t>風險抵減係依符合合格</w:t>
            </w:r>
            <w:r w:rsidRPr="004D451D">
              <w:rPr>
                <w:rFonts w:eastAsia="標楷體"/>
                <w:kern w:val="0"/>
              </w:rPr>
              <w:t>保證</w:t>
            </w:r>
            <w:r w:rsidRPr="004D451D">
              <w:rPr>
                <w:rFonts w:eastAsia="標楷體" w:hint="eastAsia"/>
                <w:kern w:val="0"/>
              </w:rPr>
              <w:t>及擔保品規定辦理。另本行於授信合約訂有抵銷條款，明確定義信用事件發生時，得將授信戶寄存本公司之各種存款抵銷其所負之債務，以降低授信風險。</w:t>
            </w:r>
          </w:p>
          <w:p w:rsidR="00ED470E" w:rsidRPr="004D451D" w:rsidRDefault="00ED470E" w:rsidP="00A36047">
            <w:pPr>
              <w:spacing w:line="280" w:lineRule="exact"/>
              <w:jc w:val="both"/>
              <w:rPr>
                <w:rFonts w:ascii="標楷體" w:eastAsia="標楷體" w:hAnsi="標楷體"/>
              </w:rPr>
            </w:pPr>
            <w:r w:rsidRPr="004D451D">
              <w:rPr>
                <w:rFonts w:eastAsia="標楷體" w:hint="eastAsia"/>
              </w:rPr>
              <w:t>本行對於拆借銀行同業</w:t>
            </w:r>
            <w:r w:rsidRPr="004D451D">
              <w:rPr>
                <w:rFonts w:ascii="標楷體" w:eastAsia="標楷體" w:hAnsi="標楷體" w:hint="eastAsia"/>
              </w:rPr>
              <w:t>，</w:t>
            </w:r>
            <w:r w:rsidRPr="004D451D">
              <w:rPr>
                <w:rFonts w:eastAsia="標楷體" w:hint="eastAsia"/>
              </w:rPr>
              <w:t>進行交易前均對交易對手之信用狀況予以評估，並參酌國內外信用評等機構之評等資料，依其等級給予並設定不同之信用風險額度</w:t>
            </w:r>
            <w:r w:rsidRPr="004D451D">
              <w:rPr>
                <w:rFonts w:ascii="標楷體" w:eastAsia="標楷體" w:hAnsi="標楷體" w:hint="eastAsia"/>
              </w:rPr>
              <w:t>。</w:t>
            </w:r>
          </w:p>
          <w:p w:rsidR="00ED470E" w:rsidRPr="004D451D" w:rsidRDefault="00ED470E" w:rsidP="00A36047">
            <w:pPr>
              <w:spacing w:line="280" w:lineRule="exact"/>
              <w:jc w:val="both"/>
              <w:rPr>
                <w:rFonts w:eastAsia="標楷體"/>
                <w:kern w:val="0"/>
              </w:rPr>
            </w:pPr>
            <w:r w:rsidRPr="004D451D">
              <w:rPr>
                <w:rFonts w:eastAsia="標楷體" w:hint="eastAsia"/>
                <w:kern w:val="0"/>
              </w:rPr>
              <w:t>針對衍生金融工具交易之對手，</w:t>
            </w:r>
            <w:r w:rsidRPr="004D451D">
              <w:rPr>
                <w:rFonts w:eastAsia="標楷體"/>
                <w:kern w:val="0"/>
              </w:rPr>
              <w:t>依據交易對手之性質及信評狀況分別訂定</w:t>
            </w:r>
            <w:r w:rsidRPr="004D451D">
              <w:rPr>
                <w:rFonts w:eastAsia="標楷體" w:hint="eastAsia"/>
                <w:kern w:val="0"/>
              </w:rPr>
              <w:t>信用風險</w:t>
            </w:r>
            <w:r w:rsidRPr="004D451D">
              <w:rPr>
                <w:rFonts w:eastAsia="標楷體"/>
                <w:kern w:val="0"/>
              </w:rPr>
              <w:t>額度上限如下，惟針對個別交易對手於往來前仍應先申請</w:t>
            </w:r>
            <w:r w:rsidRPr="004D451D">
              <w:rPr>
                <w:rFonts w:eastAsia="標楷體" w:hint="eastAsia"/>
                <w:kern w:val="0"/>
              </w:rPr>
              <w:t>信用風險</w:t>
            </w:r>
            <w:r w:rsidRPr="004D451D">
              <w:rPr>
                <w:rFonts w:eastAsia="標楷體"/>
                <w:kern w:val="0"/>
              </w:rPr>
              <w:t>額度後始得開始往來</w:t>
            </w:r>
            <w:r w:rsidRPr="004D451D">
              <w:rPr>
                <w:rFonts w:eastAsia="標楷體" w:hint="eastAsia"/>
                <w:kern w:val="0"/>
              </w:rPr>
              <w:t>。</w:t>
            </w:r>
          </w:p>
          <w:p w:rsidR="00ED470E" w:rsidRPr="004D451D" w:rsidRDefault="00ED470E" w:rsidP="00A36047">
            <w:pPr>
              <w:spacing w:line="280" w:lineRule="exact"/>
              <w:jc w:val="both"/>
              <w:rPr>
                <w:rFonts w:eastAsia="標楷體"/>
                <w:kern w:val="0"/>
              </w:rPr>
            </w:pPr>
            <w:r w:rsidRPr="004D451D">
              <w:rPr>
                <w:rFonts w:eastAsia="標楷體"/>
                <w:kern w:val="0"/>
              </w:rPr>
              <w:t>交易對手願意增提擔保品，則依擔保品價值另行衡量可增加之</w:t>
            </w:r>
            <w:r w:rsidRPr="004D451D">
              <w:rPr>
                <w:rFonts w:eastAsia="標楷體" w:hint="eastAsia"/>
                <w:kern w:val="0"/>
              </w:rPr>
              <w:t>信用風險</w:t>
            </w:r>
            <w:r w:rsidRPr="004D451D">
              <w:rPr>
                <w:rFonts w:eastAsia="標楷體"/>
                <w:kern w:val="0"/>
              </w:rPr>
              <w:t>額度，惟須由</w:t>
            </w:r>
            <w:r w:rsidRPr="004D451D">
              <w:rPr>
                <w:rFonts w:eastAsia="標楷體" w:hint="eastAsia"/>
                <w:kern w:val="0"/>
              </w:rPr>
              <w:t>額度申請</w:t>
            </w:r>
            <w:r w:rsidRPr="004D451D">
              <w:rPr>
                <w:rFonts w:eastAsia="標楷體"/>
                <w:kern w:val="0"/>
              </w:rPr>
              <w:t>單位</w:t>
            </w:r>
            <w:r w:rsidRPr="004D451D">
              <w:rPr>
                <w:rFonts w:eastAsia="標楷體" w:hint="eastAsia"/>
                <w:kern w:val="0"/>
              </w:rPr>
              <w:t>依原核准程序申請核准</w:t>
            </w:r>
            <w:r w:rsidRPr="004D451D">
              <w:rPr>
                <w:rFonts w:eastAsia="標楷體"/>
                <w:kern w:val="0"/>
              </w:rPr>
              <w:t>。</w:t>
            </w:r>
          </w:p>
          <w:p w:rsidR="00ED470E" w:rsidRPr="004D451D" w:rsidRDefault="00ED470E" w:rsidP="00A36047">
            <w:pPr>
              <w:spacing w:line="280" w:lineRule="exact"/>
              <w:jc w:val="both"/>
              <w:rPr>
                <w:rFonts w:eastAsia="標楷體"/>
                <w:kern w:val="0"/>
              </w:rPr>
            </w:pPr>
            <w:r w:rsidRPr="004D451D">
              <w:rPr>
                <w:rFonts w:eastAsia="標楷體" w:hint="eastAsia"/>
                <w:kern w:val="0"/>
              </w:rPr>
              <w:t>本行交易通常按總額交割，另與部分交易對手訂定淨額交割約定，或於出現違約情形時與該對手之所有交易終止且按淨額交割，以進一步降低信用風險。</w:t>
            </w:r>
          </w:p>
        </w:tc>
      </w:tr>
      <w:tr w:rsidR="004D451D" w:rsidRPr="004D451D" w:rsidTr="00896C3C">
        <w:trPr>
          <w:trHeight w:val="1058"/>
        </w:trPr>
        <w:tc>
          <w:tcPr>
            <w:tcW w:w="647" w:type="dxa"/>
            <w:tcBorders>
              <w:top w:val="nil"/>
              <w:left w:val="single" w:sz="4" w:space="0" w:color="auto"/>
              <w:bottom w:val="single" w:sz="4" w:space="0" w:color="auto"/>
              <w:right w:val="single" w:sz="4" w:space="0" w:color="auto"/>
            </w:tcBorders>
            <w:noWrap/>
            <w:vAlign w:val="center"/>
          </w:tcPr>
          <w:p w:rsidR="00ED470E" w:rsidRPr="004D451D" w:rsidRDefault="00ED470E" w:rsidP="00A97363">
            <w:pPr>
              <w:widowControl/>
              <w:jc w:val="center"/>
              <w:rPr>
                <w:rFonts w:eastAsia="標楷體"/>
                <w:kern w:val="0"/>
              </w:rPr>
            </w:pPr>
            <w:r w:rsidRPr="004D451D">
              <w:rPr>
                <w:rFonts w:eastAsia="標楷體"/>
                <w:kern w:val="0"/>
              </w:rPr>
              <w:t>3</w:t>
            </w:r>
          </w:p>
        </w:tc>
        <w:tc>
          <w:tcPr>
            <w:tcW w:w="2705" w:type="dxa"/>
            <w:tcBorders>
              <w:top w:val="single" w:sz="4" w:space="0" w:color="auto"/>
              <w:left w:val="nil"/>
              <w:bottom w:val="single" w:sz="4" w:space="0" w:color="auto"/>
              <w:right w:val="single" w:sz="4" w:space="0" w:color="000000"/>
            </w:tcBorders>
            <w:vAlign w:val="center"/>
          </w:tcPr>
          <w:p w:rsidR="00ED470E" w:rsidRPr="004D451D" w:rsidRDefault="00ED470E" w:rsidP="00A97363">
            <w:pPr>
              <w:widowControl/>
              <w:rPr>
                <w:rFonts w:eastAsia="標楷體"/>
                <w:kern w:val="0"/>
              </w:rPr>
            </w:pPr>
            <w:r w:rsidRPr="004D451D">
              <w:rPr>
                <w:rFonts w:eastAsia="標楷體"/>
                <w:kern w:val="0"/>
              </w:rPr>
              <w:t>有關錯向風險暴險之政策</w:t>
            </w:r>
          </w:p>
        </w:tc>
        <w:tc>
          <w:tcPr>
            <w:tcW w:w="6812" w:type="dxa"/>
            <w:tcBorders>
              <w:top w:val="single" w:sz="4" w:space="0" w:color="auto"/>
              <w:left w:val="nil"/>
              <w:bottom w:val="single" w:sz="4" w:space="0" w:color="auto"/>
              <w:right w:val="single" w:sz="4" w:space="0" w:color="auto"/>
            </w:tcBorders>
            <w:noWrap/>
            <w:vAlign w:val="center"/>
          </w:tcPr>
          <w:p w:rsidR="00ED470E" w:rsidRPr="004D451D" w:rsidRDefault="00ED470E" w:rsidP="00A36047">
            <w:pPr>
              <w:widowControl/>
              <w:spacing w:line="280" w:lineRule="exact"/>
              <w:rPr>
                <w:rFonts w:eastAsia="標楷體"/>
                <w:kern w:val="0"/>
              </w:rPr>
            </w:pPr>
            <w:r w:rsidRPr="004D451D">
              <w:rPr>
                <w:rFonts w:eastAsia="標楷體" w:hint="eastAsia"/>
                <w:kern w:val="0"/>
              </w:rPr>
              <w:t>交易對手暴險額隨著</w:t>
            </w:r>
            <w:hyperlink r:id="rId13" w:tooltip="金融市场" w:history="1">
              <w:r w:rsidRPr="004D451D">
                <w:rPr>
                  <w:rFonts w:eastAsia="標楷體" w:hint="eastAsia"/>
                  <w:kern w:val="0"/>
                </w:rPr>
                <w:t>金融市場</w:t>
              </w:r>
            </w:hyperlink>
            <w:r w:rsidRPr="004D451D">
              <w:rPr>
                <w:rFonts w:eastAsia="標楷體" w:hint="eastAsia"/>
                <w:kern w:val="0"/>
              </w:rPr>
              <w:t>波動性的擴大以及衍生品交易結構的日趨複雜化，</w:t>
            </w:r>
            <w:hyperlink r:id="rId14" w:tooltip="短期" w:history="1">
              <w:r w:rsidRPr="004D451D">
                <w:rPr>
                  <w:rFonts w:eastAsia="標楷體" w:hint="eastAsia"/>
                  <w:kern w:val="0"/>
                </w:rPr>
                <w:t>短期</w:t>
              </w:r>
            </w:hyperlink>
            <w:r w:rsidRPr="004D451D">
              <w:rPr>
                <w:rFonts w:eastAsia="標楷體" w:hint="eastAsia"/>
                <w:kern w:val="0"/>
              </w:rPr>
              <w:t>內可能迅速膨脹，加大了交易對手債務負擔，惡化了其</w:t>
            </w:r>
            <w:hyperlink r:id="rId15" w:tooltip="履约能力" w:history="1">
              <w:r w:rsidRPr="004D451D">
                <w:rPr>
                  <w:rFonts w:eastAsia="標楷體" w:hint="eastAsia"/>
                  <w:kern w:val="0"/>
                </w:rPr>
                <w:t>履約能力</w:t>
              </w:r>
            </w:hyperlink>
            <w:r w:rsidRPr="004D451D">
              <w:rPr>
                <w:rFonts w:eastAsia="標楷體" w:hint="eastAsia"/>
                <w:kern w:val="0"/>
              </w:rPr>
              <w:t>，交易對手違約機率與標的暴險額之間呈現出較高的正相關性</w:t>
            </w:r>
            <w:r w:rsidRPr="004D451D">
              <w:rPr>
                <w:rFonts w:ascii="標楷體" w:eastAsia="標楷體" w:hAnsi="標楷體" w:hint="eastAsia"/>
                <w:kern w:val="0"/>
              </w:rPr>
              <w:t>。後台清算作業單位應每日計算交易對手之信用風險額度使用狀況，並將結果通知前台交易人員及額度申請單位。而前台交易人員承作新交易前需查詢交易對手剩餘可用額度。額度申請單位應隨時注意市場對各交易對手之信用評等變化或市場上之預期或傳言等情況，以撰寫報告或面報方式，讓高階主管得知，以作預防措施或斷然處置，避免任何損失。</w:t>
            </w:r>
            <w:r w:rsidRPr="004D451D">
              <w:rPr>
                <w:rFonts w:eastAsia="標楷體" w:hint="eastAsia"/>
                <w:kern w:val="0"/>
              </w:rPr>
              <w:t>循相關限額管理並定期檢視檢討</w:t>
            </w:r>
            <w:r w:rsidRPr="004D451D">
              <w:rPr>
                <w:rFonts w:ascii="標楷體" w:eastAsia="標楷體" w:hAnsi="標楷體" w:hint="eastAsia"/>
                <w:kern w:val="0"/>
              </w:rPr>
              <w:t>，</w:t>
            </w:r>
            <w:r w:rsidRPr="004D451D">
              <w:rPr>
                <w:rFonts w:eastAsia="標楷體" w:hint="eastAsia"/>
                <w:kern w:val="0"/>
              </w:rPr>
              <w:t>隨時注意市場變化做必要之因應</w:t>
            </w:r>
            <w:r w:rsidRPr="004D451D">
              <w:rPr>
                <w:rFonts w:ascii="標楷體" w:eastAsia="標楷體" w:hAnsi="標楷體" w:hint="eastAsia"/>
                <w:kern w:val="0"/>
              </w:rPr>
              <w:t>。</w:t>
            </w:r>
          </w:p>
        </w:tc>
      </w:tr>
      <w:tr w:rsidR="004D451D" w:rsidRPr="004D451D" w:rsidTr="00F16EA4">
        <w:trPr>
          <w:trHeight w:val="2087"/>
        </w:trPr>
        <w:tc>
          <w:tcPr>
            <w:tcW w:w="647" w:type="dxa"/>
            <w:tcBorders>
              <w:top w:val="nil"/>
              <w:left w:val="single" w:sz="4" w:space="0" w:color="auto"/>
              <w:bottom w:val="single" w:sz="4" w:space="0" w:color="auto"/>
              <w:right w:val="single" w:sz="4" w:space="0" w:color="auto"/>
            </w:tcBorders>
            <w:noWrap/>
            <w:vAlign w:val="center"/>
          </w:tcPr>
          <w:p w:rsidR="00ED470E" w:rsidRPr="004D451D" w:rsidRDefault="00ED470E" w:rsidP="00A97363">
            <w:pPr>
              <w:widowControl/>
              <w:jc w:val="center"/>
              <w:rPr>
                <w:rFonts w:eastAsia="標楷體"/>
                <w:kern w:val="0"/>
              </w:rPr>
            </w:pPr>
            <w:r w:rsidRPr="004D451D">
              <w:rPr>
                <w:rFonts w:eastAsia="標楷體"/>
                <w:kern w:val="0"/>
              </w:rPr>
              <w:t>4</w:t>
            </w:r>
          </w:p>
        </w:tc>
        <w:tc>
          <w:tcPr>
            <w:tcW w:w="2705" w:type="dxa"/>
            <w:tcBorders>
              <w:top w:val="single" w:sz="4" w:space="0" w:color="auto"/>
              <w:left w:val="nil"/>
              <w:bottom w:val="single" w:sz="4" w:space="0" w:color="auto"/>
              <w:right w:val="single" w:sz="4" w:space="0" w:color="000000"/>
            </w:tcBorders>
            <w:vAlign w:val="center"/>
          </w:tcPr>
          <w:p w:rsidR="00ED470E" w:rsidRPr="004D451D" w:rsidRDefault="00ED470E" w:rsidP="00A97363">
            <w:pPr>
              <w:widowControl/>
              <w:rPr>
                <w:rFonts w:eastAsia="標楷體"/>
                <w:kern w:val="0"/>
              </w:rPr>
            </w:pPr>
            <w:r w:rsidRPr="004D451D">
              <w:rPr>
                <w:rFonts w:eastAsia="標楷體"/>
                <w:kern w:val="0"/>
              </w:rPr>
              <w:t>當自身信評被調降時，銀行需要提供擔保品金額的衝擊</w:t>
            </w:r>
          </w:p>
        </w:tc>
        <w:tc>
          <w:tcPr>
            <w:tcW w:w="6812" w:type="dxa"/>
            <w:tcBorders>
              <w:top w:val="single" w:sz="4" w:space="0" w:color="auto"/>
              <w:left w:val="nil"/>
              <w:bottom w:val="single" w:sz="4" w:space="0" w:color="auto"/>
              <w:right w:val="single" w:sz="4" w:space="0" w:color="auto"/>
            </w:tcBorders>
            <w:noWrap/>
            <w:vAlign w:val="center"/>
          </w:tcPr>
          <w:p w:rsidR="00ED470E" w:rsidRPr="004D451D" w:rsidRDefault="00ED470E" w:rsidP="00A36047">
            <w:pPr>
              <w:widowControl/>
              <w:spacing w:line="280" w:lineRule="exact"/>
              <w:ind w:left="240" w:hangingChars="100" w:hanging="240"/>
              <w:jc w:val="both"/>
              <w:rPr>
                <w:rFonts w:ascii="標楷體" w:eastAsia="標楷體" w:hAnsi="標楷體"/>
                <w:kern w:val="0"/>
              </w:rPr>
            </w:pPr>
            <w:r w:rsidRPr="004D451D">
              <w:rPr>
                <w:rFonts w:ascii="標楷體" w:eastAsia="標楷體" w:hAnsi="標楷體"/>
                <w:kern w:val="0"/>
              </w:rPr>
              <w:t>信評被降評，可能的影響如下:</w:t>
            </w:r>
          </w:p>
          <w:p w:rsidR="00ED470E" w:rsidRPr="004D451D" w:rsidRDefault="00ED470E" w:rsidP="00A36047">
            <w:pPr>
              <w:widowControl/>
              <w:spacing w:line="280" w:lineRule="exact"/>
              <w:ind w:left="240" w:hangingChars="100" w:hanging="240"/>
              <w:jc w:val="both"/>
              <w:rPr>
                <w:rFonts w:ascii="標楷體" w:eastAsia="標楷體" w:hAnsi="標楷體"/>
                <w:kern w:val="0"/>
              </w:rPr>
            </w:pPr>
            <w:r w:rsidRPr="004D451D">
              <w:rPr>
                <w:rFonts w:ascii="標楷體" w:eastAsia="標楷體" w:hAnsi="標楷體" w:hint="eastAsia"/>
                <w:kern w:val="0"/>
              </w:rPr>
              <w:t>1.</w:t>
            </w:r>
            <w:r w:rsidRPr="004D451D">
              <w:rPr>
                <w:rFonts w:ascii="標楷體" w:eastAsia="標楷體" w:hAnsi="標楷體"/>
                <w:kern w:val="0"/>
              </w:rPr>
              <w:t>資金成本壓力增加</w:t>
            </w:r>
            <w:r w:rsidRPr="004D451D">
              <w:rPr>
                <w:rFonts w:ascii="標楷體" w:eastAsia="標楷體" w:hAnsi="標楷體" w:hint="eastAsia"/>
                <w:kern w:val="0"/>
              </w:rPr>
              <w:t>:</w:t>
            </w:r>
            <w:r w:rsidRPr="004D451D">
              <w:rPr>
                <w:rFonts w:ascii="標楷體" w:eastAsia="標楷體" w:hAnsi="標楷體"/>
                <w:kern w:val="0"/>
              </w:rPr>
              <w:t>當銀行信用評等遭到調整時，交易對手可能承擔較高的信用風險，導致銀行發債成本墊高</w:t>
            </w:r>
            <w:r w:rsidRPr="004D451D">
              <w:rPr>
                <w:rFonts w:ascii="標楷體" w:eastAsia="標楷體" w:hAnsi="標楷體" w:hint="eastAsia"/>
                <w:kern w:val="0"/>
              </w:rPr>
              <w:t>，</w:t>
            </w:r>
            <w:r w:rsidRPr="004D451D">
              <w:rPr>
                <w:rFonts w:ascii="標楷體" w:eastAsia="標楷體" w:hAnsi="標楷體"/>
                <w:kern w:val="0"/>
              </w:rPr>
              <w:t>營收也會因此受到壓縮。</w:t>
            </w:r>
          </w:p>
          <w:p w:rsidR="00ED470E" w:rsidRPr="004D451D" w:rsidRDefault="00ED470E" w:rsidP="00A36047">
            <w:pPr>
              <w:widowControl/>
              <w:spacing w:line="280" w:lineRule="exact"/>
              <w:ind w:left="240" w:hangingChars="100" w:hanging="240"/>
              <w:jc w:val="both"/>
              <w:rPr>
                <w:rFonts w:ascii="標楷體" w:eastAsia="標楷體" w:hAnsi="標楷體"/>
                <w:kern w:val="0"/>
              </w:rPr>
            </w:pPr>
            <w:r w:rsidRPr="004D451D">
              <w:rPr>
                <w:rFonts w:ascii="標楷體" w:eastAsia="標楷體" w:hAnsi="標楷體" w:hint="eastAsia"/>
                <w:kern w:val="0"/>
              </w:rPr>
              <w:t>2.</w:t>
            </w:r>
            <w:r w:rsidRPr="004D451D">
              <w:rPr>
                <w:rFonts w:ascii="標楷體" w:eastAsia="標楷體" w:hAnsi="標楷體"/>
                <w:kern w:val="0"/>
              </w:rPr>
              <w:t>額外提列擔保品</w:t>
            </w:r>
            <w:r w:rsidRPr="004D451D">
              <w:rPr>
                <w:rFonts w:ascii="標楷體" w:eastAsia="標楷體" w:hAnsi="標楷體" w:hint="eastAsia"/>
                <w:kern w:val="0"/>
              </w:rPr>
              <w:t>:</w:t>
            </w:r>
            <w:r w:rsidRPr="004D451D">
              <w:rPr>
                <w:rFonts w:ascii="標楷體" w:eastAsia="標楷體" w:hAnsi="標楷體"/>
                <w:kern w:val="0"/>
              </w:rPr>
              <w:t>降評除了增加銀行發債成本外，在做衍生性商品或證券交易時，交易商為了確保自身安全，以及掌握各家銀行的風險，會要求交易方支付更多的抵押品或現金。</w:t>
            </w:r>
          </w:p>
        </w:tc>
      </w:tr>
    </w:tbl>
    <w:p w:rsidR="008D1012" w:rsidRPr="004D451D" w:rsidRDefault="008D1012" w:rsidP="007A7585">
      <w:pPr>
        <w:spacing w:line="240" w:lineRule="atLeast"/>
        <w:rPr>
          <w:rFonts w:eastAsia="標楷體"/>
          <w:b/>
          <w:kern w:val="0"/>
        </w:rPr>
      </w:pPr>
      <w:r w:rsidRPr="004D451D">
        <w:rPr>
          <w:rFonts w:eastAsia="標楷體"/>
          <w:b/>
          <w:kern w:val="0"/>
        </w:rPr>
        <w:t>填表說明：</w:t>
      </w:r>
    </w:p>
    <w:p w:rsidR="008D1012" w:rsidRPr="004D451D" w:rsidRDefault="008D1012" w:rsidP="00EF4134">
      <w:pPr>
        <w:numPr>
          <w:ilvl w:val="0"/>
          <w:numId w:val="49"/>
        </w:numPr>
        <w:spacing w:line="240" w:lineRule="atLeast"/>
        <w:ind w:leftChars="150" w:left="720" w:hangingChars="150"/>
        <w:rPr>
          <w:rFonts w:eastAsia="標楷體"/>
        </w:rPr>
      </w:pPr>
      <w:r w:rsidRPr="004D451D">
        <w:rPr>
          <w:rFonts w:eastAsia="標楷體"/>
        </w:rPr>
        <w:t>本表更新頻率：年。</w:t>
      </w:r>
    </w:p>
    <w:p w:rsidR="00E7224D" w:rsidRPr="004D451D" w:rsidRDefault="008055DB" w:rsidP="00EF4134">
      <w:pPr>
        <w:numPr>
          <w:ilvl w:val="0"/>
          <w:numId w:val="49"/>
        </w:numPr>
        <w:spacing w:line="360" w:lineRule="auto"/>
        <w:ind w:leftChars="150" w:left="720" w:hangingChars="150"/>
        <w:rPr>
          <w:rFonts w:ascii="Arial" w:eastAsia="標楷體" w:hAnsi="Arial" w:cs="Arial"/>
        </w:rPr>
      </w:pPr>
      <w:r w:rsidRPr="004D451D">
        <w:rPr>
          <w:rFonts w:eastAsia="標楷體"/>
        </w:rPr>
        <w:t>本表採個體基礎填報。</w:t>
      </w:r>
    </w:p>
    <w:p w:rsidR="00E7224D" w:rsidRPr="004D451D" w:rsidRDefault="00E7224D" w:rsidP="00E7224D">
      <w:pPr>
        <w:widowControl/>
        <w:rPr>
          <w:rFonts w:eastAsia="標楷體"/>
          <w:sz w:val="32"/>
          <w:szCs w:val="32"/>
        </w:rPr>
      </w:pPr>
      <w:r w:rsidRPr="004D451D">
        <w:rPr>
          <w:rFonts w:eastAsia="標楷體"/>
          <w:b/>
          <w:sz w:val="32"/>
          <w:szCs w:val="32"/>
        </w:rPr>
        <w:t>【附表</w:t>
      </w:r>
      <w:r w:rsidR="00085AC6" w:rsidRPr="004D451D">
        <w:rPr>
          <w:rFonts w:eastAsia="標楷體"/>
          <w:b/>
          <w:sz w:val="32"/>
          <w:szCs w:val="32"/>
        </w:rPr>
        <w:t>二十</w:t>
      </w:r>
      <w:r w:rsidR="00076C43" w:rsidRPr="004D451D">
        <w:rPr>
          <w:rFonts w:eastAsia="標楷體" w:hint="eastAsia"/>
          <w:b/>
          <w:sz w:val="32"/>
          <w:szCs w:val="32"/>
        </w:rPr>
        <w:t>八</w:t>
      </w:r>
      <w:r w:rsidRPr="004D451D">
        <w:rPr>
          <w:rFonts w:eastAsia="標楷體"/>
          <w:b/>
          <w:sz w:val="32"/>
          <w:szCs w:val="32"/>
        </w:rPr>
        <w:t>】</w:t>
      </w:r>
    </w:p>
    <w:p w:rsidR="00E7224D" w:rsidRPr="004D451D" w:rsidRDefault="00E7224D" w:rsidP="00E7224D">
      <w:pPr>
        <w:jc w:val="center"/>
        <w:rPr>
          <w:rFonts w:eastAsia="標楷體"/>
          <w:b/>
          <w:bCs/>
          <w:sz w:val="32"/>
          <w:szCs w:val="32"/>
        </w:rPr>
      </w:pPr>
      <w:r w:rsidRPr="004D451D">
        <w:rPr>
          <w:rFonts w:eastAsia="標楷體"/>
          <w:b/>
          <w:bCs/>
          <w:sz w:val="32"/>
          <w:szCs w:val="32"/>
        </w:rPr>
        <w:t>交易對手信用風險</w:t>
      </w:r>
      <w:r w:rsidR="00236123" w:rsidRPr="004D451D">
        <w:rPr>
          <w:rFonts w:eastAsia="標楷體"/>
          <w:b/>
          <w:bCs/>
          <w:sz w:val="32"/>
          <w:szCs w:val="32"/>
        </w:rPr>
        <w:t>各</w:t>
      </w:r>
      <w:r w:rsidRPr="004D451D">
        <w:rPr>
          <w:rFonts w:eastAsia="標楷體"/>
          <w:b/>
          <w:bCs/>
          <w:sz w:val="32"/>
          <w:szCs w:val="32"/>
        </w:rPr>
        <w:t>方法之暴險分析</w:t>
      </w:r>
    </w:p>
    <w:p w:rsidR="006861F1" w:rsidRPr="004D451D" w:rsidRDefault="006861F1" w:rsidP="006861F1">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ED470E" w:rsidRPr="004D451D">
        <w:rPr>
          <w:rFonts w:eastAsia="標楷體" w:hint="eastAsia"/>
          <w:bCs/>
          <w:sz w:val="32"/>
          <w:szCs w:val="32"/>
        </w:rPr>
        <w:t>10</w:t>
      </w:r>
      <w:r w:rsidR="00FF52AD" w:rsidRPr="004D451D">
        <w:rPr>
          <w:rFonts w:eastAsia="標楷體" w:hint="eastAsia"/>
          <w:bCs/>
          <w:sz w:val="32"/>
          <w:szCs w:val="32"/>
        </w:rPr>
        <w:t>7</w:t>
      </w:r>
      <w:r w:rsidRPr="004D451D">
        <w:rPr>
          <w:rFonts w:eastAsia="標楷體"/>
          <w:bCs/>
          <w:sz w:val="32"/>
          <w:szCs w:val="32"/>
        </w:rPr>
        <w:t>年</w:t>
      </w:r>
      <w:r w:rsidR="00FF52AD" w:rsidRPr="004D451D">
        <w:rPr>
          <w:rFonts w:eastAsia="標楷體" w:hint="eastAsia"/>
          <w:bCs/>
          <w:sz w:val="32"/>
          <w:szCs w:val="32"/>
        </w:rPr>
        <w:t>06</w:t>
      </w:r>
      <w:r w:rsidRPr="004D451D">
        <w:rPr>
          <w:rFonts w:eastAsia="標楷體"/>
          <w:bCs/>
          <w:sz w:val="32"/>
          <w:szCs w:val="32"/>
        </w:rPr>
        <w:t>月</w:t>
      </w:r>
      <w:r w:rsidR="00ED470E" w:rsidRPr="004D451D">
        <w:rPr>
          <w:rFonts w:eastAsia="標楷體" w:hint="eastAsia"/>
          <w:bCs/>
          <w:sz w:val="32"/>
          <w:szCs w:val="32"/>
        </w:rPr>
        <w:t>3</w:t>
      </w:r>
      <w:r w:rsidR="00FF52AD" w:rsidRPr="004D451D">
        <w:rPr>
          <w:rFonts w:eastAsia="標楷體" w:hint="eastAsia"/>
          <w:bCs/>
          <w:sz w:val="32"/>
          <w:szCs w:val="32"/>
        </w:rPr>
        <w:t>0</w:t>
      </w:r>
      <w:r w:rsidRPr="004D451D">
        <w:rPr>
          <w:rFonts w:eastAsia="標楷體"/>
          <w:bCs/>
          <w:sz w:val="32"/>
          <w:szCs w:val="32"/>
        </w:rPr>
        <w:t>日</w:t>
      </w:r>
      <w:r w:rsidRPr="004D451D">
        <w:rPr>
          <w:rFonts w:eastAsia="標楷體"/>
          <w:bCs/>
          <w:sz w:val="32"/>
          <w:szCs w:val="32"/>
        </w:rPr>
        <w:t xml:space="preserve"> </w:t>
      </w:r>
      <w:r w:rsidRPr="004D451D">
        <w:rPr>
          <w:rFonts w:eastAsia="標楷體"/>
          <w:b/>
          <w:bCs/>
          <w:sz w:val="32"/>
          <w:szCs w:val="32"/>
        </w:rPr>
        <w:t xml:space="preserve"> </w:t>
      </w:r>
      <w:r w:rsidRPr="004D451D">
        <w:rPr>
          <w:rFonts w:eastAsia="標楷體"/>
          <w:b/>
          <w:bCs/>
        </w:rPr>
        <w:t xml:space="preserve">         </w:t>
      </w:r>
      <w:r w:rsidR="00117055" w:rsidRPr="004D451D">
        <w:rPr>
          <w:rFonts w:eastAsia="標楷體" w:hint="eastAsia"/>
          <w:bCs/>
        </w:rPr>
        <w:t>（</w:t>
      </w:r>
      <w:r w:rsidRPr="004D451D">
        <w:rPr>
          <w:rFonts w:eastAsia="標楷體"/>
          <w:bCs/>
        </w:rPr>
        <w:t>單位</w:t>
      </w:r>
      <w:r w:rsidR="008055DB" w:rsidRPr="004D451D">
        <w:rPr>
          <w:rFonts w:eastAsia="標楷體" w:hint="eastAsia"/>
          <w:bCs/>
        </w:rPr>
        <w:t>：</w:t>
      </w:r>
      <w:r w:rsidRPr="004D451D">
        <w:rPr>
          <w:rFonts w:eastAsia="標楷體"/>
          <w:bCs/>
        </w:rPr>
        <w:t>新臺幣千元</w:t>
      </w:r>
      <w:r w:rsidR="00117055" w:rsidRPr="004D451D">
        <w:rPr>
          <w:rFonts w:eastAsia="標楷體" w:hint="eastAsia"/>
          <w:bCs/>
        </w:rPr>
        <w:t>）</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410"/>
        <w:gridCol w:w="1276"/>
        <w:gridCol w:w="1276"/>
        <w:gridCol w:w="1326"/>
        <w:gridCol w:w="1418"/>
        <w:gridCol w:w="1559"/>
        <w:gridCol w:w="1417"/>
      </w:tblGrid>
      <w:tr w:rsidR="004D451D" w:rsidRPr="004D451D" w:rsidTr="00FF52AD">
        <w:tc>
          <w:tcPr>
            <w:tcW w:w="2927" w:type="dxa"/>
            <w:gridSpan w:val="2"/>
            <w:shd w:val="clear" w:color="auto" w:fill="auto"/>
            <w:vAlign w:val="center"/>
          </w:tcPr>
          <w:p w:rsidR="00352C2A" w:rsidRPr="004D451D" w:rsidRDefault="008055DB" w:rsidP="00896C3C">
            <w:pPr>
              <w:jc w:val="center"/>
              <w:rPr>
                <w:rFonts w:eastAsia="標楷體"/>
                <w:bCs/>
              </w:rPr>
            </w:pPr>
            <w:r w:rsidRPr="004D451D">
              <w:rPr>
                <w:rFonts w:eastAsia="標楷體" w:hint="eastAsia"/>
                <w:bCs/>
              </w:rPr>
              <w:t>項目</w:t>
            </w:r>
          </w:p>
        </w:tc>
        <w:tc>
          <w:tcPr>
            <w:tcW w:w="1276" w:type="dxa"/>
            <w:shd w:val="clear" w:color="auto" w:fill="auto"/>
            <w:vAlign w:val="center"/>
          </w:tcPr>
          <w:p w:rsidR="00352C2A" w:rsidRPr="004D451D" w:rsidRDefault="00352C2A" w:rsidP="00896C3C">
            <w:pPr>
              <w:jc w:val="center"/>
              <w:rPr>
                <w:rFonts w:eastAsia="標楷體"/>
                <w:bCs/>
              </w:rPr>
            </w:pPr>
            <w:r w:rsidRPr="004D451D">
              <w:rPr>
                <w:rFonts w:eastAsia="標楷體"/>
                <w:bCs/>
              </w:rPr>
              <w:t>重置成本</w:t>
            </w:r>
            <w:r w:rsidR="008055DB" w:rsidRPr="004D451D">
              <w:rPr>
                <w:rFonts w:eastAsia="標楷體" w:hint="eastAsia"/>
                <w:bCs/>
              </w:rPr>
              <w:t>A</w:t>
            </w:r>
          </w:p>
        </w:tc>
        <w:tc>
          <w:tcPr>
            <w:tcW w:w="1276" w:type="dxa"/>
            <w:shd w:val="clear" w:color="auto" w:fill="auto"/>
            <w:vAlign w:val="center"/>
          </w:tcPr>
          <w:p w:rsidR="00352C2A" w:rsidRPr="004D451D" w:rsidRDefault="00352C2A" w:rsidP="00896C3C">
            <w:pPr>
              <w:jc w:val="center"/>
              <w:rPr>
                <w:rFonts w:eastAsia="標楷體"/>
                <w:bCs/>
              </w:rPr>
            </w:pPr>
            <w:r w:rsidRPr="004D451D">
              <w:rPr>
                <w:rFonts w:eastAsia="標楷體"/>
                <w:bCs/>
              </w:rPr>
              <w:t>未來潛在暴險額</w:t>
            </w:r>
            <w:r w:rsidR="008055DB" w:rsidRPr="004D451D">
              <w:rPr>
                <w:rFonts w:eastAsia="標楷體" w:hint="eastAsia"/>
                <w:bCs/>
              </w:rPr>
              <w:t>B</w:t>
            </w:r>
          </w:p>
        </w:tc>
        <w:tc>
          <w:tcPr>
            <w:tcW w:w="1326" w:type="dxa"/>
            <w:shd w:val="clear" w:color="auto" w:fill="auto"/>
            <w:vAlign w:val="center"/>
          </w:tcPr>
          <w:p w:rsidR="00352C2A" w:rsidRPr="004D451D" w:rsidRDefault="00352C2A" w:rsidP="00896C3C">
            <w:pPr>
              <w:jc w:val="center"/>
              <w:rPr>
                <w:rFonts w:eastAsia="標楷體"/>
                <w:bCs/>
              </w:rPr>
            </w:pPr>
            <w:r w:rsidRPr="004D451D">
              <w:rPr>
                <w:rFonts w:eastAsia="標楷體"/>
                <w:bCs/>
              </w:rPr>
              <w:t>加權平均有效暴險額期望值</w:t>
            </w:r>
            <w:r w:rsidR="008055DB" w:rsidRPr="004D451D">
              <w:rPr>
                <w:rFonts w:eastAsia="標楷體" w:hint="eastAsia"/>
                <w:bCs/>
              </w:rPr>
              <w:t>C</w:t>
            </w:r>
          </w:p>
        </w:tc>
        <w:tc>
          <w:tcPr>
            <w:tcW w:w="1418" w:type="dxa"/>
            <w:shd w:val="clear" w:color="auto" w:fill="auto"/>
            <w:vAlign w:val="center"/>
          </w:tcPr>
          <w:p w:rsidR="00352C2A" w:rsidRPr="004D451D" w:rsidRDefault="00352C2A" w:rsidP="00896C3C">
            <w:pPr>
              <w:jc w:val="center"/>
              <w:rPr>
                <w:rFonts w:eastAsia="標楷體"/>
                <w:bCs/>
              </w:rPr>
            </w:pPr>
            <w:r w:rsidRPr="004D451D">
              <w:rPr>
                <w:rFonts w:eastAsia="標楷體"/>
                <w:bCs/>
              </w:rPr>
              <w:t>用來計算法定違約暴險額之</w:t>
            </w:r>
            <w:r w:rsidRPr="004D451D">
              <w:rPr>
                <w:rFonts w:eastAsia="標楷體"/>
                <w:bCs/>
              </w:rPr>
              <w:t>Alpha</w:t>
            </w:r>
            <w:r w:rsidRPr="004D451D">
              <w:rPr>
                <w:rFonts w:eastAsia="標楷體"/>
                <w:bCs/>
              </w:rPr>
              <w:t>值</w:t>
            </w:r>
            <w:r w:rsidR="008055DB" w:rsidRPr="004D451D">
              <w:rPr>
                <w:rFonts w:eastAsia="標楷體" w:hint="eastAsia"/>
                <w:bCs/>
              </w:rPr>
              <w:t>D</w:t>
            </w:r>
          </w:p>
        </w:tc>
        <w:tc>
          <w:tcPr>
            <w:tcW w:w="1559" w:type="dxa"/>
            <w:shd w:val="clear" w:color="auto" w:fill="auto"/>
            <w:vAlign w:val="center"/>
          </w:tcPr>
          <w:p w:rsidR="00352C2A" w:rsidRPr="004D451D" w:rsidRDefault="00352C2A" w:rsidP="00896C3C">
            <w:pPr>
              <w:jc w:val="center"/>
              <w:rPr>
                <w:rFonts w:eastAsia="標楷體"/>
                <w:bCs/>
              </w:rPr>
            </w:pPr>
            <w:r w:rsidRPr="004D451D">
              <w:rPr>
                <w:rFonts w:eastAsia="標楷體"/>
                <w:bCs/>
              </w:rPr>
              <w:t>考慮信用風險抵減後之違約暴險額</w:t>
            </w:r>
            <w:r w:rsidR="008055DB" w:rsidRPr="004D451D">
              <w:rPr>
                <w:rFonts w:eastAsia="標楷體" w:hint="eastAsia"/>
                <w:bCs/>
              </w:rPr>
              <w:t>E</w:t>
            </w:r>
          </w:p>
        </w:tc>
        <w:tc>
          <w:tcPr>
            <w:tcW w:w="1417" w:type="dxa"/>
            <w:shd w:val="clear" w:color="auto" w:fill="auto"/>
            <w:vAlign w:val="center"/>
          </w:tcPr>
          <w:p w:rsidR="00352C2A" w:rsidRPr="004D451D" w:rsidRDefault="00352C2A" w:rsidP="00896C3C">
            <w:pPr>
              <w:jc w:val="center"/>
              <w:rPr>
                <w:rFonts w:eastAsia="標楷體"/>
                <w:bCs/>
              </w:rPr>
            </w:pPr>
            <w:r w:rsidRPr="004D451D">
              <w:rPr>
                <w:rFonts w:eastAsia="標楷體"/>
                <w:bCs/>
              </w:rPr>
              <w:t>風險性資產</w:t>
            </w:r>
            <w:r w:rsidR="008055DB" w:rsidRPr="004D451D">
              <w:rPr>
                <w:rFonts w:eastAsia="標楷體" w:hint="eastAsia"/>
                <w:bCs/>
              </w:rPr>
              <w:t>F</w:t>
            </w:r>
          </w:p>
        </w:tc>
      </w:tr>
      <w:tr w:rsidR="004D451D" w:rsidRPr="004D451D" w:rsidTr="00FF52AD">
        <w:tc>
          <w:tcPr>
            <w:tcW w:w="517" w:type="dxa"/>
            <w:shd w:val="clear" w:color="auto" w:fill="auto"/>
            <w:vAlign w:val="center"/>
          </w:tcPr>
          <w:p w:rsidR="00FF52AD" w:rsidRPr="004D451D" w:rsidRDefault="00FF52AD" w:rsidP="008E431D">
            <w:pPr>
              <w:jc w:val="center"/>
              <w:rPr>
                <w:rFonts w:eastAsia="標楷體"/>
                <w:bCs/>
              </w:rPr>
            </w:pPr>
            <w:r w:rsidRPr="004D451D">
              <w:rPr>
                <w:rFonts w:eastAsia="標楷體"/>
                <w:bCs/>
              </w:rPr>
              <w:t>1</w:t>
            </w:r>
          </w:p>
        </w:tc>
        <w:tc>
          <w:tcPr>
            <w:tcW w:w="2410" w:type="dxa"/>
            <w:shd w:val="clear" w:color="auto" w:fill="auto"/>
            <w:vAlign w:val="center"/>
          </w:tcPr>
          <w:p w:rsidR="00FF52AD" w:rsidRPr="004D451D" w:rsidRDefault="00FF52AD" w:rsidP="004B6D0F">
            <w:pPr>
              <w:jc w:val="both"/>
              <w:rPr>
                <w:rFonts w:eastAsia="標楷體"/>
                <w:bCs/>
              </w:rPr>
            </w:pPr>
            <w:r w:rsidRPr="004D451D">
              <w:rPr>
                <w:rFonts w:eastAsia="標楷體"/>
                <w:bCs/>
              </w:rPr>
              <w:t>標準法</w:t>
            </w:r>
            <w:r w:rsidRPr="004D451D">
              <w:rPr>
                <w:rFonts w:eastAsia="標楷體"/>
                <w:bCs/>
              </w:rPr>
              <w:t>(SA-CCR)</w:t>
            </w:r>
          </w:p>
          <w:p w:rsidR="00FF52AD" w:rsidRPr="004D451D" w:rsidRDefault="00FF52AD" w:rsidP="004B6D0F">
            <w:pPr>
              <w:jc w:val="both"/>
              <w:rPr>
                <w:rFonts w:eastAsia="標楷體"/>
                <w:bCs/>
              </w:rPr>
            </w:pPr>
            <w:r w:rsidRPr="004D451D">
              <w:rPr>
                <w:rFonts w:eastAsia="標楷體"/>
                <w:bCs/>
              </w:rPr>
              <w:t>(</w:t>
            </w:r>
            <w:r w:rsidRPr="004D451D">
              <w:rPr>
                <w:rFonts w:eastAsia="標楷體"/>
                <w:bCs/>
              </w:rPr>
              <w:t>衍生性金融商品</w:t>
            </w:r>
            <w:r w:rsidRPr="004D451D">
              <w:rPr>
                <w:rFonts w:eastAsia="標楷體"/>
                <w:bCs/>
              </w:rPr>
              <w:t>)</w:t>
            </w:r>
          </w:p>
        </w:tc>
        <w:tc>
          <w:tcPr>
            <w:tcW w:w="1276"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79,570</w:t>
            </w:r>
          </w:p>
        </w:tc>
        <w:tc>
          <w:tcPr>
            <w:tcW w:w="1276"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47,892</w:t>
            </w:r>
          </w:p>
        </w:tc>
        <w:tc>
          <w:tcPr>
            <w:tcW w:w="132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uto"/>
            <w:vAlign w:val="center"/>
          </w:tcPr>
          <w:p w:rsidR="00FF52AD" w:rsidRPr="004D451D" w:rsidRDefault="00FF52AD" w:rsidP="00FF52AD">
            <w:pPr>
              <w:jc w:val="center"/>
              <w:rPr>
                <w:rFonts w:ascii="Arial" w:hAnsi="Arial" w:cs="Arial"/>
              </w:rPr>
            </w:pPr>
            <w:r w:rsidRPr="004D451D">
              <w:rPr>
                <w:rFonts w:ascii="Arial" w:hAnsi="Arial" w:cs="Arial"/>
              </w:rPr>
              <w:t>1.4</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127,462</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34,855</w:t>
            </w:r>
          </w:p>
        </w:tc>
      </w:tr>
      <w:tr w:rsidR="004D451D" w:rsidRPr="004D451D" w:rsidTr="00FF52AD">
        <w:tc>
          <w:tcPr>
            <w:tcW w:w="517" w:type="dxa"/>
            <w:tcBorders>
              <w:bottom w:val="single" w:sz="4" w:space="0" w:color="auto"/>
            </w:tcBorders>
            <w:shd w:val="clear" w:color="auto" w:fill="auto"/>
            <w:vAlign w:val="center"/>
          </w:tcPr>
          <w:p w:rsidR="00FF52AD" w:rsidRPr="004D451D" w:rsidRDefault="00FF52AD" w:rsidP="008E431D">
            <w:pPr>
              <w:jc w:val="center"/>
              <w:rPr>
                <w:rFonts w:eastAsia="標楷體"/>
                <w:bCs/>
              </w:rPr>
            </w:pPr>
            <w:r w:rsidRPr="004D451D">
              <w:rPr>
                <w:rFonts w:eastAsia="標楷體"/>
                <w:bCs/>
              </w:rPr>
              <w:t>2</w:t>
            </w:r>
          </w:p>
        </w:tc>
        <w:tc>
          <w:tcPr>
            <w:tcW w:w="2410" w:type="dxa"/>
            <w:tcBorders>
              <w:bottom w:val="single" w:sz="4" w:space="0" w:color="auto"/>
            </w:tcBorders>
            <w:shd w:val="clear" w:color="auto" w:fill="auto"/>
            <w:vAlign w:val="center"/>
          </w:tcPr>
          <w:p w:rsidR="00FF52AD" w:rsidRPr="004D451D" w:rsidRDefault="00FF52AD" w:rsidP="004B6D0F">
            <w:pPr>
              <w:jc w:val="both"/>
              <w:rPr>
                <w:rFonts w:eastAsia="標楷體"/>
                <w:bCs/>
              </w:rPr>
            </w:pPr>
            <w:r w:rsidRPr="004D451D">
              <w:rPr>
                <w:rFonts w:eastAsia="標楷體"/>
                <w:bCs/>
              </w:rPr>
              <w:t>內部模型法</w:t>
            </w:r>
          </w:p>
          <w:p w:rsidR="00FF52AD" w:rsidRPr="004D451D" w:rsidRDefault="00FF52AD" w:rsidP="004B6D0F">
            <w:pPr>
              <w:jc w:val="both"/>
              <w:rPr>
                <w:rFonts w:eastAsia="標楷體"/>
                <w:bCs/>
              </w:rPr>
            </w:pPr>
            <w:r w:rsidRPr="004D451D">
              <w:rPr>
                <w:rFonts w:eastAsia="標楷體"/>
                <w:bCs/>
              </w:rPr>
              <w:t>(</w:t>
            </w:r>
            <w:r w:rsidRPr="004D451D">
              <w:rPr>
                <w:rFonts w:eastAsia="標楷體"/>
                <w:bCs/>
              </w:rPr>
              <w:t>衍生性金融商品及有價證券融資交易</w:t>
            </w:r>
            <w:r w:rsidRPr="004D451D">
              <w:rPr>
                <w:rFonts w:eastAsia="標楷體"/>
                <w:bCs/>
              </w:rPr>
              <w:t>)</w:t>
            </w:r>
          </w:p>
        </w:tc>
        <w:tc>
          <w:tcPr>
            <w:tcW w:w="127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27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326"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r>
      <w:tr w:rsidR="004D451D" w:rsidRPr="004D451D" w:rsidTr="00FF52AD">
        <w:tc>
          <w:tcPr>
            <w:tcW w:w="517" w:type="dxa"/>
            <w:shd w:val="clear" w:color="auto" w:fill="auto"/>
            <w:vAlign w:val="center"/>
          </w:tcPr>
          <w:p w:rsidR="00FF52AD" w:rsidRPr="004D451D" w:rsidRDefault="00FF52AD" w:rsidP="008E431D">
            <w:pPr>
              <w:jc w:val="center"/>
              <w:rPr>
                <w:rFonts w:eastAsia="標楷體"/>
                <w:bCs/>
              </w:rPr>
            </w:pPr>
            <w:r w:rsidRPr="004D451D">
              <w:rPr>
                <w:rFonts w:eastAsia="標楷體"/>
                <w:bCs/>
              </w:rPr>
              <w:t>3</w:t>
            </w:r>
          </w:p>
        </w:tc>
        <w:tc>
          <w:tcPr>
            <w:tcW w:w="2410" w:type="dxa"/>
            <w:shd w:val="clear" w:color="auto" w:fill="auto"/>
            <w:vAlign w:val="center"/>
          </w:tcPr>
          <w:p w:rsidR="00FF52AD" w:rsidRPr="004D451D" w:rsidRDefault="00FF52AD" w:rsidP="004B6D0F">
            <w:pPr>
              <w:jc w:val="both"/>
              <w:rPr>
                <w:rFonts w:eastAsia="標楷體"/>
                <w:bCs/>
              </w:rPr>
            </w:pPr>
            <w:r w:rsidRPr="004D451D">
              <w:rPr>
                <w:rFonts w:eastAsia="標楷體"/>
                <w:bCs/>
              </w:rPr>
              <w:t>信用風險抵減簡單法</w:t>
            </w:r>
          </w:p>
          <w:p w:rsidR="00FF52AD" w:rsidRPr="004D451D" w:rsidRDefault="00FF52AD" w:rsidP="004B6D0F">
            <w:pPr>
              <w:jc w:val="both"/>
              <w:rPr>
                <w:rFonts w:eastAsia="標楷體"/>
                <w:bCs/>
              </w:rPr>
            </w:pPr>
            <w:r w:rsidRPr="004D451D">
              <w:rPr>
                <w:rFonts w:eastAsia="標楷體"/>
                <w:bCs/>
              </w:rPr>
              <w:t>(</w:t>
            </w:r>
            <w:r w:rsidRPr="004D451D">
              <w:rPr>
                <w:rFonts w:eastAsia="標楷體"/>
                <w:bCs/>
              </w:rPr>
              <w:t>有價證券融資交易</w:t>
            </w:r>
            <w:r w:rsidRPr="004D451D">
              <w:rPr>
                <w:rFonts w:eastAsia="標楷體"/>
                <w:bCs/>
              </w:rPr>
              <w:t>)</w:t>
            </w:r>
          </w:p>
        </w:tc>
        <w:tc>
          <w:tcPr>
            <w:tcW w:w="127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27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32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r>
      <w:tr w:rsidR="004D451D" w:rsidRPr="004D451D" w:rsidTr="00FF52AD">
        <w:tc>
          <w:tcPr>
            <w:tcW w:w="517" w:type="dxa"/>
            <w:shd w:val="clear" w:color="auto" w:fill="auto"/>
            <w:vAlign w:val="center"/>
          </w:tcPr>
          <w:p w:rsidR="00FF52AD" w:rsidRPr="004D451D" w:rsidRDefault="00FF52AD" w:rsidP="008E431D">
            <w:pPr>
              <w:jc w:val="center"/>
              <w:rPr>
                <w:rFonts w:eastAsia="標楷體"/>
                <w:bCs/>
              </w:rPr>
            </w:pPr>
            <w:r w:rsidRPr="004D451D">
              <w:rPr>
                <w:rFonts w:eastAsia="標楷體"/>
                <w:bCs/>
              </w:rPr>
              <w:t>4</w:t>
            </w:r>
          </w:p>
        </w:tc>
        <w:tc>
          <w:tcPr>
            <w:tcW w:w="2410" w:type="dxa"/>
            <w:shd w:val="clear" w:color="auto" w:fill="auto"/>
            <w:vAlign w:val="center"/>
          </w:tcPr>
          <w:p w:rsidR="00FF52AD" w:rsidRPr="004D451D" w:rsidRDefault="00FF52AD" w:rsidP="004B6D0F">
            <w:pPr>
              <w:jc w:val="both"/>
              <w:rPr>
                <w:rFonts w:eastAsia="標楷體"/>
                <w:bCs/>
              </w:rPr>
            </w:pPr>
            <w:r w:rsidRPr="004D451D">
              <w:rPr>
                <w:rFonts w:eastAsia="標楷體"/>
                <w:bCs/>
              </w:rPr>
              <w:t>信用風險抵減複雜法</w:t>
            </w:r>
          </w:p>
          <w:p w:rsidR="00FF52AD" w:rsidRPr="004D451D" w:rsidRDefault="00FF52AD" w:rsidP="004B6D0F">
            <w:pPr>
              <w:jc w:val="both"/>
              <w:rPr>
                <w:rFonts w:eastAsia="標楷體"/>
                <w:bCs/>
              </w:rPr>
            </w:pPr>
            <w:r w:rsidRPr="004D451D">
              <w:rPr>
                <w:rFonts w:eastAsia="標楷體"/>
                <w:bCs/>
              </w:rPr>
              <w:t>(</w:t>
            </w:r>
            <w:r w:rsidRPr="004D451D">
              <w:rPr>
                <w:rFonts w:eastAsia="標楷體"/>
                <w:bCs/>
              </w:rPr>
              <w:t>有價證券融資交易</w:t>
            </w:r>
            <w:r w:rsidRPr="004D451D">
              <w:rPr>
                <w:rFonts w:eastAsia="標楷體"/>
                <w:bCs/>
              </w:rPr>
              <w:t>)</w:t>
            </w:r>
          </w:p>
        </w:tc>
        <w:tc>
          <w:tcPr>
            <w:tcW w:w="127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27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32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14,374,093</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4,210,954</w:t>
            </w:r>
          </w:p>
        </w:tc>
      </w:tr>
      <w:tr w:rsidR="004D451D" w:rsidRPr="004D451D" w:rsidTr="00FF52AD">
        <w:tc>
          <w:tcPr>
            <w:tcW w:w="517" w:type="dxa"/>
            <w:shd w:val="clear" w:color="auto" w:fill="auto"/>
            <w:vAlign w:val="center"/>
          </w:tcPr>
          <w:p w:rsidR="00FF52AD" w:rsidRPr="004D451D" w:rsidRDefault="00FF52AD" w:rsidP="008E431D">
            <w:pPr>
              <w:jc w:val="center"/>
              <w:rPr>
                <w:rFonts w:eastAsia="標楷體"/>
                <w:bCs/>
              </w:rPr>
            </w:pPr>
            <w:r w:rsidRPr="004D451D">
              <w:rPr>
                <w:rFonts w:eastAsia="標楷體"/>
                <w:bCs/>
              </w:rPr>
              <w:t>5</w:t>
            </w:r>
          </w:p>
        </w:tc>
        <w:tc>
          <w:tcPr>
            <w:tcW w:w="2410" w:type="dxa"/>
            <w:shd w:val="clear" w:color="auto" w:fill="auto"/>
            <w:vAlign w:val="center"/>
          </w:tcPr>
          <w:p w:rsidR="00FF52AD" w:rsidRPr="004D451D" w:rsidRDefault="00FF52AD" w:rsidP="004B6D0F">
            <w:pPr>
              <w:jc w:val="both"/>
              <w:rPr>
                <w:rFonts w:eastAsia="標楷體"/>
                <w:bCs/>
              </w:rPr>
            </w:pPr>
            <w:r w:rsidRPr="004D451D">
              <w:rPr>
                <w:rFonts w:eastAsia="標楷體"/>
                <w:bCs/>
              </w:rPr>
              <w:t>內部模型法</w:t>
            </w:r>
          </w:p>
          <w:p w:rsidR="00FF52AD" w:rsidRPr="004D451D" w:rsidRDefault="00FF52AD" w:rsidP="004B6D0F">
            <w:pPr>
              <w:jc w:val="both"/>
              <w:rPr>
                <w:rFonts w:eastAsia="標楷體"/>
                <w:bCs/>
              </w:rPr>
            </w:pPr>
            <w:r w:rsidRPr="004D451D">
              <w:rPr>
                <w:rFonts w:eastAsia="標楷體"/>
                <w:bCs/>
              </w:rPr>
              <w:t>(</w:t>
            </w:r>
            <w:r w:rsidRPr="004D451D">
              <w:rPr>
                <w:rFonts w:eastAsia="標楷體"/>
                <w:bCs/>
              </w:rPr>
              <w:t>有價證券融資交易之風險值</w:t>
            </w:r>
            <w:r w:rsidRPr="004D451D">
              <w:rPr>
                <w:rFonts w:eastAsia="標楷體"/>
                <w:bCs/>
              </w:rPr>
              <w:t>)</w:t>
            </w:r>
          </w:p>
        </w:tc>
        <w:tc>
          <w:tcPr>
            <w:tcW w:w="127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27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326"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tcBorders>
              <w:bottom w:val="single" w:sz="4" w:space="0" w:color="auto"/>
            </w:tcBorders>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tcBorders>
              <w:bottom w:val="single" w:sz="4" w:space="0" w:color="auto"/>
            </w:tcBorders>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 xml:space="preserve">　</w:t>
            </w:r>
          </w:p>
        </w:tc>
      </w:tr>
      <w:tr w:rsidR="004D451D" w:rsidRPr="004D451D" w:rsidTr="00FF52AD">
        <w:trPr>
          <w:trHeight w:val="527"/>
        </w:trPr>
        <w:tc>
          <w:tcPr>
            <w:tcW w:w="517" w:type="dxa"/>
            <w:shd w:val="clear" w:color="auto" w:fill="auto"/>
            <w:vAlign w:val="center"/>
          </w:tcPr>
          <w:p w:rsidR="00FF52AD" w:rsidRPr="004D451D" w:rsidRDefault="00FF52AD" w:rsidP="008E431D">
            <w:pPr>
              <w:jc w:val="center"/>
              <w:rPr>
                <w:rFonts w:eastAsia="標楷體"/>
                <w:bCs/>
              </w:rPr>
            </w:pPr>
            <w:r w:rsidRPr="004D451D">
              <w:rPr>
                <w:rFonts w:eastAsia="標楷體"/>
                <w:bCs/>
              </w:rPr>
              <w:t>6</w:t>
            </w:r>
          </w:p>
        </w:tc>
        <w:tc>
          <w:tcPr>
            <w:tcW w:w="2410" w:type="dxa"/>
            <w:shd w:val="clear" w:color="auto" w:fill="auto"/>
            <w:vAlign w:val="center"/>
          </w:tcPr>
          <w:p w:rsidR="00FF52AD" w:rsidRPr="004D451D" w:rsidRDefault="00FF52AD" w:rsidP="004B6D0F">
            <w:pPr>
              <w:jc w:val="both"/>
              <w:rPr>
                <w:rFonts w:eastAsia="標楷體"/>
                <w:bCs/>
              </w:rPr>
            </w:pPr>
            <w:r w:rsidRPr="004D451D">
              <w:rPr>
                <w:rFonts w:eastAsia="標楷體"/>
                <w:bCs/>
              </w:rPr>
              <w:t>總計</w:t>
            </w:r>
          </w:p>
        </w:tc>
        <w:tc>
          <w:tcPr>
            <w:tcW w:w="127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27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326"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8"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559" w:type="dxa"/>
            <w:shd w:val="clear" w:color="auto" w:fill="A6A6A6"/>
            <w:vAlign w:val="center"/>
          </w:tcPr>
          <w:p w:rsidR="00FF52AD" w:rsidRPr="004D451D" w:rsidRDefault="00FF52AD" w:rsidP="00FF52AD">
            <w:pPr>
              <w:jc w:val="right"/>
              <w:rPr>
                <w:rFonts w:ascii="Arial" w:hAnsi="Arial" w:cs="Arial"/>
              </w:rPr>
            </w:pPr>
            <w:r w:rsidRPr="004D451D">
              <w:rPr>
                <w:rFonts w:ascii="Arial" w:hAnsi="Arial" w:cs="Arial"/>
              </w:rPr>
              <w:t xml:space="preserve">　</w:t>
            </w:r>
          </w:p>
        </w:tc>
        <w:tc>
          <w:tcPr>
            <w:tcW w:w="1417" w:type="dxa"/>
            <w:shd w:val="clear" w:color="auto" w:fill="auto"/>
            <w:vAlign w:val="center"/>
          </w:tcPr>
          <w:p w:rsidR="00FF52AD" w:rsidRPr="004D451D" w:rsidRDefault="00FF52AD" w:rsidP="00FF52AD">
            <w:pPr>
              <w:jc w:val="right"/>
              <w:rPr>
                <w:rFonts w:ascii="Arial" w:hAnsi="Arial" w:cs="Arial"/>
              </w:rPr>
            </w:pPr>
            <w:r w:rsidRPr="004D451D">
              <w:rPr>
                <w:rFonts w:ascii="Arial" w:hAnsi="Arial" w:cs="Arial"/>
              </w:rPr>
              <w:t>4,245,810</w:t>
            </w:r>
          </w:p>
        </w:tc>
      </w:tr>
      <w:tr w:rsidR="004D451D" w:rsidRPr="004D451D" w:rsidTr="00FF52AD">
        <w:trPr>
          <w:trHeight w:val="393"/>
        </w:trPr>
        <w:tc>
          <w:tcPr>
            <w:tcW w:w="11199" w:type="dxa"/>
            <w:gridSpan w:val="8"/>
            <w:shd w:val="clear" w:color="auto" w:fill="auto"/>
          </w:tcPr>
          <w:p w:rsidR="00612305" w:rsidRPr="004D451D" w:rsidRDefault="00425A63" w:rsidP="00425A63">
            <w:pPr>
              <w:rPr>
                <w:rFonts w:eastAsia="標楷體"/>
                <w:bCs/>
              </w:rPr>
            </w:pPr>
            <w:r w:rsidRPr="004D451D">
              <w:rPr>
                <w:rFonts w:eastAsia="標楷體"/>
                <w:bCs/>
              </w:rPr>
              <w:t>重大變動原因及說明</w:t>
            </w:r>
            <w:r w:rsidR="004B6D0F" w:rsidRPr="004D451D">
              <w:rPr>
                <w:rFonts w:eastAsia="標楷體" w:hint="eastAsia"/>
                <w:bCs/>
              </w:rPr>
              <w:t>：</w:t>
            </w:r>
          </w:p>
        </w:tc>
      </w:tr>
    </w:tbl>
    <w:p w:rsidR="004B6D0F" w:rsidRPr="004D451D" w:rsidRDefault="004B6D0F" w:rsidP="004B6D0F">
      <w:pPr>
        <w:spacing w:line="240" w:lineRule="atLeast"/>
        <w:rPr>
          <w:rFonts w:eastAsia="標楷體"/>
          <w:b/>
          <w:kern w:val="0"/>
        </w:rPr>
      </w:pPr>
    </w:p>
    <w:p w:rsidR="00A17842" w:rsidRPr="004D451D" w:rsidRDefault="00A17842" w:rsidP="004B6D0F">
      <w:pPr>
        <w:spacing w:line="240" w:lineRule="atLeast"/>
        <w:rPr>
          <w:rFonts w:eastAsia="標楷體"/>
          <w:b/>
          <w:kern w:val="0"/>
        </w:rPr>
      </w:pPr>
      <w:r w:rsidRPr="004D451D">
        <w:rPr>
          <w:rFonts w:eastAsia="標楷體"/>
          <w:b/>
          <w:kern w:val="0"/>
        </w:rPr>
        <w:t>填表說明：</w:t>
      </w:r>
    </w:p>
    <w:p w:rsidR="00A17842" w:rsidRPr="004D451D" w:rsidRDefault="00A17842" w:rsidP="00EF4134">
      <w:pPr>
        <w:numPr>
          <w:ilvl w:val="0"/>
          <w:numId w:val="50"/>
        </w:numPr>
        <w:spacing w:line="240" w:lineRule="atLeast"/>
        <w:ind w:leftChars="150" w:left="720" w:hangingChars="150"/>
        <w:jc w:val="both"/>
        <w:rPr>
          <w:rFonts w:eastAsia="標楷體"/>
        </w:rPr>
      </w:pPr>
      <w:r w:rsidRPr="004D451D">
        <w:rPr>
          <w:rFonts w:eastAsia="標楷體"/>
        </w:rPr>
        <w:t>本表更新頻率：半年。</w:t>
      </w:r>
    </w:p>
    <w:p w:rsidR="004B6D0F" w:rsidRPr="004D451D" w:rsidRDefault="004B6D0F" w:rsidP="00EF4134">
      <w:pPr>
        <w:numPr>
          <w:ilvl w:val="0"/>
          <w:numId w:val="50"/>
        </w:numPr>
        <w:spacing w:line="240" w:lineRule="atLeast"/>
        <w:ind w:leftChars="150" w:left="720" w:hangingChars="150"/>
        <w:jc w:val="both"/>
        <w:rPr>
          <w:rFonts w:eastAsia="標楷體"/>
        </w:rPr>
      </w:pPr>
      <w:r w:rsidRPr="004D451D">
        <w:rPr>
          <w:rFonts w:eastAsia="標楷體"/>
        </w:rPr>
        <w:t>本表採個體基礎填報。</w:t>
      </w:r>
    </w:p>
    <w:p w:rsidR="004B6D0F" w:rsidRPr="004D451D" w:rsidRDefault="004B6D0F" w:rsidP="00EF4134">
      <w:pPr>
        <w:numPr>
          <w:ilvl w:val="0"/>
          <w:numId w:val="50"/>
        </w:numPr>
        <w:spacing w:line="240" w:lineRule="atLeast"/>
        <w:ind w:leftChars="150" w:left="720" w:hangingChars="150"/>
        <w:jc w:val="both"/>
        <w:rPr>
          <w:rFonts w:eastAsia="標楷體"/>
        </w:rPr>
      </w:pPr>
      <w:r w:rsidRPr="004D451D">
        <w:rPr>
          <w:rFonts w:eastAsia="標楷體"/>
        </w:rPr>
        <w:t>標準法</w:t>
      </w:r>
      <w:r w:rsidRPr="004D451D">
        <w:rPr>
          <w:rFonts w:eastAsia="標楷體"/>
        </w:rPr>
        <w:t>(SA-CCR)(</w:t>
      </w:r>
      <w:r w:rsidRPr="004D451D">
        <w:rPr>
          <w:rFonts w:eastAsia="標楷體"/>
        </w:rPr>
        <w:t>衍生性金融商品</w:t>
      </w:r>
      <w:r w:rsidRPr="004D451D">
        <w:rPr>
          <w:rFonts w:eastAsia="標楷體"/>
        </w:rPr>
        <w:t>)</w:t>
      </w:r>
      <w:r w:rsidR="00B41CFA" w:rsidRPr="004D451D">
        <w:rPr>
          <w:rFonts w:eastAsia="標楷體" w:hint="eastAsia"/>
        </w:rPr>
        <w:t>：</w:t>
      </w:r>
      <w:r w:rsidRPr="004D451D">
        <w:rPr>
          <w:rFonts w:eastAsia="標楷體"/>
        </w:rPr>
        <w:t>於標準法</w:t>
      </w:r>
      <w:r w:rsidRPr="004D451D">
        <w:rPr>
          <w:rFonts w:eastAsia="標楷體"/>
        </w:rPr>
        <w:t>(SA-CCR)</w:t>
      </w:r>
      <w:r w:rsidRPr="004D451D">
        <w:rPr>
          <w:rFonts w:eastAsia="標楷體"/>
        </w:rPr>
        <w:t>實施前，請依當期暴險額法</w:t>
      </w:r>
      <w:r w:rsidRPr="004D451D">
        <w:rPr>
          <w:rFonts w:eastAsia="標楷體"/>
        </w:rPr>
        <w:t>(CEM)</w:t>
      </w:r>
      <w:r w:rsidRPr="004D451D">
        <w:rPr>
          <w:rFonts w:eastAsia="標楷體"/>
        </w:rPr>
        <w:t>或標準法</w:t>
      </w:r>
      <w:r w:rsidRPr="004D451D">
        <w:rPr>
          <w:rFonts w:eastAsia="標楷體"/>
        </w:rPr>
        <w:t>(SM)</w:t>
      </w:r>
      <w:r w:rsidRPr="004D451D">
        <w:rPr>
          <w:rFonts w:eastAsia="標楷體"/>
        </w:rPr>
        <w:t>之規定填報。</w:t>
      </w:r>
    </w:p>
    <w:p w:rsidR="004B6D0F" w:rsidRPr="004D451D" w:rsidRDefault="004B6D0F" w:rsidP="00EF4134">
      <w:pPr>
        <w:numPr>
          <w:ilvl w:val="0"/>
          <w:numId w:val="50"/>
        </w:numPr>
        <w:spacing w:line="240" w:lineRule="atLeast"/>
        <w:ind w:leftChars="150" w:left="720" w:hangingChars="150"/>
        <w:jc w:val="both"/>
        <w:rPr>
          <w:rFonts w:eastAsia="標楷體"/>
        </w:rPr>
      </w:pPr>
      <w:r w:rsidRPr="004D451D">
        <w:rPr>
          <w:rFonts w:eastAsia="標楷體"/>
        </w:rPr>
        <w:t>考慮信用風險抵減後之違約暴險額</w:t>
      </w:r>
      <w:r w:rsidR="00B41CFA" w:rsidRPr="004D451D">
        <w:rPr>
          <w:rFonts w:eastAsia="標楷體" w:hint="eastAsia"/>
        </w:rPr>
        <w:t>：</w:t>
      </w:r>
      <w:r w:rsidRPr="004D451D">
        <w:rPr>
          <w:rFonts w:eastAsia="標楷體"/>
        </w:rPr>
        <w:t>係指依資本計提計算規定，考慮信用風險抵減後之違約暴險額，惟信用風險抵減之效果須考慮：</w:t>
      </w:r>
    </w:p>
    <w:p w:rsidR="004B6D0F" w:rsidRPr="004D451D" w:rsidRDefault="004B6D0F" w:rsidP="00482E54">
      <w:pPr>
        <w:numPr>
          <w:ilvl w:val="0"/>
          <w:numId w:val="51"/>
        </w:numPr>
        <w:spacing w:line="240" w:lineRule="atLeast"/>
        <w:ind w:leftChars="250" w:left="1080" w:hangingChars="200" w:hanging="480"/>
        <w:jc w:val="both"/>
        <w:rPr>
          <w:rFonts w:eastAsia="標楷體"/>
        </w:rPr>
      </w:pPr>
      <w:r w:rsidRPr="004D451D">
        <w:rPr>
          <w:rFonts w:eastAsia="標楷體"/>
        </w:rPr>
        <w:t>依「</w:t>
      </w:r>
      <w:r w:rsidR="00641EFA" w:rsidRPr="004D451D">
        <w:rPr>
          <w:rFonts w:eastAsia="標楷體"/>
        </w:rPr>
        <w:t>IFRS 13</w:t>
      </w:r>
      <w:r w:rsidRPr="004D451D">
        <w:rPr>
          <w:rFonts w:eastAsia="標楷體"/>
        </w:rPr>
        <w:t>公允價值衡量」相關規定調整之貸方評價調整。</w:t>
      </w:r>
    </w:p>
    <w:p w:rsidR="004B6D0F" w:rsidRPr="004D451D" w:rsidRDefault="004B6D0F" w:rsidP="00482E54">
      <w:pPr>
        <w:numPr>
          <w:ilvl w:val="0"/>
          <w:numId w:val="51"/>
        </w:numPr>
        <w:spacing w:line="240" w:lineRule="atLeast"/>
        <w:ind w:leftChars="250" w:left="1080" w:hangingChars="200" w:hanging="480"/>
        <w:jc w:val="both"/>
        <w:rPr>
          <w:rFonts w:eastAsia="標楷體"/>
        </w:rPr>
      </w:pPr>
      <w:r w:rsidRPr="004D451D">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4B6D0F" w:rsidRPr="004D451D" w:rsidRDefault="009D053D" w:rsidP="00EF4134">
      <w:pPr>
        <w:numPr>
          <w:ilvl w:val="0"/>
          <w:numId w:val="50"/>
        </w:numPr>
        <w:spacing w:line="240" w:lineRule="atLeast"/>
        <w:ind w:leftChars="150" w:left="720" w:hangingChars="150"/>
        <w:jc w:val="both"/>
        <w:rPr>
          <w:rFonts w:eastAsia="標楷體"/>
        </w:rPr>
      </w:pPr>
      <w:r w:rsidRPr="004D451D">
        <w:rPr>
          <w:rFonts w:eastAsia="標楷體" w:hint="eastAsia"/>
        </w:rPr>
        <w:t>本表不包含信用風險評價調整</w:t>
      </w:r>
      <w:r w:rsidRPr="004D451D">
        <w:rPr>
          <w:rFonts w:eastAsia="標楷體" w:hint="eastAsia"/>
        </w:rPr>
        <w:t>(CVA)</w:t>
      </w:r>
      <w:r w:rsidRPr="004D451D">
        <w:rPr>
          <w:rFonts w:eastAsia="標楷體" w:hint="eastAsia"/>
        </w:rPr>
        <w:t>、集中結算交易對手</w:t>
      </w:r>
      <w:r w:rsidRPr="004D451D">
        <w:rPr>
          <w:rFonts w:eastAsia="標楷體" w:hint="eastAsia"/>
        </w:rPr>
        <w:t>(CCP)</w:t>
      </w:r>
      <w:r w:rsidRPr="004D451D">
        <w:rPr>
          <w:rFonts w:eastAsia="標楷體" w:hint="eastAsia"/>
        </w:rPr>
        <w:t>與交割風險暴險。</w:t>
      </w:r>
    </w:p>
    <w:p w:rsidR="00811A08" w:rsidRPr="004D451D" w:rsidRDefault="004B6D0F" w:rsidP="00EF4134">
      <w:pPr>
        <w:numPr>
          <w:ilvl w:val="0"/>
          <w:numId w:val="50"/>
        </w:numPr>
        <w:spacing w:line="360" w:lineRule="auto"/>
        <w:ind w:leftChars="150" w:left="720" w:hangingChars="150"/>
        <w:jc w:val="both"/>
        <w:rPr>
          <w:rFonts w:ascii="Arial" w:eastAsia="標楷體" w:hAnsi="Arial" w:cs="Arial"/>
        </w:rPr>
      </w:pPr>
      <w:r w:rsidRPr="004D451D">
        <w:rPr>
          <w:rFonts w:eastAsia="標楷體"/>
        </w:rPr>
        <w:t>本表反黑部分本國不適用，不須填列。</w:t>
      </w:r>
    </w:p>
    <w:p w:rsidR="00C30C07" w:rsidRPr="004D451D" w:rsidRDefault="004B6D0F" w:rsidP="00C30C07">
      <w:pPr>
        <w:widowControl/>
        <w:rPr>
          <w:rFonts w:eastAsia="標楷體"/>
          <w:sz w:val="32"/>
          <w:szCs w:val="32"/>
        </w:rPr>
      </w:pPr>
      <w:r w:rsidRPr="004D451D">
        <w:rPr>
          <w:rFonts w:ascii="Arial" w:eastAsia="標楷體" w:hAnsi="Arial" w:cs="Arial"/>
          <w:sz w:val="32"/>
          <w:szCs w:val="32"/>
        </w:rPr>
        <w:br w:type="page"/>
      </w:r>
      <w:r w:rsidR="00C30C07" w:rsidRPr="004D451D">
        <w:rPr>
          <w:rFonts w:eastAsia="標楷體"/>
          <w:b/>
          <w:sz w:val="32"/>
          <w:szCs w:val="32"/>
        </w:rPr>
        <w:t>【附表</w:t>
      </w:r>
      <w:r w:rsidR="00085AC6" w:rsidRPr="004D451D">
        <w:rPr>
          <w:rFonts w:eastAsia="標楷體"/>
          <w:b/>
          <w:sz w:val="32"/>
          <w:szCs w:val="32"/>
        </w:rPr>
        <w:t>二十</w:t>
      </w:r>
      <w:r w:rsidR="00137778" w:rsidRPr="004D451D">
        <w:rPr>
          <w:rFonts w:eastAsia="標楷體" w:hint="eastAsia"/>
          <w:b/>
          <w:sz w:val="32"/>
          <w:szCs w:val="32"/>
        </w:rPr>
        <w:t>九</w:t>
      </w:r>
      <w:r w:rsidR="00C30C07" w:rsidRPr="004D451D">
        <w:rPr>
          <w:rFonts w:eastAsia="標楷體"/>
          <w:b/>
          <w:sz w:val="32"/>
          <w:szCs w:val="32"/>
        </w:rPr>
        <w:t>】</w:t>
      </w:r>
    </w:p>
    <w:p w:rsidR="00C30C07" w:rsidRPr="004D451D" w:rsidRDefault="00C30C07" w:rsidP="00C30C07">
      <w:pPr>
        <w:jc w:val="center"/>
        <w:rPr>
          <w:rFonts w:eastAsia="標楷體"/>
          <w:b/>
          <w:bCs/>
          <w:sz w:val="32"/>
          <w:szCs w:val="32"/>
        </w:rPr>
      </w:pPr>
      <w:r w:rsidRPr="004D451D">
        <w:rPr>
          <w:rFonts w:eastAsia="標楷體"/>
          <w:b/>
          <w:bCs/>
          <w:sz w:val="32"/>
          <w:szCs w:val="32"/>
        </w:rPr>
        <w:t>信用風險評價調整</w:t>
      </w:r>
      <w:r w:rsidRPr="004D451D">
        <w:rPr>
          <w:rFonts w:eastAsia="標楷體"/>
          <w:b/>
          <w:bCs/>
          <w:sz w:val="32"/>
          <w:szCs w:val="32"/>
        </w:rPr>
        <w:t>(CVA)</w:t>
      </w:r>
      <w:r w:rsidRPr="004D451D">
        <w:rPr>
          <w:rFonts w:eastAsia="標楷體"/>
          <w:b/>
          <w:bCs/>
          <w:sz w:val="32"/>
          <w:szCs w:val="32"/>
        </w:rPr>
        <w:t>之資本計提</w:t>
      </w:r>
    </w:p>
    <w:p w:rsidR="00C30C07" w:rsidRPr="004D451D" w:rsidRDefault="00C30C07" w:rsidP="00C30C07">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896C3C" w:rsidRPr="004D451D">
        <w:rPr>
          <w:rFonts w:eastAsia="標楷體" w:hint="eastAsia"/>
          <w:bCs/>
          <w:sz w:val="32"/>
          <w:szCs w:val="32"/>
        </w:rPr>
        <w:t>10</w:t>
      </w:r>
      <w:r w:rsidR="00BE1F3D" w:rsidRPr="004D451D">
        <w:rPr>
          <w:rFonts w:eastAsia="標楷體" w:hint="eastAsia"/>
          <w:bCs/>
          <w:sz w:val="32"/>
          <w:szCs w:val="32"/>
        </w:rPr>
        <w:t>7</w:t>
      </w:r>
      <w:r w:rsidRPr="004D451D">
        <w:rPr>
          <w:rFonts w:eastAsia="標楷體"/>
          <w:bCs/>
          <w:sz w:val="32"/>
          <w:szCs w:val="32"/>
        </w:rPr>
        <w:t>年</w:t>
      </w:r>
      <w:r w:rsidR="00BE1F3D" w:rsidRPr="004D451D">
        <w:rPr>
          <w:rFonts w:eastAsia="標楷體" w:hint="eastAsia"/>
          <w:bCs/>
          <w:sz w:val="32"/>
          <w:szCs w:val="32"/>
        </w:rPr>
        <w:t>06</w:t>
      </w:r>
      <w:r w:rsidRPr="004D451D">
        <w:rPr>
          <w:rFonts w:eastAsia="標楷體"/>
          <w:bCs/>
          <w:sz w:val="32"/>
          <w:szCs w:val="32"/>
        </w:rPr>
        <w:t>月</w:t>
      </w:r>
      <w:r w:rsidR="00896C3C" w:rsidRPr="004D451D">
        <w:rPr>
          <w:rFonts w:eastAsia="標楷體" w:hint="eastAsia"/>
          <w:bCs/>
          <w:sz w:val="32"/>
          <w:szCs w:val="32"/>
        </w:rPr>
        <w:t>3</w:t>
      </w:r>
      <w:r w:rsidR="00BE1F3D" w:rsidRPr="004D451D">
        <w:rPr>
          <w:rFonts w:eastAsia="標楷體" w:hint="eastAsia"/>
          <w:bCs/>
          <w:sz w:val="32"/>
          <w:szCs w:val="32"/>
        </w:rPr>
        <w:t>0</w:t>
      </w:r>
      <w:r w:rsidRPr="004D451D">
        <w:rPr>
          <w:rFonts w:eastAsia="標楷體"/>
          <w:bCs/>
          <w:sz w:val="32"/>
          <w:szCs w:val="32"/>
        </w:rPr>
        <w:t>日</w:t>
      </w:r>
      <w:r w:rsidR="00D82B93" w:rsidRPr="004D451D">
        <w:rPr>
          <w:rFonts w:eastAsia="標楷體" w:hint="eastAsia"/>
          <w:bCs/>
          <w:sz w:val="32"/>
          <w:szCs w:val="32"/>
        </w:rPr>
        <w:t xml:space="preserve"> </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76549B" w:rsidRPr="004D451D">
        <w:rPr>
          <w:rFonts w:eastAsia="標楷體" w:hint="eastAsia"/>
          <w:bCs/>
        </w:rPr>
        <w:t>：</w:t>
      </w:r>
      <w:r w:rsidRPr="004D451D">
        <w:rPr>
          <w:rFonts w:eastAsia="標楷體"/>
          <w:bCs/>
        </w:rPr>
        <w:t>新臺幣千元</w:t>
      </w:r>
      <w:r w:rsidR="00D82B93" w:rsidRPr="004D451D">
        <w:rPr>
          <w:rFonts w:eastAsia="標楷體" w:hint="eastAsia"/>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2594"/>
        <w:gridCol w:w="2594"/>
      </w:tblGrid>
      <w:tr w:rsidR="004D451D" w:rsidRPr="004D451D" w:rsidTr="007A7585">
        <w:trPr>
          <w:trHeight w:val="953"/>
        </w:trPr>
        <w:tc>
          <w:tcPr>
            <w:tcW w:w="4503" w:type="dxa"/>
            <w:gridSpan w:val="2"/>
            <w:tcBorders>
              <w:bottom w:val="single" w:sz="4" w:space="0" w:color="auto"/>
            </w:tcBorders>
            <w:shd w:val="clear" w:color="auto" w:fill="auto"/>
            <w:vAlign w:val="center"/>
          </w:tcPr>
          <w:p w:rsidR="00520AEE" w:rsidRPr="004D451D" w:rsidRDefault="007A7585" w:rsidP="007A7585">
            <w:pPr>
              <w:spacing w:line="360" w:lineRule="auto"/>
              <w:jc w:val="center"/>
              <w:rPr>
                <w:rFonts w:eastAsia="標楷體"/>
              </w:rPr>
            </w:pPr>
            <w:r w:rsidRPr="004D451D">
              <w:rPr>
                <w:rFonts w:eastAsia="標楷體" w:hint="eastAsia"/>
              </w:rPr>
              <w:t>項目</w:t>
            </w:r>
          </w:p>
        </w:tc>
        <w:tc>
          <w:tcPr>
            <w:tcW w:w="2594" w:type="dxa"/>
            <w:tcBorders>
              <w:bottom w:val="single" w:sz="4" w:space="0" w:color="auto"/>
            </w:tcBorders>
            <w:shd w:val="clear" w:color="auto" w:fill="auto"/>
            <w:vAlign w:val="center"/>
          </w:tcPr>
          <w:p w:rsidR="00520AEE" w:rsidRPr="004D451D" w:rsidRDefault="00520AEE" w:rsidP="007A7585">
            <w:pPr>
              <w:spacing w:line="240" w:lineRule="atLeast"/>
              <w:jc w:val="center"/>
              <w:rPr>
                <w:rFonts w:eastAsia="標楷體"/>
              </w:rPr>
            </w:pPr>
            <w:r w:rsidRPr="004D451D">
              <w:rPr>
                <w:rFonts w:eastAsia="標楷體"/>
              </w:rPr>
              <w:t>考慮信用風險抵減後之違約暴險額</w:t>
            </w:r>
            <w:r w:rsidR="007A7585" w:rsidRPr="004D451D">
              <w:rPr>
                <w:rFonts w:eastAsia="標楷體" w:hint="eastAsia"/>
              </w:rPr>
              <w:t>A</w:t>
            </w:r>
          </w:p>
        </w:tc>
        <w:tc>
          <w:tcPr>
            <w:tcW w:w="2594" w:type="dxa"/>
            <w:tcBorders>
              <w:bottom w:val="single" w:sz="4" w:space="0" w:color="auto"/>
            </w:tcBorders>
            <w:shd w:val="clear" w:color="auto" w:fill="auto"/>
            <w:vAlign w:val="center"/>
          </w:tcPr>
          <w:p w:rsidR="00520AEE" w:rsidRPr="004D451D" w:rsidRDefault="00520AEE" w:rsidP="007A7585">
            <w:pPr>
              <w:spacing w:line="240" w:lineRule="atLeast"/>
              <w:jc w:val="center"/>
              <w:rPr>
                <w:rFonts w:eastAsia="標楷體"/>
              </w:rPr>
            </w:pPr>
            <w:r w:rsidRPr="004D451D">
              <w:rPr>
                <w:rFonts w:eastAsia="標楷體"/>
              </w:rPr>
              <w:t>風險性資產</w:t>
            </w:r>
            <w:r w:rsidR="007A7585" w:rsidRPr="004D451D">
              <w:rPr>
                <w:rFonts w:eastAsia="標楷體" w:hint="eastAsia"/>
              </w:rPr>
              <w:t>B</w:t>
            </w:r>
          </w:p>
        </w:tc>
      </w:tr>
      <w:tr w:rsidR="004D451D" w:rsidRPr="004D451D" w:rsidTr="001C683F">
        <w:trPr>
          <w:trHeight w:val="564"/>
        </w:trPr>
        <w:tc>
          <w:tcPr>
            <w:tcW w:w="534" w:type="dxa"/>
            <w:vMerge w:val="restart"/>
            <w:shd w:val="clear" w:color="auto" w:fill="auto"/>
            <w:vAlign w:val="center"/>
          </w:tcPr>
          <w:p w:rsidR="004A3519" w:rsidRPr="004D451D" w:rsidRDefault="004A3519" w:rsidP="007A7585">
            <w:pPr>
              <w:spacing w:line="360" w:lineRule="auto"/>
              <w:jc w:val="center"/>
              <w:rPr>
                <w:rFonts w:eastAsia="標楷體"/>
              </w:rPr>
            </w:pPr>
            <w:r w:rsidRPr="004D451D">
              <w:rPr>
                <w:rFonts w:eastAsia="標楷體" w:hint="eastAsia"/>
              </w:rPr>
              <w:t>1</w:t>
            </w:r>
          </w:p>
        </w:tc>
        <w:tc>
          <w:tcPr>
            <w:tcW w:w="9157" w:type="dxa"/>
            <w:gridSpan w:val="3"/>
            <w:shd w:val="clear" w:color="auto" w:fill="auto"/>
            <w:vAlign w:val="center"/>
          </w:tcPr>
          <w:p w:rsidR="004A3519" w:rsidRPr="004D451D" w:rsidRDefault="004A3519" w:rsidP="008E431D">
            <w:pPr>
              <w:spacing w:line="360" w:lineRule="auto"/>
              <w:rPr>
                <w:rFonts w:eastAsia="標楷體"/>
              </w:rPr>
            </w:pPr>
            <w:r w:rsidRPr="004D451D">
              <w:rPr>
                <w:rFonts w:eastAsia="標楷體" w:hint="eastAsia"/>
              </w:rPr>
              <w:t>以進階信用風險評價調整計算資本計提之所有資產組合</w:t>
            </w:r>
          </w:p>
        </w:tc>
      </w:tr>
      <w:tr w:rsidR="004D451D" w:rsidRPr="004D451D" w:rsidTr="00D616C1">
        <w:trPr>
          <w:trHeight w:val="564"/>
        </w:trPr>
        <w:tc>
          <w:tcPr>
            <w:tcW w:w="534" w:type="dxa"/>
            <w:vMerge/>
            <w:shd w:val="clear" w:color="auto" w:fill="auto"/>
            <w:vAlign w:val="center"/>
          </w:tcPr>
          <w:p w:rsidR="004A3519" w:rsidRPr="004D451D" w:rsidRDefault="004A3519" w:rsidP="007A7585">
            <w:pPr>
              <w:spacing w:line="360" w:lineRule="auto"/>
              <w:jc w:val="center"/>
              <w:rPr>
                <w:rFonts w:eastAsia="標楷體"/>
              </w:rPr>
            </w:pPr>
          </w:p>
        </w:tc>
        <w:tc>
          <w:tcPr>
            <w:tcW w:w="3969" w:type="dxa"/>
            <w:shd w:val="clear" w:color="auto" w:fill="auto"/>
            <w:vAlign w:val="center"/>
          </w:tcPr>
          <w:p w:rsidR="004A3519" w:rsidRPr="004D451D" w:rsidRDefault="004A3519" w:rsidP="007A7585">
            <w:pPr>
              <w:spacing w:line="360" w:lineRule="auto"/>
              <w:jc w:val="both"/>
              <w:rPr>
                <w:rFonts w:eastAsia="標楷體"/>
              </w:rPr>
            </w:pPr>
            <w:r w:rsidRPr="004D451D">
              <w:rPr>
                <w:rFonts w:eastAsia="標楷體"/>
              </w:rPr>
              <w:t>(1)</w:t>
            </w:r>
            <w:r w:rsidRPr="004D451D">
              <w:rPr>
                <w:rFonts w:eastAsia="標楷體"/>
              </w:rPr>
              <w:t>風險值成份</w:t>
            </w:r>
            <w:r w:rsidRPr="004D451D">
              <w:rPr>
                <w:rFonts w:eastAsia="標楷體"/>
              </w:rPr>
              <w:t>(</w:t>
            </w:r>
            <w:r w:rsidRPr="004D451D">
              <w:rPr>
                <w:rFonts w:eastAsia="標楷體"/>
              </w:rPr>
              <w:t>包含三倍乘數</w:t>
            </w:r>
            <w:r w:rsidRPr="004D451D">
              <w:rPr>
                <w:rFonts w:eastAsia="標楷體"/>
              </w:rPr>
              <w:t>)</w:t>
            </w:r>
          </w:p>
        </w:tc>
        <w:tc>
          <w:tcPr>
            <w:tcW w:w="2594" w:type="dxa"/>
            <w:shd w:val="clear" w:color="auto" w:fill="A6A6A6"/>
          </w:tcPr>
          <w:p w:rsidR="004A3519" w:rsidRPr="004D451D" w:rsidRDefault="004A3519" w:rsidP="008E431D">
            <w:pPr>
              <w:spacing w:line="360" w:lineRule="auto"/>
              <w:rPr>
                <w:rFonts w:eastAsia="標楷體"/>
              </w:rPr>
            </w:pPr>
          </w:p>
        </w:tc>
        <w:tc>
          <w:tcPr>
            <w:tcW w:w="2594" w:type="dxa"/>
            <w:shd w:val="clear" w:color="auto" w:fill="A6A6A6"/>
          </w:tcPr>
          <w:p w:rsidR="004A3519" w:rsidRPr="004D451D" w:rsidRDefault="004A3519" w:rsidP="008E431D">
            <w:pPr>
              <w:spacing w:line="360" w:lineRule="auto"/>
              <w:rPr>
                <w:rFonts w:eastAsia="標楷體"/>
              </w:rPr>
            </w:pPr>
          </w:p>
        </w:tc>
      </w:tr>
      <w:tr w:rsidR="004D451D" w:rsidRPr="004D451D" w:rsidTr="00D616C1">
        <w:tc>
          <w:tcPr>
            <w:tcW w:w="534" w:type="dxa"/>
            <w:vMerge/>
            <w:shd w:val="clear" w:color="auto" w:fill="auto"/>
            <w:vAlign w:val="center"/>
          </w:tcPr>
          <w:p w:rsidR="004A3519" w:rsidRPr="004D451D" w:rsidRDefault="004A3519" w:rsidP="007A7585">
            <w:pPr>
              <w:spacing w:line="360" w:lineRule="auto"/>
              <w:jc w:val="center"/>
              <w:rPr>
                <w:rFonts w:eastAsia="標楷體"/>
              </w:rPr>
            </w:pPr>
          </w:p>
        </w:tc>
        <w:tc>
          <w:tcPr>
            <w:tcW w:w="3969" w:type="dxa"/>
            <w:shd w:val="clear" w:color="auto" w:fill="auto"/>
            <w:vAlign w:val="center"/>
          </w:tcPr>
          <w:p w:rsidR="004A3519" w:rsidRPr="004D451D" w:rsidRDefault="004A3519" w:rsidP="007A7585">
            <w:pPr>
              <w:jc w:val="both"/>
              <w:rPr>
                <w:rFonts w:eastAsia="標楷體"/>
              </w:rPr>
            </w:pPr>
            <w:r w:rsidRPr="004D451D">
              <w:rPr>
                <w:rFonts w:eastAsia="標楷體"/>
              </w:rPr>
              <w:t>(</w:t>
            </w:r>
            <w:r w:rsidRPr="004D451D">
              <w:rPr>
                <w:rFonts w:eastAsia="標楷體"/>
                <w:bCs/>
              </w:rPr>
              <w:t>2)</w:t>
            </w:r>
            <w:r w:rsidRPr="004D451D">
              <w:rPr>
                <w:rFonts w:eastAsia="標楷體"/>
                <w:bCs/>
              </w:rPr>
              <w:t>壓力風險值成份</w:t>
            </w:r>
            <w:r w:rsidRPr="004D451D">
              <w:rPr>
                <w:rFonts w:eastAsia="標楷體"/>
                <w:bCs/>
              </w:rPr>
              <w:t>(</w:t>
            </w:r>
            <w:r w:rsidRPr="004D451D">
              <w:rPr>
                <w:rFonts w:eastAsia="標楷體"/>
                <w:bCs/>
              </w:rPr>
              <w:t>包含三倍乘數</w:t>
            </w:r>
            <w:r w:rsidRPr="004D451D">
              <w:rPr>
                <w:rFonts w:eastAsia="標楷體"/>
                <w:bCs/>
              </w:rPr>
              <w:t>)</w:t>
            </w:r>
          </w:p>
        </w:tc>
        <w:tc>
          <w:tcPr>
            <w:tcW w:w="2594" w:type="dxa"/>
            <w:shd w:val="clear" w:color="auto" w:fill="A6A6A6"/>
          </w:tcPr>
          <w:p w:rsidR="004A3519" w:rsidRPr="004D451D" w:rsidRDefault="004A3519" w:rsidP="008E431D">
            <w:pPr>
              <w:spacing w:line="360" w:lineRule="auto"/>
              <w:rPr>
                <w:rFonts w:eastAsia="標楷體"/>
              </w:rPr>
            </w:pPr>
          </w:p>
        </w:tc>
        <w:tc>
          <w:tcPr>
            <w:tcW w:w="2594" w:type="dxa"/>
            <w:shd w:val="clear" w:color="auto" w:fill="A6A6A6"/>
          </w:tcPr>
          <w:p w:rsidR="004A3519" w:rsidRPr="004D451D" w:rsidRDefault="004A3519" w:rsidP="008E431D">
            <w:pPr>
              <w:spacing w:line="360" w:lineRule="auto"/>
              <w:rPr>
                <w:rFonts w:eastAsia="標楷體"/>
              </w:rPr>
            </w:pPr>
          </w:p>
        </w:tc>
      </w:tr>
      <w:tr w:rsidR="004D451D" w:rsidRPr="004D451D" w:rsidTr="00A36047">
        <w:tc>
          <w:tcPr>
            <w:tcW w:w="534" w:type="dxa"/>
            <w:shd w:val="clear" w:color="auto" w:fill="auto"/>
            <w:vAlign w:val="center"/>
          </w:tcPr>
          <w:p w:rsidR="00BE1F3D" w:rsidRPr="004D451D" w:rsidRDefault="00BE1F3D" w:rsidP="007A7585">
            <w:pPr>
              <w:spacing w:line="360" w:lineRule="auto"/>
              <w:jc w:val="center"/>
              <w:rPr>
                <w:rFonts w:eastAsia="標楷體"/>
              </w:rPr>
            </w:pPr>
            <w:r w:rsidRPr="004D451D">
              <w:rPr>
                <w:rFonts w:eastAsia="標楷體" w:hint="eastAsia"/>
              </w:rPr>
              <w:t>2</w:t>
            </w:r>
          </w:p>
        </w:tc>
        <w:tc>
          <w:tcPr>
            <w:tcW w:w="3969" w:type="dxa"/>
            <w:shd w:val="clear" w:color="auto" w:fill="auto"/>
            <w:vAlign w:val="center"/>
          </w:tcPr>
          <w:p w:rsidR="00BE1F3D" w:rsidRPr="004D451D" w:rsidRDefault="00BE1F3D" w:rsidP="007A7585">
            <w:pPr>
              <w:jc w:val="both"/>
              <w:rPr>
                <w:rFonts w:eastAsia="標楷體"/>
              </w:rPr>
            </w:pPr>
            <w:r w:rsidRPr="004D451D">
              <w:rPr>
                <w:rFonts w:eastAsia="標楷體"/>
                <w:bCs/>
              </w:rPr>
              <w:t>以標準信用風險評價調整計算資本計提之所有資產組合</w:t>
            </w:r>
          </w:p>
        </w:tc>
        <w:tc>
          <w:tcPr>
            <w:tcW w:w="2594" w:type="dxa"/>
            <w:tcBorders>
              <w:bottom w:val="single" w:sz="4" w:space="0" w:color="auto"/>
            </w:tcBorders>
            <w:shd w:val="clear" w:color="auto" w:fill="auto"/>
            <w:vAlign w:val="center"/>
          </w:tcPr>
          <w:p w:rsidR="00BE1F3D" w:rsidRPr="004D451D" w:rsidRDefault="00BE1F3D">
            <w:pPr>
              <w:jc w:val="right"/>
              <w:rPr>
                <w:rFonts w:ascii="Arial" w:hAnsi="Arial" w:cs="Arial"/>
              </w:rPr>
            </w:pPr>
            <w:r w:rsidRPr="004D451D">
              <w:rPr>
                <w:rFonts w:ascii="Arial" w:hAnsi="Arial" w:cs="Arial"/>
              </w:rPr>
              <w:t>196</w:t>
            </w:r>
          </w:p>
        </w:tc>
        <w:tc>
          <w:tcPr>
            <w:tcW w:w="2594" w:type="dxa"/>
            <w:tcBorders>
              <w:bottom w:val="single" w:sz="4" w:space="0" w:color="auto"/>
            </w:tcBorders>
            <w:shd w:val="clear" w:color="auto" w:fill="auto"/>
            <w:vAlign w:val="center"/>
          </w:tcPr>
          <w:p w:rsidR="00BE1F3D" w:rsidRPr="004D451D" w:rsidRDefault="00BE1F3D">
            <w:pPr>
              <w:jc w:val="right"/>
              <w:rPr>
                <w:rFonts w:ascii="Arial" w:hAnsi="Arial" w:cs="Arial"/>
              </w:rPr>
            </w:pPr>
            <w:r w:rsidRPr="004D451D">
              <w:rPr>
                <w:rFonts w:ascii="Arial" w:hAnsi="Arial" w:cs="Arial"/>
              </w:rPr>
              <w:t>111,590</w:t>
            </w:r>
          </w:p>
        </w:tc>
      </w:tr>
      <w:tr w:rsidR="004D451D" w:rsidRPr="004D451D" w:rsidTr="00D616C1">
        <w:tc>
          <w:tcPr>
            <w:tcW w:w="534" w:type="dxa"/>
            <w:shd w:val="clear" w:color="auto" w:fill="auto"/>
            <w:vAlign w:val="center"/>
          </w:tcPr>
          <w:p w:rsidR="00520AEE" w:rsidRPr="004D451D" w:rsidRDefault="004A3519" w:rsidP="007A7585">
            <w:pPr>
              <w:spacing w:line="360" w:lineRule="auto"/>
              <w:jc w:val="center"/>
              <w:rPr>
                <w:rFonts w:eastAsia="標楷體"/>
              </w:rPr>
            </w:pPr>
            <w:r w:rsidRPr="004D451D">
              <w:rPr>
                <w:rFonts w:eastAsia="標楷體" w:hint="eastAsia"/>
              </w:rPr>
              <w:t>3</w:t>
            </w:r>
          </w:p>
        </w:tc>
        <w:tc>
          <w:tcPr>
            <w:tcW w:w="3969" w:type="dxa"/>
            <w:shd w:val="clear" w:color="auto" w:fill="auto"/>
            <w:vAlign w:val="center"/>
          </w:tcPr>
          <w:p w:rsidR="00520AEE" w:rsidRPr="004D451D" w:rsidRDefault="00520AEE" w:rsidP="007A7585">
            <w:pPr>
              <w:spacing w:line="360" w:lineRule="auto"/>
              <w:jc w:val="both"/>
              <w:rPr>
                <w:rFonts w:eastAsia="標楷體"/>
              </w:rPr>
            </w:pPr>
            <w:r w:rsidRPr="004D451D">
              <w:rPr>
                <w:rFonts w:eastAsia="標楷體"/>
              </w:rPr>
              <w:t>信用風險評價調整資本計提總計</w:t>
            </w:r>
          </w:p>
        </w:tc>
        <w:tc>
          <w:tcPr>
            <w:tcW w:w="2594" w:type="dxa"/>
            <w:shd w:val="clear" w:color="auto" w:fill="A6A6A6"/>
          </w:tcPr>
          <w:p w:rsidR="00520AEE" w:rsidRPr="004D451D" w:rsidRDefault="00520AEE" w:rsidP="008E431D">
            <w:pPr>
              <w:spacing w:line="360" w:lineRule="auto"/>
              <w:rPr>
                <w:rFonts w:eastAsia="標楷體"/>
              </w:rPr>
            </w:pPr>
          </w:p>
        </w:tc>
        <w:tc>
          <w:tcPr>
            <w:tcW w:w="2594" w:type="dxa"/>
            <w:shd w:val="clear" w:color="auto" w:fill="A6A6A6"/>
          </w:tcPr>
          <w:p w:rsidR="00520AEE" w:rsidRPr="004D451D" w:rsidRDefault="00520AEE" w:rsidP="008E431D">
            <w:pPr>
              <w:spacing w:line="360" w:lineRule="auto"/>
              <w:rPr>
                <w:rFonts w:eastAsia="標楷體"/>
              </w:rPr>
            </w:pPr>
          </w:p>
        </w:tc>
      </w:tr>
      <w:tr w:rsidR="00520AEE" w:rsidRPr="004D451D" w:rsidTr="007A7585">
        <w:trPr>
          <w:trHeight w:val="725"/>
        </w:trPr>
        <w:tc>
          <w:tcPr>
            <w:tcW w:w="0" w:type="auto"/>
            <w:gridSpan w:val="4"/>
            <w:shd w:val="clear" w:color="auto" w:fill="auto"/>
          </w:tcPr>
          <w:p w:rsidR="00520AEE" w:rsidRPr="004D451D" w:rsidRDefault="00520AEE" w:rsidP="008E431D">
            <w:pPr>
              <w:spacing w:line="360" w:lineRule="auto"/>
              <w:rPr>
                <w:rFonts w:eastAsia="標楷體"/>
              </w:rPr>
            </w:pPr>
            <w:r w:rsidRPr="004D451D">
              <w:rPr>
                <w:rFonts w:eastAsia="標楷體"/>
                <w:bCs/>
              </w:rPr>
              <w:t>重大變動原因及說明</w:t>
            </w:r>
            <w:r w:rsidR="007A7585" w:rsidRPr="004D451D">
              <w:rPr>
                <w:rFonts w:eastAsia="標楷體" w:hint="eastAsia"/>
                <w:bCs/>
              </w:rPr>
              <w:t>：</w:t>
            </w:r>
          </w:p>
        </w:tc>
      </w:tr>
    </w:tbl>
    <w:p w:rsidR="007A7585" w:rsidRPr="004D451D" w:rsidRDefault="007A7585" w:rsidP="007A7585">
      <w:pPr>
        <w:spacing w:line="240" w:lineRule="atLeast"/>
        <w:rPr>
          <w:rFonts w:eastAsia="標楷體"/>
          <w:b/>
          <w:kern w:val="0"/>
        </w:rPr>
      </w:pPr>
    </w:p>
    <w:p w:rsidR="00FD6C2A" w:rsidRPr="004D451D" w:rsidRDefault="00FD6C2A" w:rsidP="007A7585">
      <w:pPr>
        <w:spacing w:line="240" w:lineRule="atLeast"/>
        <w:rPr>
          <w:rFonts w:eastAsia="標楷體"/>
          <w:b/>
          <w:kern w:val="0"/>
        </w:rPr>
      </w:pPr>
      <w:r w:rsidRPr="004D451D">
        <w:rPr>
          <w:rFonts w:eastAsia="標楷體"/>
          <w:b/>
          <w:kern w:val="0"/>
        </w:rPr>
        <w:t>填表說明：</w:t>
      </w:r>
    </w:p>
    <w:p w:rsidR="00FD6C2A" w:rsidRPr="004D451D" w:rsidRDefault="00FD6C2A" w:rsidP="00EF4134">
      <w:pPr>
        <w:numPr>
          <w:ilvl w:val="0"/>
          <w:numId w:val="52"/>
        </w:numPr>
        <w:spacing w:line="240" w:lineRule="atLeast"/>
        <w:ind w:leftChars="150" w:left="720" w:hangingChars="150"/>
        <w:jc w:val="both"/>
        <w:rPr>
          <w:rFonts w:eastAsia="標楷體"/>
        </w:rPr>
      </w:pPr>
      <w:r w:rsidRPr="004D451D">
        <w:rPr>
          <w:rFonts w:eastAsia="標楷體"/>
        </w:rPr>
        <w:t>本表更新頻率：半年。</w:t>
      </w:r>
    </w:p>
    <w:p w:rsidR="007A7585" w:rsidRPr="004D451D" w:rsidRDefault="007A7585" w:rsidP="00EF4134">
      <w:pPr>
        <w:numPr>
          <w:ilvl w:val="0"/>
          <w:numId w:val="52"/>
        </w:numPr>
        <w:spacing w:line="240" w:lineRule="atLeast"/>
        <w:ind w:leftChars="150" w:left="720" w:hangingChars="150"/>
        <w:jc w:val="both"/>
        <w:rPr>
          <w:rFonts w:eastAsia="標楷體"/>
        </w:rPr>
      </w:pPr>
      <w:r w:rsidRPr="004D451D">
        <w:rPr>
          <w:rFonts w:eastAsia="標楷體"/>
        </w:rPr>
        <w:t>本表採個體基礎填報。</w:t>
      </w:r>
    </w:p>
    <w:p w:rsidR="007A7585" w:rsidRPr="004D451D" w:rsidRDefault="007A7585" w:rsidP="00EF4134">
      <w:pPr>
        <w:numPr>
          <w:ilvl w:val="0"/>
          <w:numId w:val="52"/>
        </w:numPr>
        <w:spacing w:line="240" w:lineRule="atLeast"/>
        <w:ind w:leftChars="150" w:left="720" w:hangingChars="150"/>
        <w:jc w:val="both"/>
        <w:rPr>
          <w:rFonts w:eastAsia="標楷體"/>
        </w:rPr>
      </w:pPr>
      <w:r w:rsidRPr="004D451D">
        <w:rPr>
          <w:rFonts w:eastAsia="標楷體"/>
        </w:rPr>
        <w:t>考慮信用風險抵減後之違約暴險額</w:t>
      </w:r>
      <w:r w:rsidRPr="004D451D">
        <w:rPr>
          <w:rFonts w:eastAsia="標楷體" w:hint="eastAsia"/>
        </w:rPr>
        <w:t>：</w:t>
      </w:r>
      <w:r w:rsidRPr="004D451D">
        <w:rPr>
          <w:rFonts w:eastAsia="標楷體"/>
        </w:rPr>
        <w:t>係指依資本計提計算規定，考慮信用風險抵減後之違約暴險額，惟信用風險抵減之效果須考慮：</w:t>
      </w:r>
    </w:p>
    <w:p w:rsidR="007A7585" w:rsidRPr="004D451D" w:rsidRDefault="007A7585" w:rsidP="00482E54">
      <w:pPr>
        <w:numPr>
          <w:ilvl w:val="0"/>
          <w:numId w:val="53"/>
        </w:numPr>
        <w:spacing w:line="240" w:lineRule="atLeast"/>
        <w:ind w:leftChars="250" w:left="1080" w:hangingChars="200" w:hanging="480"/>
        <w:jc w:val="both"/>
        <w:rPr>
          <w:rFonts w:eastAsia="標楷體"/>
        </w:rPr>
      </w:pPr>
      <w:r w:rsidRPr="004D451D">
        <w:rPr>
          <w:rFonts w:eastAsia="標楷體"/>
        </w:rPr>
        <w:t>依「</w:t>
      </w:r>
      <w:r w:rsidRPr="004D451D">
        <w:rPr>
          <w:rFonts w:eastAsia="標楷體"/>
        </w:rPr>
        <w:t>IFRS 13</w:t>
      </w:r>
      <w:r w:rsidRPr="004D451D">
        <w:rPr>
          <w:rFonts w:eastAsia="標楷體"/>
        </w:rPr>
        <w:t>公允價值衡量」相關規定調整之貸方評價調整。</w:t>
      </w:r>
    </w:p>
    <w:p w:rsidR="007A7585" w:rsidRPr="004D451D" w:rsidRDefault="007A7585" w:rsidP="00482E54">
      <w:pPr>
        <w:numPr>
          <w:ilvl w:val="0"/>
          <w:numId w:val="53"/>
        </w:numPr>
        <w:spacing w:line="240" w:lineRule="atLeast"/>
        <w:ind w:leftChars="250" w:left="1080" w:hangingChars="200" w:hanging="480"/>
        <w:jc w:val="both"/>
        <w:rPr>
          <w:rFonts w:eastAsia="標楷體"/>
        </w:rPr>
      </w:pPr>
      <w:r w:rsidRPr="004D451D">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7A7585" w:rsidRPr="004D451D" w:rsidRDefault="007A7585" w:rsidP="00EF4134">
      <w:pPr>
        <w:numPr>
          <w:ilvl w:val="0"/>
          <w:numId w:val="52"/>
        </w:numPr>
        <w:spacing w:line="240" w:lineRule="atLeast"/>
        <w:ind w:leftChars="150" w:left="720" w:hangingChars="150"/>
        <w:jc w:val="both"/>
        <w:rPr>
          <w:rFonts w:eastAsia="標楷體"/>
        </w:rPr>
      </w:pPr>
      <w:r w:rsidRPr="004D451D">
        <w:rPr>
          <w:rFonts w:eastAsia="標楷體"/>
        </w:rPr>
        <w:t>本表反黑部份本國不適用，不需填列。</w:t>
      </w:r>
    </w:p>
    <w:p w:rsidR="00E5580A" w:rsidRPr="004D451D" w:rsidRDefault="00E5580A" w:rsidP="008F693C">
      <w:pPr>
        <w:spacing w:line="360" w:lineRule="auto"/>
        <w:rPr>
          <w:rFonts w:ascii="Arial" w:eastAsia="標楷體" w:hAnsi="Arial" w:cs="Arial"/>
        </w:rPr>
      </w:pPr>
    </w:p>
    <w:p w:rsidR="008F2976" w:rsidRPr="004D451D" w:rsidRDefault="008F2976" w:rsidP="0032604C">
      <w:pPr>
        <w:widowControl/>
        <w:rPr>
          <w:rFonts w:eastAsia="標楷體"/>
          <w:sz w:val="32"/>
          <w:szCs w:val="32"/>
        </w:rPr>
        <w:sectPr w:rsidR="008F2976" w:rsidRPr="004D451D" w:rsidSect="00EF42CC">
          <w:pgSz w:w="11906" w:h="16838" w:code="9"/>
          <w:pgMar w:top="1079" w:right="991" w:bottom="1440" w:left="1440" w:header="851" w:footer="352" w:gutter="0"/>
          <w:cols w:space="425"/>
          <w:docGrid w:type="lines" w:linePitch="360"/>
        </w:sectPr>
      </w:pPr>
    </w:p>
    <w:p w:rsidR="0032604C" w:rsidRPr="004D451D" w:rsidRDefault="0032604C" w:rsidP="0032604C">
      <w:pPr>
        <w:widowControl/>
        <w:rPr>
          <w:rFonts w:eastAsia="標楷體"/>
          <w:sz w:val="32"/>
          <w:szCs w:val="32"/>
        </w:rPr>
      </w:pPr>
      <w:r w:rsidRPr="004D451D">
        <w:rPr>
          <w:rFonts w:eastAsia="標楷體"/>
          <w:b/>
          <w:sz w:val="32"/>
          <w:szCs w:val="32"/>
        </w:rPr>
        <w:t>【附表</w:t>
      </w:r>
      <w:r w:rsidR="00E92F86" w:rsidRPr="004D451D">
        <w:rPr>
          <w:rFonts w:eastAsia="標楷體" w:hint="eastAsia"/>
          <w:b/>
          <w:sz w:val="32"/>
          <w:szCs w:val="32"/>
        </w:rPr>
        <w:t>三十</w:t>
      </w:r>
      <w:r w:rsidRPr="004D451D">
        <w:rPr>
          <w:rFonts w:eastAsia="標楷體"/>
          <w:b/>
          <w:sz w:val="32"/>
          <w:szCs w:val="32"/>
        </w:rPr>
        <w:t>】</w:t>
      </w:r>
    </w:p>
    <w:p w:rsidR="0032604C" w:rsidRPr="004D451D" w:rsidRDefault="008F2976" w:rsidP="0032604C">
      <w:pPr>
        <w:jc w:val="center"/>
        <w:rPr>
          <w:rFonts w:eastAsia="標楷體"/>
          <w:b/>
          <w:bCs/>
          <w:sz w:val="32"/>
          <w:szCs w:val="32"/>
        </w:rPr>
      </w:pPr>
      <w:r w:rsidRPr="004D451D">
        <w:rPr>
          <w:rFonts w:eastAsia="標楷體"/>
          <w:b/>
          <w:bCs/>
          <w:sz w:val="32"/>
          <w:szCs w:val="32"/>
        </w:rPr>
        <w:t>各</w:t>
      </w:r>
      <w:r w:rsidR="001874C1" w:rsidRPr="004D451D">
        <w:rPr>
          <w:rFonts w:eastAsia="標楷體"/>
          <w:b/>
          <w:bCs/>
          <w:sz w:val="32"/>
          <w:szCs w:val="32"/>
        </w:rPr>
        <w:t>暴險類型</w:t>
      </w:r>
      <w:r w:rsidR="0032604C" w:rsidRPr="004D451D">
        <w:rPr>
          <w:rFonts w:eastAsia="標楷體"/>
          <w:b/>
          <w:bCs/>
          <w:sz w:val="32"/>
          <w:szCs w:val="32"/>
        </w:rPr>
        <w:t>與風險權數分類之交易對手信用風險暴險</w:t>
      </w:r>
      <w:r w:rsidR="00F3145A" w:rsidRPr="004D451D">
        <w:rPr>
          <w:rFonts w:hint="eastAsia"/>
          <w:b/>
        </w:rPr>
        <w:t>─</w:t>
      </w:r>
      <w:r w:rsidR="00F3145A" w:rsidRPr="004D451D">
        <w:rPr>
          <w:rFonts w:eastAsia="標楷體"/>
          <w:b/>
          <w:bCs/>
          <w:sz w:val="32"/>
          <w:szCs w:val="32"/>
        </w:rPr>
        <w:t>標準法</w:t>
      </w:r>
    </w:p>
    <w:p w:rsidR="0032604C" w:rsidRPr="004D451D" w:rsidRDefault="0032604C" w:rsidP="0032604C">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72558C" w:rsidRPr="004D451D">
        <w:rPr>
          <w:rFonts w:eastAsia="標楷體" w:hint="eastAsia"/>
          <w:bCs/>
          <w:sz w:val="32"/>
          <w:szCs w:val="32"/>
        </w:rPr>
        <w:t>10</w:t>
      </w:r>
      <w:r w:rsidR="00860B42" w:rsidRPr="004D451D">
        <w:rPr>
          <w:rFonts w:eastAsia="標楷體" w:hint="eastAsia"/>
          <w:bCs/>
          <w:sz w:val="32"/>
          <w:szCs w:val="32"/>
        </w:rPr>
        <w:t>7</w:t>
      </w:r>
      <w:r w:rsidRPr="004D451D">
        <w:rPr>
          <w:rFonts w:eastAsia="標楷體"/>
          <w:bCs/>
          <w:sz w:val="32"/>
          <w:szCs w:val="32"/>
        </w:rPr>
        <w:t>年</w:t>
      </w:r>
      <w:r w:rsidR="00860B42" w:rsidRPr="004D451D">
        <w:rPr>
          <w:rFonts w:eastAsia="標楷體" w:hint="eastAsia"/>
          <w:bCs/>
          <w:sz w:val="32"/>
          <w:szCs w:val="32"/>
        </w:rPr>
        <w:t>06</w:t>
      </w:r>
      <w:r w:rsidRPr="004D451D">
        <w:rPr>
          <w:rFonts w:eastAsia="標楷體"/>
          <w:bCs/>
          <w:sz w:val="32"/>
          <w:szCs w:val="32"/>
        </w:rPr>
        <w:t>月</w:t>
      </w:r>
      <w:r w:rsidR="0072558C" w:rsidRPr="004D451D">
        <w:rPr>
          <w:rFonts w:eastAsia="標楷體" w:hint="eastAsia"/>
          <w:bCs/>
          <w:sz w:val="32"/>
          <w:szCs w:val="32"/>
        </w:rPr>
        <w:t>3</w:t>
      </w:r>
      <w:r w:rsidR="00860B42" w:rsidRPr="004D451D">
        <w:rPr>
          <w:rFonts w:eastAsia="標楷體" w:hint="eastAsia"/>
          <w:bCs/>
          <w:sz w:val="32"/>
          <w:szCs w:val="32"/>
        </w:rPr>
        <w:t>0</w:t>
      </w:r>
      <w:r w:rsidRPr="004D451D">
        <w:rPr>
          <w:rFonts w:eastAsia="標楷體"/>
          <w:bCs/>
          <w:sz w:val="32"/>
          <w:szCs w:val="32"/>
        </w:rPr>
        <w:t>日</w:t>
      </w:r>
      <w:r w:rsidR="009A1E6E" w:rsidRPr="004D451D">
        <w:rPr>
          <w:rFonts w:eastAsia="標楷體" w:hint="eastAsia"/>
          <w:bCs/>
          <w:sz w:val="32"/>
          <w:szCs w:val="32"/>
        </w:rPr>
        <w:t xml:space="preserve">　　　　　　　　　　　　</w:t>
      </w:r>
      <w:r w:rsidR="00D82B93" w:rsidRPr="004D451D">
        <w:rPr>
          <w:rFonts w:eastAsia="標楷體" w:hint="eastAsia"/>
          <w:bCs/>
          <w:szCs w:val="32"/>
        </w:rPr>
        <w:t>（</w:t>
      </w:r>
      <w:r w:rsidRPr="004D451D">
        <w:rPr>
          <w:rFonts w:eastAsia="標楷體"/>
          <w:bCs/>
        </w:rPr>
        <w:t>單位</w:t>
      </w:r>
      <w:r w:rsidR="009A1E6E" w:rsidRPr="004D451D">
        <w:rPr>
          <w:rFonts w:eastAsia="標楷體" w:hint="eastAsia"/>
          <w:bCs/>
        </w:rPr>
        <w:t>：</w:t>
      </w:r>
      <w:r w:rsidRPr="004D451D">
        <w:rPr>
          <w:rFonts w:eastAsia="標楷體"/>
          <w:bCs/>
        </w:rPr>
        <w:t>新臺幣千元</w:t>
      </w:r>
      <w:r w:rsidR="00D82B93" w:rsidRPr="004D451D">
        <w:rPr>
          <w:rFonts w:eastAsia="標楷體" w:hint="eastAsia"/>
          <w:bCs/>
        </w:rPr>
        <w:t>）</w:t>
      </w:r>
    </w:p>
    <w:tbl>
      <w:tblPr>
        <w:tblW w:w="14376" w:type="dxa"/>
        <w:jc w:val="center"/>
        <w:tblInd w:w="-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00"/>
        <w:gridCol w:w="965"/>
        <w:gridCol w:w="1001"/>
        <w:gridCol w:w="1418"/>
        <w:gridCol w:w="1284"/>
        <w:gridCol w:w="1058"/>
        <w:gridCol w:w="1084"/>
        <w:gridCol w:w="1069"/>
        <w:gridCol w:w="1080"/>
        <w:gridCol w:w="1958"/>
      </w:tblGrid>
      <w:tr w:rsidR="004D451D" w:rsidRPr="004D451D" w:rsidTr="00860B42">
        <w:trPr>
          <w:trHeight w:val="517"/>
          <w:jc w:val="center"/>
        </w:trPr>
        <w:tc>
          <w:tcPr>
            <w:tcW w:w="3459" w:type="dxa"/>
            <w:gridSpan w:val="2"/>
            <w:tcBorders>
              <w:tl2br w:val="single" w:sz="4" w:space="0" w:color="auto"/>
            </w:tcBorders>
            <w:shd w:val="clear" w:color="auto" w:fill="auto"/>
            <w:vAlign w:val="center"/>
          </w:tcPr>
          <w:p w:rsidR="00A97363" w:rsidRPr="004D451D" w:rsidRDefault="008F2976" w:rsidP="008F2976">
            <w:pPr>
              <w:spacing w:line="240" w:lineRule="atLeast"/>
              <w:jc w:val="right"/>
              <w:rPr>
                <w:rFonts w:eastAsia="標楷體"/>
              </w:rPr>
            </w:pPr>
            <w:r w:rsidRPr="004D451D">
              <w:rPr>
                <w:rFonts w:eastAsia="標楷體" w:hint="eastAsia"/>
              </w:rPr>
              <w:t>風險權數</w:t>
            </w:r>
            <w:r w:rsidRPr="004D451D">
              <w:rPr>
                <w:rFonts w:eastAsia="標楷體" w:hint="eastAsia"/>
              </w:rPr>
              <w:t>X</w:t>
            </w:r>
          </w:p>
          <w:p w:rsidR="008F2976" w:rsidRPr="004D451D" w:rsidRDefault="008F2976" w:rsidP="008F2976">
            <w:pPr>
              <w:spacing w:line="240" w:lineRule="atLeast"/>
              <w:rPr>
                <w:rFonts w:eastAsia="標楷體"/>
              </w:rPr>
            </w:pPr>
            <w:r w:rsidRPr="004D451D">
              <w:rPr>
                <w:rFonts w:eastAsia="標楷體" w:hint="eastAsia"/>
              </w:rPr>
              <w:t>暴險類型</w:t>
            </w:r>
          </w:p>
        </w:tc>
        <w:tc>
          <w:tcPr>
            <w:tcW w:w="965" w:type="dxa"/>
            <w:shd w:val="clear" w:color="auto" w:fill="auto"/>
            <w:vAlign w:val="center"/>
          </w:tcPr>
          <w:p w:rsidR="00A97363" w:rsidRPr="004D451D" w:rsidRDefault="00A97363" w:rsidP="0042029E">
            <w:pPr>
              <w:spacing w:line="240" w:lineRule="atLeast"/>
              <w:jc w:val="center"/>
              <w:rPr>
                <w:rFonts w:eastAsia="標楷體"/>
                <w:szCs w:val="16"/>
              </w:rPr>
            </w:pPr>
            <w:r w:rsidRPr="004D451D">
              <w:rPr>
                <w:rFonts w:eastAsia="標楷體"/>
                <w:szCs w:val="16"/>
              </w:rPr>
              <w:t>0%</w:t>
            </w:r>
          </w:p>
        </w:tc>
        <w:tc>
          <w:tcPr>
            <w:tcW w:w="1001"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10%</w:t>
            </w:r>
          </w:p>
        </w:tc>
        <w:tc>
          <w:tcPr>
            <w:tcW w:w="1418"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20%</w:t>
            </w:r>
          </w:p>
        </w:tc>
        <w:tc>
          <w:tcPr>
            <w:tcW w:w="1284"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50%</w:t>
            </w:r>
          </w:p>
        </w:tc>
        <w:tc>
          <w:tcPr>
            <w:tcW w:w="1058"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75%</w:t>
            </w:r>
          </w:p>
        </w:tc>
        <w:tc>
          <w:tcPr>
            <w:tcW w:w="1084"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100%</w:t>
            </w:r>
          </w:p>
        </w:tc>
        <w:tc>
          <w:tcPr>
            <w:tcW w:w="1069"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150%</w:t>
            </w:r>
          </w:p>
        </w:tc>
        <w:tc>
          <w:tcPr>
            <w:tcW w:w="1080" w:type="dxa"/>
            <w:shd w:val="clear" w:color="auto" w:fill="auto"/>
            <w:vAlign w:val="center"/>
          </w:tcPr>
          <w:p w:rsidR="008F2976" w:rsidRPr="004D451D" w:rsidRDefault="00A97363" w:rsidP="0042029E">
            <w:pPr>
              <w:spacing w:line="240" w:lineRule="atLeast"/>
              <w:jc w:val="center"/>
              <w:rPr>
                <w:rFonts w:eastAsia="標楷體"/>
                <w:szCs w:val="16"/>
              </w:rPr>
            </w:pPr>
            <w:r w:rsidRPr="004D451D">
              <w:rPr>
                <w:rFonts w:eastAsia="標楷體"/>
                <w:szCs w:val="16"/>
              </w:rPr>
              <w:t>1250%</w:t>
            </w:r>
          </w:p>
        </w:tc>
        <w:tc>
          <w:tcPr>
            <w:tcW w:w="1958" w:type="dxa"/>
            <w:shd w:val="clear" w:color="auto" w:fill="auto"/>
            <w:vAlign w:val="center"/>
          </w:tcPr>
          <w:p w:rsidR="00A97363" w:rsidRPr="004D451D" w:rsidRDefault="00A97363" w:rsidP="008F2976">
            <w:pPr>
              <w:spacing w:line="240" w:lineRule="atLeast"/>
              <w:jc w:val="both"/>
              <w:rPr>
                <w:rFonts w:eastAsia="標楷體"/>
                <w:sz w:val="16"/>
                <w:szCs w:val="16"/>
              </w:rPr>
            </w:pPr>
            <w:r w:rsidRPr="004D451D">
              <w:rPr>
                <w:rFonts w:eastAsia="標楷體"/>
              </w:rPr>
              <w:t>信用暴險額總計</w:t>
            </w:r>
          </w:p>
        </w:tc>
      </w:tr>
      <w:tr w:rsidR="004D451D" w:rsidRPr="004D451D" w:rsidTr="00860B42">
        <w:trPr>
          <w:trHeight w:val="215"/>
          <w:jc w:val="center"/>
        </w:trPr>
        <w:tc>
          <w:tcPr>
            <w:tcW w:w="559" w:type="dxa"/>
            <w:shd w:val="clear" w:color="auto" w:fill="auto"/>
            <w:vAlign w:val="center"/>
          </w:tcPr>
          <w:p w:rsidR="0072558C" w:rsidRPr="004D451D" w:rsidRDefault="0072558C" w:rsidP="00A97363">
            <w:pPr>
              <w:spacing w:line="360" w:lineRule="auto"/>
              <w:jc w:val="center"/>
              <w:rPr>
                <w:rFonts w:eastAsia="標楷體"/>
              </w:rPr>
            </w:pPr>
            <w:r w:rsidRPr="004D451D">
              <w:rPr>
                <w:rFonts w:eastAsia="標楷體"/>
              </w:rPr>
              <w:t>1</w:t>
            </w:r>
          </w:p>
        </w:tc>
        <w:tc>
          <w:tcPr>
            <w:tcW w:w="2900" w:type="dxa"/>
            <w:shd w:val="clear" w:color="auto" w:fill="auto"/>
            <w:vAlign w:val="center"/>
          </w:tcPr>
          <w:p w:rsidR="0072558C" w:rsidRPr="004D451D" w:rsidRDefault="0072558C" w:rsidP="008F2976">
            <w:pPr>
              <w:spacing w:line="240" w:lineRule="atLeast"/>
              <w:jc w:val="both"/>
              <w:rPr>
                <w:rFonts w:eastAsia="標楷體"/>
              </w:rPr>
            </w:pPr>
            <w:r w:rsidRPr="004D451D">
              <w:rPr>
                <w:rFonts w:eastAsia="標楷體"/>
              </w:rPr>
              <w:t>主權國家</w:t>
            </w:r>
          </w:p>
        </w:tc>
        <w:tc>
          <w:tcPr>
            <w:tcW w:w="965"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284"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58"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69"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r>
      <w:tr w:rsidR="004D451D" w:rsidRPr="004D451D" w:rsidTr="00860B42">
        <w:trPr>
          <w:trHeight w:val="237"/>
          <w:jc w:val="center"/>
        </w:trPr>
        <w:tc>
          <w:tcPr>
            <w:tcW w:w="559" w:type="dxa"/>
            <w:shd w:val="clear" w:color="auto" w:fill="auto"/>
            <w:vAlign w:val="center"/>
          </w:tcPr>
          <w:p w:rsidR="0072558C" w:rsidRPr="004D451D" w:rsidRDefault="0072558C" w:rsidP="00A97363">
            <w:pPr>
              <w:spacing w:line="360" w:lineRule="auto"/>
              <w:jc w:val="center"/>
              <w:rPr>
                <w:rFonts w:eastAsia="標楷體"/>
              </w:rPr>
            </w:pPr>
            <w:r w:rsidRPr="004D451D">
              <w:rPr>
                <w:rFonts w:eastAsia="標楷體"/>
              </w:rPr>
              <w:t>2</w:t>
            </w:r>
          </w:p>
        </w:tc>
        <w:tc>
          <w:tcPr>
            <w:tcW w:w="2900" w:type="dxa"/>
            <w:shd w:val="clear" w:color="auto" w:fill="auto"/>
            <w:vAlign w:val="center"/>
          </w:tcPr>
          <w:p w:rsidR="0072558C" w:rsidRPr="004D451D" w:rsidRDefault="0072558C" w:rsidP="008F2976">
            <w:pPr>
              <w:spacing w:line="240" w:lineRule="atLeast"/>
              <w:jc w:val="both"/>
              <w:rPr>
                <w:rFonts w:eastAsia="標楷體"/>
              </w:rPr>
            </w:pPr>
            <w:r w:rsidRPr="004D451D">
              <w:rPr>
                <w:rFonts w:eastAsia="標楷體"/>
              </w:rPr>
              <w:t>非中央政府公共部門</w:t>
            </w:r>
          </w:p>
        </w:tc>
        <w:tc>
          <w:tcPr>
            <w:tcW w:w="965"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284"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58"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69"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72558C" w:rsidRPr="004D451D" w:rsidRDefault="0072558C" w:rsidP="0072558C">
            <w:pPr>
              <w:jc w:val="right"/>
              <w:rPr>
                <w:rFonts w:ascii="Arial" w:hAnsi="Arial" w:cs="Arial"/>
              </w:rPr>
            </w:pPr>
            <w:r w:rsidRPr="004D451D">
              <w:rPr>
                <w:rFonts w:ascii="Arial" w:hAnsi="Arial" w:cs="Arial" w:hint="eastAsia"/>
              </w:rPr>
              <w:t xml:space="preserve">　</w:t>
            </w:r>
          </w:p>
        </w:tc>
      </w:tr>
      <w:tr w:rsidR="004D451D" w:rsidRPr="004D451D" w:rsidTr="00860B42">
        <w:trPr>
          <w:trHeight w:val="259"/>
          <w:jc w:val="center"/>
        </w:trPr>
        <w:tc>
          <w:tcPr>
            <w:tcW w:w="559" w:type="dxa"/>
            <w:shd w:val="clear" w:color="auto" w:fill="auto"/>
            <w:vAlign w:val="center"/>
          </w:tcPr>
          <w:p w:rsidR="00860B42" w:rsidRPr="004D451D" w:rsidRDefault="00860B42" w:rsidP="00A97363">
            <w:pPr>
              <w:spacing w:line="360" w:lineRule="auto"/>
              <w:jc w:val="center"/>
              <w:rPr>
                <w:rFonts w:eastAsia="標楷體"/>
              </w:rPr>
            </w:pPr>
            <w:r w:rsidRPr="004D451D">
              <w:rPr>
                <w:rFonts w:eastAsia="標楷體"/>
              </w:rPr>
              <w:t>3</w:t>
            </w:r>
          </w:p>
        </w:tc>
        <w:tc>
          <w:tcPr>
            <w:tcW w:w="2900" w:type="dxa"/>
            <w:shd w:val="clear" w:color="auto" w:fill="auto"/>
            <w:vAlign w:val="center"/>
          </w:tcPr>
          <w:p w:rsidR="00860B42" w:rsidRPr="004D451D" w:rsidRDefault="00860B42" w:rsidP="008F2976">
            <w:pPr>
              <w:spacing w:line="240" w:lineRule="atLeast"/>
              <w:jc w:val="both"/>
              <w:rPr>
                <w:rFonts w:eastAsia="標楷體"/>
              </w:rPr>
            </w:pPr>
            <w:r w:rsidRPr="004D451D">
              <w:rPr>
                <w:rFonts w:eastAsia="標楷體"/>
              </w:rPr>
              <w:t>銀行</w:t>
            </w:r>
            <w:r w:rsidRPr="004D451D">
              <w:rPr>
                <w:rFonts w:eastAsia="標楷體"/>
              </w:rPr>
              <w:t>(</w:t>
            </w:r>
            <w:r w:rsidRPr="004D451D">
              <w:rPr>
                <w:rFonts w:eastAsia="標楷體"/>
              </w:rPr>
              <w:t>含多邊開發銀行</w:t>
            </w:r>
            <w:r w:rsidRPr="004D451D">
              <w:rPr>
                <w:rFonts w:eastAsia="標楷體"/>
              </w:rPr>
              <w:t>)</w:t>
            </w:r>
          </w:p>
        </w:tc>
        <w:tc>
          <w:tcPr>
            <w:tcW w:w="965"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10,097,343</w:t>
            </w:r>
          </w:p>
        </w:tc>
        <w:tc>
          <w:tcPr>
            <w:tcW w:w="12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2,878,332</w:t>
            </w:r>
          </w:p>
        </w:tc>
        <w:tc>
          <w:tcPr>
            <w:tcW w:w="10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69"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12,975,675</w:t>
            </w:r>
          </w:p>
        </w:tc>
      </w:tr>
      <w:tr w:rsidR="004D451D" w:rsidRPr="004D451D" w:rsidTr="00860B42">
        <w:trPr>
          <w:trHeight w:val="125"/>
          <w:jc w:val="center"/>
        </w:trPr>
        <w:tc>
          <w:tcPr>
            <w:tcW w:w="559" w:type="dxa"/>
            <w:shd w:val="clear" w:color="auto" w:fill="auto"/>
            <w:vAlign w:val="center"/>
          </w:tcPr>
          <w:p w:rsidR="00860B42" w:rsidRPr="004D451D" w:rsidRDefault="00860B42" w:rsidP="00A97363">
            <w:pPr>
              <w:spacing w:line="360" w:lineRule="auto"/>
              <w:jc w:val="center"/>
              <w:rPr>
                <w:rFonts w:eastAsia="標楷體"/>
              </w:rPr>
            </w:pPr>
            <w:r w:rsidRPr="004D451D">
              <w:rPr>
                <w:rFonts w:eastAsia="標楷體"/>
              </w:rPr>
              <w:t>4</w:t>
            </w:r>
          </w:p>
        </w:tc>
        <w:tc>
          <w:tcPr>
            <w:tcW w:w="2900" w:type="dxa"/>
            <w:shd w:val="clear" w:color="auto" w:fill="auto"/>
            <w:vAlign w:val="center"/>
          </w:tcPr>
          <w:p w:rsidR="00860B42" w:rsidRPr="004D451D" w:rsidRDefault="00860B42" w:rsidP="008F2976">
            <w:pPr>
              <w:spacing w:line="240" w:lineRule="atLeast"/>
              <w:jc w:val="both"/>
              <w:rPr>
                <w:rFonts w:eastAsia="標楷體"/>
              </w:rPr>
            </w:pPr>
            <w:r w:rsidRPr="004D451D">
              <w:rPr>
                <w:rFonts w:eastAsia="標楷體"/>
              </w:rPr>
              <w:t>企業</w:t>
            </w:r>
            <w:r w:rsidRPr="004D451D">
              <w:rPr>
                <w:rFonts w:eastAsia="標楷體"/>
              </w:rPr>
              <w:t>(</w:t>
            </w:r>
            <w:r w:rsidRPr="004D451D">
              <w:rPr>
                <w:rFonts w:eastAsia="標楷體"/>
              </w:rPr>
              <w:t>含證券與保險公司</w:t>
            </w:r>
            <w:r w:rsidRPr="004D451D">
              <w:rPr>
                <w:rFonts w:eastAsia="標楷體"/>
              </w:rPr>
              <w:t>)</w:t>
            </w:r>
          </w:p>
        </w:tc>
        <w:tc>
          <w:tcPr>
            <w:tcW w:w="965"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2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1,477,410</w:t>
            </w:r>
          </w:p>
        </w:tc>
        <w:tc>
          <w:tcPr>
            <w:tcW w:w="10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48,470</w:t>
            </w:r>
          </w:p>
        </w:tc>
        <w:tc>
          <w:tcPr>
            <w:tcW w:w="1069"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1,525,880</w:t>
            </w:r>
          </w:p>
        </w:tc>
      </w:tr>
      <w:tr w:rsidR="004D451D" w:rsidRPr="004D451D" w:rsidTr="00860B42">
        <w:trPr>
          <w:trHeight w:val="147"/>
          <w:jc w:val="center"/>
        </w:trPr>
        <w:tc>
          <w:tcPr>
            <w:tcW w:w="559" w:type="dxa"/>
            <w:shd w:val="clear" w:color="auto" w:fill="auto"/>
            <w:vAlign w:val="center"/>
          </w:tcPr>
          <w:p w:rsidR="00860B42" w:rsidRPr="004D451D" w:rsidRDefault="00860B42" w:rsidP="00A97363">
            <w:pPr>
              <w:spacing w:line="360" w:lineRule="auto"/>
              <w:jc w:val="center"/>
              <w:rPr>
                <w:rFonts w:eastAsia="標楷體"/>
              </w:rPr>
            </w:pPr>
            <w:r w:rsidRPr="004D451D">
              <w:rPr>
                <w:rFonts w:eastAsia="標楷體"/>
              </w:rPr>
              <w:t>5</w:t>
            </w:r>
          </w:p>
        </w:tc>
        <w:tc>
          <w:tcPr>
            <w:tcW w:w="2900" w:type="dxa"/>
            <w:shd w:val="clear" w:color="auto" w:fill="auto"/>
            <w:vAlign w:val="center"/>
          </w:tcPr>
          <w:p w:rsidR="00860B42" w:rsidRPr="004D451D" w:rsidRDefault="00860B42" w:rsidP="008F2976">
            <w:pPr>
              <w:spacing w:line="240" w:lineRule="atLeast"/>
              <w:jc w:val="both"/>
              <w:rPr>
                <w:rFonts w:eastAsia="標楷體"/>
              </w:rPr>
            </w:pPr>
            <w:r w:rsidRPr="004D451D">
              <w:rPr>
                <w:rFonts w:eastAsia="標楷體"/>
              </w:rPr>
              <w:t>零售債權</w:t>
            </w:r>
          </w:p>
        </w:tc>
        <w:tc>
          <w:tcPr>
            <w:tcW w:w="965"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2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69"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r>
      <w:tr w:rsidR="004D451D" w:rsidRPr="004D451D" w:rsidTr="00860B42">
        <w:trPr>
          <w:trHeight w:val="155"/>
          <w:jc w:val="center"/>
        </w:trPr>
        <w:tc>
          <w:tcPr>
            <w:tcW w:w="559" w:type="dxa"/>
            <w:shd w:val="clear" w:color="auto" w:fill="auto"/>
            <w:vAlign w:val="center"/>
          </w:tcPr>
          <w:p w:rsidR="00860B42" w:rsidRPr="004D451D" w:rsidRDefault="00860B42" w:rsidP="00A97363">
            <w:pPr>
              <w:spacing w:line="360" w:lineRule="auto"/>
              <w:jc w:val="center"/>
              <w:rPr>
                <w:rFonts w:eastAsia="標楷體"/>
              </w:rPr>
            </w:pPr>
            <w:r w:rsidRPr="004D451D">
              <w:rPr>
                <w:rFonts w:eastAsia="標楷體"/>
              </w:rPr>
              <w:t>6</w:t>
            </w:r>
          </w:p>
        </w:tc>
        <w:tc>
          <w:tcPr>
            <w:tcW w:w="2900" w:type="dxa"/>
            <w:shd w:val="clear" w:color="auto" w:fill="auto"/>
            <w:vAlign w:val="center"/>
          </w:tcPr>
          <w:p w:rsidR="00860B42" w:rsidRPr="004D451D" w:rsidRDefault="00860B42" w:rsidP="008F2976">
            <w:pPr>
              <w:spacing w:line="240" w:lineRule="atLeast"/>
              <w:jc w:val="both"/>
              <w:rPr>
                <w:rFonts w:eastAsia="標楷體"/>
              </w:rPr>
            </w:pPr>
            <w:r w:rsidRPr="004D451D">
              <w:rPr>
                <w:rFonts w:eastAsia="標楷體"/>
              </w:rPr>
              <w:t>其他資產</w:t>
            </w:r>
          </w:p>
        </w:tc>
        <w:tc>
          <w:tcPr>
            <w:tcW w:w="965"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2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69"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r>
      <w:tr w:rsidR="004D451D" w:rsidRPr="004D451D" w:rsidTr="00860B42">
        <w:trPr>
          <w:trHeight w:val="177"/>
          <w:jc w:val="center"/>
        </w:trPr>
        <w:tc>
          <w:tcPr>
            <w:tcW w:w="559" w:type="dxa"/>
            <w:shd w:val="clear" w:color="auto" w:fill="auto"/>
            <w:vAlign w:val="center"/>
          </w:tcPr>
          <w:p w:rsidR="00860B42" w:rsidRPr="004D451D" w:rsidRDefault="00860B42" w:rsidP="00A97363">
            <w:pPr>
              <w:spacing w:line="360" w:lineRule="auto"/>
              <w:jc w:val="center"/>
              <w:rPr>
                <w:rFonts w:eastAsia="標楷體"/>
              </w:rPr>
            </w:pPr>
            <w:r w:rsidRPr="004D451D">
              <w:rPr>
                <w:rFonts w:eastAsia="標楷體"/>
              </w:rPr>
              <w:t>7</w:t>
            </w:r>
          </w:p>
        </w:tc>
        <w:tc>
          <w:tcPr>
            <w:tcW w:w="2900" w:type="dxa"/>
            <w:shd w:val="clear" w:color="auto" w:fill="auto"/>
            <w:vAlign w:val="center"/>
          </w:tcPr>
          <w:p w:rsidR="00860B42" w:rsidRPr="004D451D" w:rsidRDefault="00860B42" w:rsidP="008F2976">
            <w:pPr>
              <w:spacing w:line="240" w:lineRule="atLeast"/>
              <w:jc w:val="both"/>
              <w:rPr>
                <w:rFonts w:eastAsia="標楷體"/>
              </w:rPr>
            </w:pPr>
            <w:r w:rsidRPr="004D451D">
              <w:rPr>
                <w:rFonts w:eastAsia="標楷體"/>
              </w:rPr>
              <w:t>總計</w:t>
            </w:r>
          </w:p>
        </w:tc>
        <w:tc>
          <w:tcPr>
            <w:tcW w:w="965"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001" w:type="dxa"/>
            <w:shd w:val="clear" w:color="auto" w:fill="auto"/>
            <w:vAlign w:val="center"/>
          </w:tcPr>
          <w:p w:rsidR="00860B42" w:rsidRPr="004D451D" w:rsidRDefault="00860B42" w:rsidP="0072558C">
            <w:pPr>
              <w:jc w:val="right"/>
              <w:rPr>
                <w:rFonts w:ascii="Arial" w:hAnsi="Arial" w:cs="Arial"/>
              </w:rPr>
            </w:pPr>
            <w:r w:rsidRPr="004D451D">
              <w:rPr>
                <w:rFonts w:ascii="Arial" w:hAnsi="Arial" w:cs="Arial" w:hint="eastAsia"/>
              </w:rPr>
              <w:t xml:space="preserve">　</w:t>
            </w:r>
          </w:p>
        </w:tc>
        <w:tc>
          <w:tcPr>
            <w:tcW w:w="141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10,097,343</w:t>
            </w:r>
          </w:p>
        </w:tc>
        <w:tc>
          <w:tcPr>
            <w:tcW w:w="12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4,355,742</w:t>
            </w:r>
          </w:p>
        </w:tc>
        <w:tc>
          <w:tcPr>
            <w:tcW w:w="10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4"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48,470</w:t>
            </w:r>
          </w:p>
        </w:tc>
        <w:tc>
          <w:tcPr>
            <w:tcW w:w="1069"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08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958"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14,501,555</w:t>
            </w:r>
          </w:p>
        </w:tc>
      </w:tr>
      <w:tr w:rsidR="004D451D" w:rsidRPr="004D451D" w:rsidTr="00236E09">
        <w:trPr>
          <w:trHeight w:val="70"/>
          <w:jc w:val="center"/>
        </w:trPr>
        <w:tc>
          <w:tcPr>
            <w:tcW w:w="14376" w:type="dxa"/>
            <w:gridSpan w:val="11"/>
            <w:shd w:val="clear" w:color="auto" w:fill="auto"/>
            <w:vAlign w:val="center"/>
          </w:tcPr>
          <w:p w:rsidR="004F5226" w:rsidRPr="004D451D" w:rsidRDefault="004F5226" w:rsidP="00A97363">
            <w:pPr>
              <w:spacing w:line="360" w:lineRule="auto"/>
              <w:rPr>
                <w:rFonts w:eastAsia="標楷體"/>
              </w:rPr>
            </w:pPr>
            <w:r w:rsidRPr="004D451D">
              <w:rPr>
                <w:rFonts w:eastAsia="標楷體"/>
                <w:bCs/>
              </w:rPr>
              <w:t>重大變動原因及說明</w:t>
            </w:r>
            <w:r w:rsidR="008F2976" w:rsidRPr="004D451D">
              <w:rPr>
                <w:rFonts w:eastAsia="標楷體" w:hint="eastAsia"/>
                <w:bCs/>
              </w:rPr>
              <w:t>：</w:t>
            </w:r>
          </w:p>
        </w:tc>
      </w:tr>
    </w:tbl>
    <w:p w:rsidR="00DC0E88" w:rsidRPr="004D451D" w:rsidRDefault="00DC0E88" w:rsidP="009A1E6E">
      <w:pPr>
        <w:spacing w:line="240" w:lineRule="atLeast"/>
        <w:rPr>
          <w:rFonts w:eastAsia="標楷體"/>
          <w:b/>
          <w:kern w:val="0"/>
        </w:rPr>
      </w:pPr>
      <w:r w:rsidRPr="004D451D">
        <w:rPr>
          <w:rFonts w:eastAsia="標楷體"/>
          <w:b/>
          <w:kern w:val="0"/>
        </w:rPr>
        <w:t>填表說明：</w:t>
      </w:r>
    </w:p>
    <w:p w:rsidR="00DC0E88" w:rsidRPr="004D451D" w:rsidRDefault="00DC0E88" w:rsidP="00EF4134">
      <w:pPr>
        <w:numPr>
          <w:ilvl w:val="0"/>
          <w:numId w:val="54"/>
        </w:numPr>
        <w:spacing w:line="240" w:lineRule="atLeast"/>
        <w:ind w:leftChars="150" w:left="720" w:hangingChars="150"/>
        <w:rPr>
          <w:rFonts w:eastAsia="標楷體"/>
        </w:rPr>
      </w:pPr>
      <w:r w:rsidRPr="004D451D">
        <w:rPr>
          <w:rFonts w:eastAsia="標楷體"/>
        </w:rPr>
        <w:t>本表更新頻率：半年。</w:t>
      </w:r>
    </w:p>
    <w:p w:rsidR="008F2976" w:rsidRPr="004D451D" w:rsidRDefault="008F2976" w:rsidP="00EF4134">
      <w:pPr>
        <w:numPr>
          <w:ilvl w:val="0"/>
          <w:numId w:val="54"/>
        </w:numPr>
        <w:spacing w:line="240" w:lineRule="atLeast"/>
        <w:ind w:leftChars="150" w:left="720" w:hangingChars="150"/>
        <w:rPr>
          <w:rFonts w:eastAsia="標楷體"/>
        </w:rPr>
      </w:pPr>
      <w:r w:rsidRPr="004D451D">
        <w:rPr>
          <w:rFonts w:eastAsia="標楷體"/>
        </w:rPr>
        <w:t>本表採個體基礎填報。</w:t>
      </w:r>
    </w:p>
    <w:p w:rsidR="008F2976" w:rsidRPr="004D451D" w:rsidRDefault="00B96483" w:rsidP="00EF4134">
      <w:pPr>
        <w:numPr>
          <w:ilvl w:val="0"/>
          <w:numId w:val="54"/>
        </w:numPr>
        <w:spacing w:line="240" w:lineRule="atLeast"/>
        <w:ind w:leftChars="150" w:left="720" w:hangingChars="150"/>
        <w:rPr>
          <w:rFonts w:eastAsia="標楷體"/>
        </w:rPr>
      </w:pPr>
      <w:r w:rsidRPr="004D451D">
        <w:rPr>
          <w:rFonts w:eastAsia="標楷體" w:hint="eastAsia"/>
        </w:rPr>
        <w:t>本表範圍不包含信用風險評價調整</w:t>
      </w:r>
      <w:r w:rsidRPr="004D451D">
        <w:rPr>
          <w:rFonts w:eastAsia="標楷體" w:hint="eastAsia"/>
        </w:rPr>
        <w:t>(CVA)</w:t>
      </w:r>
      <w:r w:rsidRPr="004D451D">
        <w:rPr>
          <w:rFonts w:eastAsia="標楷體" w:hint="eastAsia"/>
        </w:rPr>
        <w:t>與交割風險暴險。</w:t>
      </w:r>
    </w:p>
    <w:p w:rsidR="008F2976" w:rsidRPr="004D451D" w:rsidRDefault="008F2976" w:rsidP="00EF4134">
      <w:pPr>
        <w:numPr>
          <w:ilvl w:val="0"/>
          <w:numId w:val="54"/>
        </w:numPr>
        <w:spacing w:line="240" w:lineRule="atLeast"/>
        <w:ind w:leftChars="150" w:left="720" w:hangingChars="150"/>
        <w:rPr>
          <w:rFonts w:eastAsia="標楷體"/>
        </w:rPr>
      </w:pPr>
      <w:r w:rsidRPr="004D451D">
        <w:rPr>
          <w:rFonts w:eastAsia="標楷體"/>
        </w:rPr>
        <w:t>信用暴險額總計</w:t>
      </w:r>
      <w:r w:rsidRPr="004D451D">
        <w:rPr>
          <w:rFonts w:eastAsia="標楷體" w:hint="eastAsia"/>
        </w:rPr>
        <w:t>：</w:t>
      </w:r>
      <w:r w:rsidRPr="004D451D">
        <w:rPr>
          <w:rFonts w:eastAsia="標楷體"/>
        </w:rPr>
        <w:t>考慮信用風險抵減後，用以計算資本要求的金額。</w:t>
      </w:r>
    </w:p>
    <w:p w:rsidR="00DF0176" w:rsidRPr="004D451D" w:rsidRDefault="008F2976" w:rsidP="00EF4134">
      <w:pPr>
        <w:numPr>
          <w:ilvl w:val="0"/>
          <w:numId w:val="54"/>
        </w:numPr>
        <w:spacing w:line="240" w:lineRule="atLeast"/>
        <w:ind w:leftChars="150" w:left="720" w:hangingChars="150"/>
        <w:rPr>
          <w:rFonts w:eastAsia="標楷體"/>
        </w:rPr>
      </w:pPr>
      <w:r w:rsidRPr="004D451D">
        <w:rPr>
          <w:rFonts w:eastAsia="標楷體"/>
        </w:rPr>
        <w:t>其他資產</w:t>
      </w:r>
      <w:r w:rsidRPr="004D451D">
        <w:rPr>
          <w:rFonts w:eastAsia="標楷體" w:hint="eastAsia"/>
        </w:rPr>
        <w:t>：</w:t>
      </w:r>
      <w:r w:rsidRPr="004D451D">
        <w:rPr>
          <w:rFonts w:eastAsia="標楷體"/>
        </w:rPr>
        <w:t>標準法</w:t>
      </w:r>
      <w:r w:rsidRPr="004D451D">
        <w:rPr>
          <w:rFonts w:eastAsia="標楷體"/>
        </w:rPr>
        <w:t>(SA-CCR)</w:t>
      </w:r>
      <w:r w:rsidRPr="004D451D">
        <w:rPr>
          <w:rFonts w:eastAsia="標楷體"/>
        </w:rPr>
        <w:t>實施後不包含於</w:t>
      </w:r>
      <w:r w:rsidRPr="004D451D">
        <w:rPr>
          <w:rFonts w:eastAsia="標楷體" w:hint="eastAsia"/>
        </w:rPr>
        <w:t>【</w:t>
      </w:r>
      <w:r w:rsidRPr="004D451D">
        <w:rPr>
          <w:rFonts w:eastAsia="標楷體"/>
        </w:rPr>
        <w:t>附表三十</w:t>
      </w:r>
      <w:r w:rsidR="00E92F86" w:rsidRPr="004D451D">
        <w:rPr>
          <w:rFonts w:eastAsia="標楷體" w:hint="eastAsia"/>
        </w:rPr>
        <w:t>五</w:t>
      </w:r>
      <w:r w:rsidRPr="004D451D">
        <w:rPr>
          <w:rFonts w:eastAsia="標楷體" w:hint="eastAsia"/>
        </w:rPr>
        <w:t>】</w:t>
      </w:r>
      <w:r w:rsidRPr="004D451D">
        <w:rPr>
          <w:rFonts w:eastAsia="標楷體"/>
        </w:rPr>
        <w:t>揭露之集中結算交易對手暴險金額。</w:t>
      </w:r>
    </w:p>
    <w:p w:rsidR="00FF42D3" w:rsidRPr="004D451D" w:rsidRDefault="008F2976" w:rsidP="00FF42D3">
      <w:pPr>
        <w:widowControl/>
        <w:rPr>
          <w:rFonts w:eastAsia="標楷體"/>
          <w:sz w:val="32"/>
          <w:szCs w:val="32"/>
        </w:rPr>
      </w:pPr>
      <w:r w:rsidRPr="004D451D">
        <w:rPr>
          <w:rFonts w:ascii="Arial" w:eastAsia="標楷體" w:hAnsi="Arial" w:cs="Arial"/>
          <w:sz w:val="32"/>
          <w:szCs w:val="32"/>
        </w:rPr>
        <w:br w:type="page"/>
      </w:r>
      <w:r w:rsidR="00FF42D3" w:rsidRPr="004D451D">
        <w:rPr>
          <w:rFonts w:eastAsia="標楷體"/>
          <w:b/>
          <w:sz w:val="32"/>
          <w:szCs w:val="32"/>
        </w:rPr>
        <w:t>【附表</w:t>
      </w:r>
      <w:r w:rsidR="00C16270" w:rsidRPr="004D451D">
        <w:rPr>
          <w:rFonts w:eastAsia="標楷體"/>
          <w:b/>
          <w:sz w:val="32"/>
          <w:szCs w:val="32"/>
        </w:rPr>
        <w:t>三十</w:t>
      </w:r>
      <w:r w:rsidR="00E92F86" w:rsidRPr="004D451D">
        <w:rPr>
          <w:rFonts w:eastAsia="標楷體" w:hint="eastAsia"/>
          <w:b/>
          <w:sz w:val="32"/>
          <w:szCs w:val="32"/>
        </w:rPr>
        <w:t>一</w:t>
      </w:r>
      <w:r w:rsidR="00FF42D3" w:rsidRPr="004D451D">
        <w:rPr>
          <w:rFonts w:eastAsia="標楷體"/>
          <w:b/>
          <w:sz w:val="32"/>
          <w:szCs w:val="32"/>
        </w:rPr>
        <w:t>】</w:t>
      </w:r>
    </w:p>
    <w:p w:rsidR="00FF42D3" w:rsidRPr="004D451D" w:rsidRDefault="001874C1" w:rsidP="006B60F6">
      <w:pPr>
        <w:jc w:val="center"/>
        <w:rPr>
          <w:rFonts w:eastAsia="標楷體"/>
          <w:b/>
          <w:bCs/>
          <w:sz w:val="32"/>
          <w:szCs w:val="32"/>
        </w:rPr>
      </w:pPr>
      <w:r w:rsidRPr="004D451D">
        <w:rPr>
          <w:rFonts w:eastAsia="標楷體"/>
          <w:b/>
          <w:bCs/>
          <w:sz w:val="32"/>
          <w:szCs w:val="32"/>
        </w:rPr>
        <w:t>依暴險類型</w:t>
      </w:r>
      <w:r w:rsidR="00541BB8" w:rsidRPr="004D451D">
        <w:rPr>
          <w:rFonts w:eastAsia="標楷體"/>
          <w:b/>
          <w:bCs/>
          <w:sz w:val="32"/>
          <w:szCs w:val="32"/>
        </w:rPr>
        <w:t>與違約機率分類之交易對手</w:t>
      </w:r>
      <w:r w:rsidR="00FF42D3" w:rsidRPr="004D451D">
        <w:rPr>
          <w:rFonts w:eastAsia="標楷體"/>
          <w:b/>
          <w:bCs/>
          <w:sz w:val="32"/>
          <w:szCs w:val="32"/>
        </w:rPr>
        <w:t>信用風險暴險</w:t>
      </w:r>
      <w:r w:rsidR="00F3145A" w:rsidRPr="004D451D">
        <w:rPr>
          <w:rFonts w:hint="eastAsia"/>
          <w:b/>
        </w:rPr>
        <w:t>─</w:t>
      </w:r>
      <w:r w:rsidR="00F3145A" w:rsidRPr="004D451D">
        <w:rPr>
          <w:rFonts w:eastAsia="標楷體"/>
          <w:b/>
          <w:bCs/>
          <w:sz w:val="32"/>
          <w:szCs w:val="32"/>
        </w:rPr>
        <w:t>內部評等法</w:t>
      </w:r>
      <w:r w:rsidR="00F3145A" w:rsidRPr="004D451D">
        <w:rPr>
          <w:rFonts w:eastAsia="標楷體"/>
          <w:b/>
          <w:bCs/>
          <w:sz w:val="32"/>
          <w:szCs w:val="32"/>
        </w:rPr>
        <w:t>(IRB)</w:t>
      </w:r>
      <w:r w:rsidR="0072558C" w:rsidRPr="004D451D">
        <w:rPr>
          <w:rFonts w:eastAsia="標楷體" w:hint="eastAsia"/>
          <w:b/>
          <w:bCs/>
          <w:sz w:val="32"/>
          <w:szCs w:val="32"/>
        </w:rPr>
        <w:t xml:space="preserve"> -</w:t>
      </w:r>
      <w:r w:rsidR="0072558C" w:rsidRPr="004D451D">
        <w:rPr>
          <w:rFonts w:eastAsia="標楷體" w:hint="eastAsia"/>
          <w:b/>
          <w:bCs/>
          <w:sz w:val="32"/>
          <w:szCs w:val="32"/>
        </w:rPr>
        <w:t>不適用</w:t>
      </w:r>
    </w:p>
    <w:p w:rsidR="00101950" w:rsidRPr="004D451D" w:rsidRDefault="0072558C" w:rsidP="00101950">
      <w:pPr>
        <w:wordWrap w:val="0"/>
        <w:jc w:val="right"/>
        <w:rPr>
          <w:rFonts w:eastAsia="標楷體"/>
          <w:bCs/>
        </w:rPr>
      </w:pPr>
      <w:r w:rsidRPr="004D451D">
        <w:rPr>
          <w:rFonts w:eastAsia="標楷體" w:hint="eastAsia"/>
          <w:bCs/>
          <w:sz w:val="32"/>
          <w:szCs w:val="32"/>
        </w:rPr>
        <w:t>10</w:t>
      </w:r>
      <w:r w:rsidR="00860B42" w:rsidRPr="004D451D">
        <w:rPr>
          <w:rFonts w:eastAsia="標楷體" w:hint="eastAsia"/>
          <w:bCs/>
          <w:sz w:val="32"/>
          <w:szCs w:val="32"/>
        </w:rPr>
        <w:t>7</w:t>
      </w:r>
      <w:r w:rsidR="00101950" w:rsidRPr="004D451D">
        <w:rPr>
          <w:rFonts w:eastAsia="標楷體"/>
          <w:bCs/>
          <w:sz w:val="32"/>
          <w:szCs w:val="32"/>
        </w:rPr>
        <w:t>年</w:t>
      </w:r>
      <w:r w:rsidR="00860B42" w:rsidRPr="004D451D">
        <w:rPr>
          <w:rFonts w:eastAsia="標楷體" w:hint="eastAsia"/>
          <w:bCs/>
          <w:sz w:val="32"/>
          <w:szCs w:val="32"/>
        </w:rPr>
        <w:t>06</w:t>
      </w:r>
      <w:r w:rsidR="00101950" w:rsidRPr="004D451D">
        <w:rPr>
          <w:rFonts w:eastAsia="標楷體"/>
          <w:bCs/>
          <w:sz w:val="32"/>
          <w:szCs w:val="32"/>
        </w:rPr>
        <w:t>月</w:t>
      </w:r>
      <w:r w:rsidRPr="004D451D">
        <w:rPr>
          <w:rFonts w:eastAsia="標楷體" w:hint="eastAsia"/>
          <w:bCs/>
          <w:sz w:val="32"/>
          <w:szCs w:val="32"/>
        </w:rPr>
        <w:t>3</w:t>
      </w:r>
      <w:r w:rsidR="00860B42" w:rsidRPr="004D451D">
        <w:rPr>
          <w:rFonts w:eastAsia="標楷體" w:hint="eastAsia"/>
          <w:bCs/>
          <w:sz w:val="32"/>
          <w:szCs w:val="32"/>
        </w:rPr>
        <w:t>0</w:t>
      </w:r>
      <w:r w:rsidR="00101950" w:rsidRPr="004D451D">
        <w:rPr>
          <w:rFonts w:eastAsia="標楷體"/>
          <w:bCs/>
          <w:sz w:val="32"/>
          <w:szCs w:val="32"/>
        </w:rPr>
        <w:t>日</w:t>
      </w:r>
      <w:r w:rsidR="006B60F6" w:rsidRPr="004D451D">
        <w:rPr>
          <w:rFonts w:eastAsia="標楷體" w:hint="eastAsia"/>
          <w:bCs/>
          <w:sz w:val="32"/>
          <w:szCs w:val="32"/>
        </w:rPr>
        <w:t xml:space="preserve">　　　　　　　　　　　</w:t>
      </w:r>
      <w:r w:rsidR="00D82B93" w:rsidRPr="004D451D">
        <w:rPr>
          <w:rFonts w:eastAsia="標楷體" w:hint="eastAsia"/>
          <w:bCs/>
          <w:szCs w:val="32"/>
        </w:rPr>
        <w:t>（</w:t>
      </w:r>
      <w:r w:rsidR="00101950" w:rsidRPr="004D451D">
        <w:rPr>
          <w:rFonts w:eastAsia="標楷體"/>
          <w:bCs/>
        </w:rPr>
        <w:t>單位</w:t>
      </w:r>
      <w:r w:rsidR="008F2976" w:rsidRPr="004D451D">
        <w:rPr>
          <w:rFonts w:eastAsia="標楷體"/>
          <w:bCs/>
        </w:rPr>
        <w:t>：</w:t>
      </w:r>
      <w:r w:rsidR="00101950" w:rsidRPr="004D451D">
        <w:rPr>
          <w:rFonts w:eastAsia="標楷體"/>
          <w:bCs/>
        </w:rPr>
        <w:t>新臺幣千元</w:t>
      </w:r>
      <w:r w:rsidR="008F2976" w:rsidRPr="004D451D">
        <w:rPr>
          <w:rFonts w:eastAsia="標楷體"/>
          <w:bCs/>
        </w:rPr>
        <w:t>；</w:t>
      </w:r>
      <w:r w:rsidR="00101950" w:rsidRPr="004D451D">
        <w:rPr>
          <w:rFonts w:eastAsia="標楷體"/>
          <w:bCs/>
        </w:rPr>
        <w:t>%</w:t>
      </w:r>
      <w:r w:rsidR="00D82B93" w:rsidRPr="004D451D">
        <w:rPr>
          <w:rFonts w:eastAsia="標楷體" w:hint="eastAsia"/>
          <w:bCs/>
        </w:rPr>
        <w:t>）</w:t>
      </w:r>
    </w:p>
    <w:tbl>
      <w:tblPr>
        <w:tblW w:w="0" w:type="auto"/>
        <w:jc w:val="center"/>
        <w:tblInd w:w="-3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341"/>
        <w:gridCol w:w="2507"/>
        <w:gridCol w:w="1559"/>
        <w:gridCol w:w="1462"/>
        <w:gridCol w:w="1559"/>
        <w:gridCol w:w="1559"/>
        <w:gridCol w:w="1560"/>
        <w:gridCol w:w="1617"/>
      </w:tblGrid>
      <w:tr w:rsidR="004D451D" w:rsidRPr="004D451D" w:rsidTr="006B60F6">
        <w:trPr>
          <w:jc w:val="center"/>
        </w:trPr>
        <w:tc>
          <w:tcPr>
            <w:tcW w:w="2893" w:type="dxa"/>
            <w:gridSpan w:val="2"/>
            <w:shd w:val="clear" w:color="auto" w:fill="auto"/>
            <w:vAlign w:val="center"/>
          </w:tcPr>
          <w:p w:rsidR="008F2976" w:rsidRPr="004D451D" w:rsidRDefault="008F2976" w:rsidP="008F2976">
            <w:pPr>
              <w:spacing w:line="360" w:lineRule="auto"/>
              <w:jc w:val="center"/>
              <w:rPr>
                <w:rFonts w:eastAsia="標楷體"/>
              </w:rPr>
            </w:pPr>
            <w:r w:rsidRPr="004D451D">
              <w:rPr>
                <w:rFonts w:eastAsia="標楷體" w:hint="eastAsia"/>
              </w:rPr>
              <w:t>違約機率</w:t>
            </w:r>
            <w:r w:rsidRPr="004D451D">
              <w:rPr>
                <w:rFonts w:eastAsia="標楷體" w:hint="eastAsia"/>
              </w:rPr>
              <w:t>(PD)</w:t>
            </w:r>
            <w:r w:rsidRPr="004D451D">
              <w:rPr>
                <w:rFonts w:eastAsia="標楷體" w:hint="eastAsia"/>
              </w:rPr>
              <w:t>分級</w:t>
            </w:r>
          </w:p>
        </w:tc>
        <w:tc>
          <w:tcPr>
            <w:tcW w:w="2507" w:type="dxa"/>
            <w:shd w:val="clear" w:color="auto" w:fill="auto"/>
          </w:tcPr>
          <w:p w:rsidR="008F2976" w:rsidRPr="004D451D" w:rsidRDefault="008F2976" w:rsidP="008F2976">
            <w:pPr>
              <w:spacing w:line="240" w:lineRule="atLeast"/>
              <w:rPr>
                <w:rFonts w:eastAsia="標楷體"/>
              </w:rPr>
            </w:pPr>
            <w:r w:rsidRPr="004D451D">
              <w:rPr>
                <w:rFonts w:eastAsia="標楷體"/>
              </w:rPr>
              <w:t>考慮信用風險抵減後之違約暴險額</w:t>
            </w:r>
          </w:p>
        </w:tc>
        <w:tc>
          <w:tcPr>
            <w:tcW w:w="1559" w:type="dxa"/>
            <w:shd w:val="clear" w:color="auto" w:fill="auto"/>
          </w:tcPr>
          <w:p w:rsidR="008F2976" w:rsidRPr="004D451D" w:rsidRDefault="008F2976" w:rsidP="008F2976">
            <w:pPr>
              <w:spacing w:line="240" w:lineRule="atLeast"/>
              <w:rPr>
                <w:rFonts w:eastAsia="標楷體"/>
              </w:rPr>
            </w:pPr>
            <w:r w:rsidRPr="004D451D">
              <w:rPr>
                <w:rFonts w:eastAsia="標楷體"/>
              </w:rPr>
              <w:t>平均違約機率</w:t>
            </w:r>
          </w:p>
        </w:tc>
        <w:tc>
          <w:tcPr>
            <w:tcW w:w="1462" w:type="dxa"/>
            <w:shd w:val="clear" w:color="auto" w:fill="auto"/>
          </w:tcPr>
          <w:p w:rsidR="008F2976" w:rsidRPr="004D451D" w:rsidRDefault="008F2976" w:rsidP="008F2976">
            <w:pPr>
              <w:spacing w:line="240" w:lineRule="atLeast"/>
              <w:rPr>
                <w:rFonts w:eastAsia="標楷體"/>
              </w:rPr>
            </w:pPr>
            <w:r w:rsidRPr="004D451D">
              <w:rPr>
                <w:rFonts w:eastAsia="標楷體"/>
              </w:rPr>
              <w:t>借款人人數</w:t>
            </w:r>
          </w:p>
        </w:tc>
        <w:tc>
          <w:tcPr>
            <w:tcW w:w="1559" w:type="dxa"/>
            <w:shd w:val="clear" w:color="auto" w:fill="auto"/>
          </w:tcPr>
          <w:p w:rsidR="008F2976" w:rsidRPr="004D451D" w:rsidRDefault="008F2976" w:rsidP="008F2976">
            <w:pPr>
              <w:spacing w:line="240" w:lineRule="atLeast"/>
              <w:rPr>
                <w:rFonts w:eastAsia="標楷體"/>
              </w:rPr>
            </w:pPr>
            <w:r w:rsidRPr="004D451D">
              <w:rPr>
                <w:rFonts w:eastAsia="標楷體"/>
              </w:rPr>
              <w:t>平均違約損失率</w:t>
            </w:r>
          </w:p>
        </w:tc>
        <w:tc>
          <w:tcPr>
            <w:tcW w:w="1559" w:type="dxa"/>
            <w:shd w:val="clear" w:color="auto" w:fill="auto"/>
          </w:tcPr>
          <w:p w:rsidR="008F2976" w:rsidRPr="004D451D" w:rsidRDefault="008F2976" w:rsidP="008F2976">
            <w:pPr>
              <w:spacing w:line="240" w:lineRule="atLeast"/>
              <w:rPr>
                <w:rFonts w:eastAsia="標楷體"/>
              </w:rPr>
            </w:pPr>
            <w:r w:rsidRPr="004D451D">
              <w:rPr>
                <w:rFonts w:eastAsia="標楷體"/>
              </w:rPr>
              <w:t>平均到期期間</w:t>
            </w:r>
          </w:p>
        </w:tc>
        <w:tc>
          <w:tcPr>
            <w:tcW w:w="1560" w:type="dxa"/>
            <w:shd w:val="clear" w:color="auto" w:fill="auto"/>
          </w:tcPr>
          <w:p w:rsidR="008F2976" w:rsidRPr="004D451D" w:rsidRDefault="008F2976" w:rsidP="008F2976">
            <w:pPr>
              <w:spacing w:line="240" w:lineRule="atLeast"/>
              <w:rPr>
                <w:rFonts w:eastAsia="標楷體"/>
              </w:rPr>
            </w:pPr>
            <w:r w:rsidRPr="004D451D">
              <w:rPr>
                <w:rFonts w:eastAsia="標楷體"/>
              </w:rPr>
              <w:t>風險性資產</w:t>
            </w:r>
          </w:p>
        </w:tc>
        <w:tc>
          <w:tcPr>
            <w:tcW w:w="1617" w:type="dxa"/>
            <w:shd w:val="clear" w:color="auto" w:fill="auto"/>
          </w:tcPr>
          <w:p w:rsidR="008F2976" w:rsidRPr="004D451D" w:rsidRDefault="008F2976" w:rsidP="008F2976">
            <w:pPr>
              <w:spacing w:line="240" w:lineRule="atLeast"/>
              <w:rPr>
                <w:rFonts w:eastAsia="標楷體"/>
              </w:rPr>
            </w:pPr>
            <w:r w:rsidRPr="004D451D">
              <w:rPr>
                <w:rFonts w:eastAsia="標楷體"/>
              </w:rPr>
              <w:t>平均風險權數</w:t>
            </w:r>
          </w:p>
        </w:tc>
      </w:tr>
      <w:tr w:rsidR="004D451D" w:rsidRPr="004D451D" w:rsidTr="006B60F6">
        <w:trPr>
          <w:jc w:val="center"/>
        </w:trPr>
        <w:tc>
          <w:tcPr>
            <w:tcW w:w="552" w:type="dxa"/>
            <w:vMerge w:val="restart"/>
            <w:shd w:val="clear" w:color="auto" w:fill="auto"/>
            <w:vAlign w:val="center"/>
          </w:tcPr>
          <w:p w:rsidR="00101950" w:rsidRPr="004D451D" w:rsidRDefault="00101950" w:rsidP="008F2976">
            <w:pPr>
              <w:spacing w:line="360" w:lineRule="auto"/>
              <w:jc w:val="center"/>
              <w:rPr>
                <w:rFonts w:eastAsia="標楷體"/>
              </w:rPr>
            </w:pPr>
            <w:r w:rsidRPr="004D451D">
              <w:rPr>
                <w:rFonts w:eastAsia="標楷體"/>
              </w:rPr>
              <w:t>暴險類型</w:t>
            </w:r>
            <w:r w:rsidRPr="004D451D">
              <w:rPr>
                <w:rFonts w:eastAsia="標楷體"/>
              </w:rPr>
              <w:t>X</w:t>
            </w: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0.00</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0.15</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0.15</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0.25</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0.25</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0.50</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0.50</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0.75</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0.75</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2.50</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2.50</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10.00</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10.00</w:t>
            </w:r>
            <w:r w:rsidR="008F2976" w:rsidRPr="004D451D">
              <w:rPr>
                <w:rFonts w:ascii="標楷體" w:eastAsia="標楷體" w:hAnsi="標楷體" w:hint="eastAsia"/>
              </w:rPr>
              <w:t>≦</w:t>
            </w:r>
            <w:r w:rsidR="008F2976" w:rsidRPr="004D451D">
              <w:rPr>
                <w:rFonts w:eastAsia="標楷體" w:hint="eastAsia"/>
              </w:rPr>
              <w:t>PD</w:t>
            </w:r>
            <w:r w:rsidR="008F2976" w:rsidRPr="004D451D">
              <w:rPr>
                <w:rFonts w:eastAsia="標楷體" w:hint="eastAsia"/>
              </w:rPr>
              <w:t>＜</w:t>
            </w:r>
            <w:r w:rsidRPr="004D451D">
              <w:rPr>
                <w:rFonts w:eastAsia="標楷體"/>
              </w:rPr>
              <w:t>100.00</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100.00(</w:t>
            </w:r>
            <w:r w:rsidRPr="004D451D">
              <w:rPr>
                <w:rFonts w:eastAsia="標楷體"/>
              </w:rPr>
              <w:t>違約</w:t>
            </w:r>
            <w:r w:rsidRPr="004D451D">
              <w:rPr>
                <w:rFonts w:eastAsia="標楷體"/>
              </w:rPr>
              <w:t>)</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552" w:type="dxa"/>
            <w:vMerge/>
            <w:shd w:val="clear" w:color="auto" w:fill="auto"/>
          </w:tcPr>
          <w:p w:rsidR="00101950" w:rsidRPr="004D451D" w:rsidRDefault="00101950" w:rsidP="008E431D">
            <w:pPr>
              <w:spacing w:line="360" w:lineRule="auto"/>
              <w:rPr>
                <w:rFonts w:eastAsia="標楷體"/>
              </w:rPr>
            </w:pPr>
          </w:p>
        </w:tc>
        <w:tc>
          <w:tcPr>
            <w:tcW w:w="2341" w:type="dxa"/>
            <w:shd w:val="clear" w:color="auto" w:fill="auto"/>
            <w:vAlign w:val="center"/>
          </w:tcPr>
          <w:p w:rsidR="00101950" w:rsidRPr="004D451D" w:rsidRDefault="00101950" w:rsidP="008F2976">
            <w:pPr>
              <w:spacing w:line="360" w:lineRule="auto"/>
              <w:jc w:val="both"/>
              <w:rPr>
                <w:rFonts w:eastAsia="標楷體"/>
              </w:rPr>
            </w:pPr>
            <w:r w:rsidRPr="004D451D">
              <w:rPr>
                <w:rFonts w:eastAsia="標楷體"/>
              </w:rPr>
              <w:t>小計</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jc w:val="center"/>
        </w:trPr>
        <w:tc>
          <w:tcPr>
            <w:tcW w:w="2893" w:type="dxa"/>
            <w:gridSpan w:val="2"/>
            <w:shd w:val="clear" w:color="auto" w:fill="auto"/>
          </w:tcPr>
          <w:p w:rsidR="00101950" w:rsidRPr="004D451D" w:rsidRDefault="00101950" w:rsidP="008E431D">
            <w:pPr>
              <w:spacing w:line="360" w:lineRule="auto"/>
              <w:rPr>
                <w:rFonts w:eastAsia="標楷體"/>
              </w:rPr>
            </w:pPr>
            <w:r w:rsidRPr="004D451D">
              <w:rPr>
                <w:rFonts w:eastAsia="標楷體"/>
              </w:rPr>
              <w:t>總計</w:t>
            </w:r>
            <w:r w:rsidRPr="004D451D">
              <w:rPr>
                <w:rFonts w:eastAsia="標楷體"/>
              </w:rPr>
              <w:t>(</w:t>
            </w:r>
            <w:r w:rsidRPr="004D451D">
              <w:rPr>
                <w:rFonts w:eastAsia="標楷體"/>
              </w:rPr>
              <w:t>全部暴險類型</w:t>
            </w:r>
            <w:r w:rsidRPr="004D451D">
              <w:rPr>
                <w:rFonts w:eastAsia="標楷體"/>
              </w:rPr>
              <w:t>)</w:t>
            </w:r>
          </w:p>
        </w:tc>
        <w:tc>
          <w:tcPr>
            <w:tcW w:w="2507"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462"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59" w:type="dxa"/>
            <w:shd w:val="clear" w:color="auto" w:fill="auto"/>
          </w:tcPr>
          <w:p w:rsidR="00101950" w:rsidRPr="004D451D" w:rsidRDefault="00101950" w:rsidP="008E431D">
            <w:pPr>
              <w:spacing w:line="360" w:lineRule="auto"/>
              <w:rPr>
                <w:rFonts w:eastAsia="標楷體"/>
              </w:rPr>
            </w:pPr>
          </w:p>
        </w:tc>
        <w:tc>
          <w:tcPr>
            <w:tcW w:w="1560" w:type="dxa"/>
            <w:shd w:val="clear" w:color="auto" w:fill="auto"/>
          </w:tcPr>
          <w:p w:rsidR="00101950" w:rsidRPr="004D451D" w:rsidRDefault="00101950" w:rsidP="008E431D">
            <w:pPr>
              <w:spacing w:line="360" w:lineRule="auto"/>
              <w:rPr>
                <w:rFonts w:eastAsia="標楷體"/>
              </w:rPr>
            </w:pPr>
          </w:p>
        </w:tc>
        <w:tc>
          <w:tcPr>
            <w:tcW w:w="1617" w:type="dxa"/>
            <w:shd w:val="clear" w:color="auto" w:fill="auto"/>
          </w:tcPr>
          <w:p w:rsidR="00101950" w:rsidRPr="004D451D" w:rsidRDefault="00101950" w:rsidP="008E431D">
            <w:pPr>
              <w:spacing w:line="360" w:lineRule="auto"/>
              <w:rPr>
                <w:rFonts w:eastAsia="標楷體"/>
              </w:rPr>
            </w:pPr>
          </w:p>
        </w:tc>
      </w:tr>
      <w:tr w:rsidR="004D451D" w:rsidRPr="004D451D" w:rsidTr="006B60F6">
        <w:trPr>
          <w:trHeight w:val="676"/>
          <w:jc w:val="center"/>
        </w:trPr>
        <w:tc>
          <w:tcPr>
            <w:tcW w:w="14716" w:type="dxa"/>
            <w:gridSpan w:val="9"/>
            <w:shd w:val="clear" w:color="auto" w:fill="auto"/>
          </w:tcPr>
          <w:p w:rsidR="00101950" w:rsidRPr="004D451D" w:rsidRDefault="00101950" w:rsidP="008E431D">
            <w:pPr>
              <w:spacing w:line="360" w:lineRule="auto"/>
              <w:rPr>
                <w:rFonts w:eastAsia="標楷體"/>
              </w:rPr>
            </w:pPr>
            <w:r w:rsidRPr="004D451D">
              <w:rPr>
                <w:rFonts w:eastAsia="標楷體"/>
                <w:bCs/>
              </w:rPr>
              <w:t>重大變動原因及說明</w:t>
            </w:r>
            <w:r w:rsidR="006B60F6" w:rsidRPr="004D451D">
              <w:rPr>
                <w:rFonts w:eastAsia="標楷體" w:hint="eastAsia"/>
                <w:bCs/>
              </w:rPr>
              <w:t>：</w:t>
            </w:r>
          </w:p>
        </w:tc>
      </w:tr>
    </w:tbl>
    <w:p w:rsidR="006B60F6" w:rsidRPr="004D451D" w:rsidRDefault="006B60F6" w:rsidP="006B60F6">
      <w:pPr>
        <w:spacing w:line="240" w:lineRule="atLeast"/>
        <w:rPr>
          <w:rFonts w:eastAsia="標楷體"/>
          <w:b/>
          <w:kern w:val="0"/>
        </w:rPr>
      </w:pPr>
    </w:p>
    <w:p w:rsidR="005E38F1" w:rsidRPr="004D451D" w:rsidRDefault="005E38F1" w:rsidP="006B60F6">
      <w:pPr>
        <w:spacing w:line="240" w:lineRule="atLeast"/>
        <w:rPr>
          <w:rFonts w:eastAsia="標楷體"/>
          <w:b/>
          <w:kern w:val="0"/>
        </w:rPr>
      </w:pPr>
      <w:r w:rsidRPr="004D451D">
        <w:rPr>
          <w:rFonts w:eastAsia="標楷體"/>
          <w:b/>
          <w:kern w:val="0"/>
        </w:rPr>
        <w:t>填表說明：</w:t>
      </w:r>
    </w:p>
    <w:p w:rsidR="005E38F1" w:rsidRPr="004D451D" w:rsidRDefault="005E38F1" w:rsidP="00EF4134">
      <w:pPr>
        <w:numPr>
          <w:ilvl w:val="0"/>
          <w:numId w:val="55"/>
        </w:numPr>
        <w:spacing w:line="240" w:lineRule="atLeast"/>
        <w:ind w:leftChars="150" w:left="720" w:hangingChars="150"/>
        <w:jc w:val="both"/>
        <w:rPr>
          <w:rFonts w:eastAsia="標楷體"/>
        </w:rPr>
      </w:pPr>
      <w:r w:rsidRPr="004D451D">
        <w:rPr>
          <w:rFonts w:eastAsia="標楷體"/>
        </w:rPr>
        <w:t>本表更新頻率：半年。</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本表採個體基礎填報。</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暴險類型</w:t>
      </w:r>
      <w:r w:rsidRPr="004D451D">
        <w:rPr>
          <w:rFonts w:eastAsia="標楷體"/>
        </w:rPr>
        <w:t>X</w:t>
      </w:r>
      <w:r w:rsidRPr="004D451D">
        <w:rPr>
          <w:rFonts w:eastAsia="標楷體"/>
        </w:rPr>
        <w:t>針對基礎內部評等法包含下列各暴險類型</w:t>
      </w:r>
      <w:r w:rsidRPr="004D451D">
        <w:rPr>
          <w:rFonts w:eastAsia="標楷體" w:hint="eastAsia"/>
        </w:rPr>
        <w:t>：</w:t>
      </w:r>
      <w:r w:rsidRPr="004D451D">
        <w:rPr>
          <w:rFonts w:eastAsia="標楷體"/>
        </w:rPr>
        <w:t>(i)</w:t>
      </w:r>
      <w:r w:rsidRPr="004D451D">
        <w:rPr>
          <w:rFonts w:eastAsia="標楷體"/>
        </w:rPr>
        <w:t>主權國家</w:t>
      </w:r>
      <w:r w:rsidRPr="004D451D">
        <w:rPr>
          <w:rFonts w:eastAsia="標楷體" w:hint="eastAsia"/>
        </w:rPr>
        <w:t>；</w:t>
      </w:r>
      <w:r w:rsidRPr="004D451D">
        <w:rPr>
          <w:rFonts w:eastAsia="標楷體"/>
        </w:rPr>
        <w:t>(ii)</w:t>
      </w:r>
      <w:r w:rsidRPr="004D451D">
        <w:rPr>
          <w:rFonts w:eastAsia="標楷體"/>
        </w:rPr>
        <w:t>銀行</w:t>
      </w:r>
      <w:r w:rsidRPr="004D451D">
        <w:rPr>
          <w:rFonts w:eastAsia="標楷體" w:hint="eastAsia"/>
        </w:rPr>
        <w:t>；</w:t>
      </w:r>
      <w:r w:rsidRPr="004D451D">
        <w:rPr>
          <w:rFonts w:eastAsia="標楷體"/>
        </w:rPr>
        <w:t>(iii)</w:t>
      </w:r>
      <w:r w:rsidRPr="004D451D">
        <w:rPr>
          <w:rFonts w:eastAsia="標楷體"/>
        </w:rPr>
        <w:t>企業</w:t>
      </w:r>
      <w:r w:rsidRPr="004D451D">
        <w:rPr>
          <w:rFonts w:eastAsia="標楷體" w:hint="eastAsia"/>
        </w:rPr>
        <w:t>；</w:t>
      </w:r>
      <w:r w:rsidRPr="004D451D">
        <w:rPr>
          <w:rFonts w:eastAsia="標楷體"/>
        </w:rPr>
        <w:t>而針對進階內部評等法包含下列各暴險類型</w:t>
      </w:r>
      <w:r w:rsidRPr="004D451D">
        <w:rPr>
          <w:rFonts w:eastAsia="標楷體" w:hint="eastAsia"/>
        </w:rPr>
        <w:t>：</w:t>
      </w:r>
      <w:r w:rsidRPr="004D451D">
        <w:rPr>
          <w:rFonts w:eastAsia="標楷體"/>
        </w:rPr>
        <w:t>(i)</w:t>
      </w:r>
      <w:r w:rsidRPr="004D451D">
        <w:rPr>
          <w:rFonts w:eastAsia="標楷體"/>
        </w:rPr>
        <w:t>主權國家</w:t>
      </w:r>
      <w:r w:rsidRPr="004D451D">
        <w:rPr>
          <w:rFonts w:eastAsia="標楷體" w:hint="eastAsia"/>
        </w:rPr>
        <w:t>；</w:t>
      </w:r>
      <w:r w:rsidRPr="004D451D">
        <w:rPr>
          <w:rFonts w:eastAsia="標楷體"/>
        </w:rPr>
        <w:t>(ii)</w:t>
      </w:r>
      <w:r w:rsidRPr="004D451D">
        <w:rPr>
          <w:rFonts w:eastAsia="標楷體"/>
        </w:rPr>
        <w:t>銀行</w:t>
      </w:r>
      <w:r w:rsidRPr="004D451D">
        <w:rPr>
          <w:rFonts w:eastAsia="標楷體" w:hint="eastAsia"/>
        </w:rPr>
        <w:t>；</w:t>
      </w:r>
      <w:r w:rsidRPr="004D451D">
        <w:rPr>
          <w:rFonts w:eastAsia="標楷體"/>
        </w:rPr>
        <w:t>(iii)</w:t>
      </w:r>
      <w:r w:rsidRPr="004D451D">
        <w:rPr>
          <w:rFonts w:eastAsia="標楷體"/>
        </w:rPr>
        <w:t>企業。分別使用進階內部評等法或基礎內部評等法的暴險類型應區分兩張表格填報。</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違約</w:t>
      </w:r>
      <w:r w:rsidRPr="004D451D">
        <w:rPr>
          <w:rFonts w:eastAsia="標楷體" w:hint="eastAsia"/>
        </w:rPr>
        <w:t>：</w:t>
      </w:r>
      <w:r w:rsidRPr="004D451D">
        <w:rPr>
          <w:rFonts w:eastAsia="標楷體"/>
        </w:rPr>
        <w:t>違約暴險資料可依據主管機關針對違約暴險種類之定義加以細分。</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違約機率分級：暴險必須依據本表中違約機率之分級進行細分，而非以銀行在計算風險性資產時之違約機率分級進行細分。銀行必須將計算風險性資產時之違約機率分級對應至本表中違約機率之分級。</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考慮信用風險抵減後之違約暴險額</w:t>
      </w:r>
      <w:r w:rsidRPr="004D451D">
        <w:rPr>
          <w:rFonts w:eastAsia="標楷體" w:hint="eastAsia"/>
        </w:rPr>
        <w:t>：</w:t>
      </w:r>
      <w:r w:rsidRPr="004D451D">
        <w:rPr>
          <w:rFonts w:eastAsia="標楷體"/>
        </w:rPr>
        <w:t>係指依資本計提計算規定，考慮信用風險抵減後之違約暴險額，惟信用風險抵減之效果須考慮：</w:t>
      </w:r>
    </w:p>
    <w:p w:rsidR="006B60F6" w:rsidRPr="004D451D" w:rsidRDefault="006B60F6" w:rsidP="00482E54">
      <w:pPr>
        <w:numPr>
          <w:ilvl w:val="0"/>
          <w:numId w:val="56"/>
        </w:numPr>
        <w:spacing w:line="240" w:lineRule="atLeast"/>
        <w:ind w:leftChars="250" w:left="1080" w:hangingChars="200" w:hanging="480"/>
        <w:jc w:val="both"/>
        <w:rPr>
          <w:rFonts w:eastAsia="標楷體"/>
        </w:rPr>
      </w:pPr>
      <w:r w:rsidRPr="004D451D">
        <w:rPr>
          <w:rFonts w:eastAsia="標楷體"/>
        </w:rPr>
        <w:t>依「</w:t>
      </w:r>
      <w:r w:rsidRPr="004D451D">
        <w:rPr>
          <w:rFonts w:eastAsia="標楷體"/>
        </w:rPr>
        <w:t>IFRS 13</w:t>
      </w:r>
      <w:r w:rsidRPr="004D451D">
        <w:rPr>
          <w:rFonts w:eastAsia="標楷體"/>
        </w:rPr>
        <w:t>公允價值衡量」相關規定調整之貸方評價調整。</w:t>
      </w:r>
    </w:p>
    <w:p w:rsidR="006B60F6" w:rsidRPr="004D451D" w:rsidRDefault="006B60F6" w:rsidP="00482E54">
      <w:pPr>
        <w:numPr>
          <w:ilvl w:val="0"/>
          <w:numId w:val="56"/>
        </w:numPr>
        <w:spacing w:line="240" w:lineRule="atLeast"/>
        <w:ind w:leftChars="250" w:left="1080" w:hangingChars="200" w:hanging="480"/>
        <w:jc w:val="both"/>
        <w:rPr>
          <w:rFonts w:eastAsia="標楷體"/>
        </w:rPr>
      </w:pPr>
      <w:r w:rsidRPr="004D451D">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借款人人數</w:t>
      </w:r>
      <w:r w:rsidRPr="004D451D">
        <w:rPr>
          <w:rFonts w:eastAsia="標楷體" w:hint="eastAsia"/>
        </w:rPr>
        <w:t>：</w:t>
      </w:r>
      <w:r w:rsidRPr="004D451D">
        <w:rPr>
          <w:rFonts w:eastAsia="標楷體"/>
        </w:rPr>
        <w:t>即個別違約機率分級區間內之借款人人數，可大約估計。</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平均違約機率</w:t>
      </w:r>
      <w:r w:rsidRPr="004D451D">
        <w:rPr>
          <w:rFonts w:eastAsia="標楷體" w:hint="eastAsia"/>
        </w:rPr>
        <w:t>：</w:t>
      </w:r>
      <w:r w:rsidRPr="004D451D">
        <w:rPr>
          <w:rFonts w:eastAsia="標楷體"/>
        </w:rPr>
        <w:t>依違約暴險額加權之借款人等級違約機率。</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平均違約損失率</w:t>
      </w:r>
      <w:r w:rsidRPr="004D451D">
        <w:rPr>
          <w:rFonts w:eastAsia="標楷體" w:hint="eastAsia"/>
        </w:rPr>
        <w:t>：</w:t>
      </w:r>
      <w:r w:rsidRPr="004D451D">
        <w:rPr>
          <w:rFonts w:eastAsia="標楷體"/>
        </w:rPr>
        <w:t>依違約暴險額加權之借款人等級違約損失率。違約損失率必須為考慮信用風險抵減效果的淨額。</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平均到期期間</w:t>
      </w:r>
      <w:r w:rsidRPr="004D451D">
        <w:rPr>
          <w:rFonts w:eastAsia="標楷體" w:hint="eastAsia"/>
        </w:rPr>
        <w:t>：</w:t>
      </w:r>
      <w:r w:rsidRPr="004D451D">
        <w:rPr>
          <w:rFonts w:eastAsia="標楷體"/>
        </w:rPr>
        <w:t>依違約暴險額加權之借款人年化到期期間。</w:t>
      </w:r>
    </w:p>
    <w:p w:rsidR="006B60F6" w:rsidRPr="004D451D" w:rsidRDefault="006B60F6" w:rsidP="00EF4134">
      <w:pPr>
        <w:numPr>
          <w:ilvl w:val="0"/>
          <w:numId w:val="55"/>
        </w:numPr>
        <w:spacing w:line="240" w:lineRule="atLeast"/>
        <w:ind w:leftChars="150" w:left="720" w:hangingChars="150"/>
        <w:jc w:val="both"/>
        <w:rPr>
          <w:rFonts w:eastAsia="標楷體"/>
        </w:rPr>
      </w:pPr>
      <w:r w:rsidRPr="004D451D">
        <w:rPr>
          <w:rFonts w:eastAsia="標楷體"/>
        </w:rPr>
        <w:t>平均風險權數</w:t>
      </w:r>
      <w:r w:rsidRPr="004D451D">
        <w:rPr>
          <w:rFonts w:eastAsia="標楷體" w:hint="eastAsia"/>
        </w:rPr>
        <w:t>：</w:t>
      </w:r>
      <w:r w:rsidRPr="004D451D">
        <w:rPr>
          <w:rFonts w:eastAsia="標楷體"/>
        </w:rPr>
        <w:t>風險性資產總額除以考慮信用風險抵減後之違約暴險額。</w:t>
      </w:r>
    </w:p>
    <w:p w:rsidR="00F87405" w:rsidRPr="004D451D" w:rsidRDefault="00F87405" w:rsidP="00356A4D">
      <w:pPr>
        <w:spacing w:line="360" w:lineRule="auto"/>
        <w:rPr>
          <w:rFonts w:eastAsia="標楷體"/>
        </w:rPr>
      </w:pPr>
    </w:p>
    <w:p w:rsidR="004916E5" w:rsidRPr="004D451D" w:rsidRDefault="004916E5" w:rsidP="00356A4D">
      <w:pPr>
        <w:spacing w:line="360" w:lineRule="auto"/>
        <w:rPr>
          <w:rFonts w:ascii="Arial" w:eastAsia="標楷體" w:hAnsi="Arial" w:cs="Arial"/>
        </w:rPr>
      </w:pPr>
    </w:p>
    <w:p w:rsidR="009B0574" w:rsidRPr="004D451D" w:rsidRDefault="009B0574" w:rsidP="00356A4D">
      <w:pPr>
        <w:spacing w:line="360" w:lineRule="auto"/>
        <w:rPr>
          <w:rFonts w:ascii="Arial" w:eastAsia="標楷體" w:hAnsi="Arial" w:cs="Arial"/>
        </w:rPr>
      </w:pPr>
    </w:p>
    <w:p w:rsidR="008F2976" w:rsidRPr="004D451D" w:rsidRDefault="008F2976" w:rsidP="00385B4E">
      <w:pPr>
        <w:widowControl/>
        <w:rPr>
          <w:rFonts w:ascii="Arial" w:eastAsia="標楷體" w:hAnsi="Arial" w:cs="Arial"/>
          <w:sz w:val="32"/>
          <w:szCs w:val="32"/>
        </w:rPr>
        <w:sectPr w:rsidR="008F2976" w:rsidRPr="004D451D" w:rsidSect="008F2976">
          <w:pgSz w:w="16838" w:h="11906" w:orient="landscape" w:code="9"/>
          <w:pgMar w:top="1440" w:right="1079" w:bottom="991" w:left="1440" w:header="851" w:footer="352" w:gutter="0"/>
          <w:cols w:space="425"/>
          <w:docGrid w:type="lines" w:linePitch="360"/>
        </w:sectPr>
      </w:pPr>
    </w:p>
    <w:p w:rsidR="00385B4E" w:rsidRPr="004D451D" w:rsidRDefault="00385B4E" w:rsidP="00385B4E">
      <w:pPr>
        <w:widowControl/>
        <w:rPr>
          <w:rFonts w:eastAsia="標楷體"/>
          <w:sz w:val="32"/>
          <w:szCs w:val="32"/>
        </w:rPr>
      </w:pPr>
      <w:r w:rsidRPr="004D451D">
        <w:rPr>
          <w:rFonts w:eastAsia="標楷體"/>
          <w:b/>
          <w:sz w:val="32"/>
          <w:szCs w:val="32"/>
        </w:rPr>
        <w:t>【附表三十</w:t>
      </w:r>
      <w:r w:rsidR="00E92F86" w:rsidRPr="004D451D">
        <w:rPr>
          <w:rFonts w:eastAsia="標楷體" w:hint="eastAsia"/>
          <w:b/>
          <w:sz w:val="32"/>
          <w:szCs w:val="32"/>
        </w:rPr>
        <w:t>二</w:t>
      </w:r>
      <w:r w:rsidRPr="004D451D">
        <w:rPr>
          <w:rFonts w:eastAsia="標楷體"/>
          <w:b/>
          <w:sz w:val="32"/>
          <w:szCs w:val="32"/>
        </w:rPr>
        <w:t>】</w:t>
      </w:r>
    </w:p>
    <w:p w:rsidR="00385B4E" w:rsidRPr="004D451D" w:rsidRDefault="00385B4E" w:rsidP="00385B4E">
      <w:pPr>
        <w:jc w:val="center"/>
        <w:rPr>
          <w:rFonts w:eastAsia="標楷體"/>
          <w:b/>
          <w:bCs/>
          <w:sz w:val="32"/>
          <w:szCs w:val="32"/>
        </w:rPr>
      </w:pPr>
      <w:r w:rsidRPr="004D451D">
        <w:rPr>
          <w:rFonts w:eastAsia="標楷體"/>
          <w:b/>
          <w:bCs/>
          <w:sz w:val="32"/>
          <w:szCs w:val="32"/>
        </w:rPr>
        <w:t>交易對手信用風險暴險之擔保品組成</w:t>
      </w:r>
    </w:p>
    <w:p w:rsidR="00385B4E" w:rsidRPr="004D451D" w:rsidRDefault="00385B4E" w:rsidP="00385B4E">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311B1D" w:rsidRPr="004D451D">
        <w:rPr>
          <w:rFonts w:eastAsia="標楷體" w:hint="eastAsia"/>
          <w:bCs/>
          <w:sz w:val="32"/>
          <w:szCs w:val="32"/>
        </w:rPr>
        <w:t>10</w:t>
      </w:r>
      <w:r w:rsidR="00860B42" w:rsidRPr="004D451D">
        <w:rPr>
          <w:rFonts w:eastAsia="標楷體" w:hint="eastAsia"/>
          <w:bCs/>
          <w:sz w:val="32"/>
          <w:szCs w:val="32"/>
        </w:rPr>
        <w:t>7</w:t>
      </w:r>
      <w:r w:rsidRPr="004D451D">
        <w:rPr>
          <w:rFonts w:eastAsia="標楷體"/>
          <w:bCs/>
          <w:sz w:val="32"/>
          <w:szCs w:val="32"/>
        </w:rPr>
        <w:t>年</w:t>
      </w:r>
      <w:r w:rsidR="00860B42" w:rsidRPr="004D451D">
        <w:rPr>
          <w:rFonts w:eastAsia="標楷體" w:hint="eastAsia"/>
          <w:bCs/>
          <w:sz w:val="32"/>
          <w:szCs w:val="32"/>
        </w:rPr>
        <w:t>06</w:t>
      </w:r>
      <w:r w:rsidRPr="004D451D">
        <w:rPr>
          <w:rFonts w:eastAsia="標楷體"/>
          <w:bCs/>
          <w:sz w:val="32"/>
          <w:szCs w:val="32"/>
        </w:rPr>
        <w:t>月</w:t>
      </w:r>
      <w:r w:rsidR="00311B1D" w:rsidRPr="004D451D">
        <w:rPr>
          <w:rFonts w:eastAsia="標楷體" w:hint="eastAsia"/>
          <w:bCs/>
          <w:sz w:val="32"/>
          <w:szCs w:val="32"/>
        </w:rPr>
        <w:t>3</w:t>
      </w:r>
      <w:r w:rsidR="00860B42" w:rsidRPr="004D451D">
        <w:rPr>
          <w:rFonts w:eastAsia="標楷體" w:hint="eastAsia"/>
          <w:bCs/>
          <w:sz w:val="32"/>
          <w:szCs w:val="32"/>
        </w:rPr>
        <w:t>0</w:t>
      </w:r>
      <w:r w:rsidRPr="004D451D">
        <w:rPr>
          <w:rFonts w:eastAsia="標楷體"/>
          <w:bCs/>
          <w:sz w:val="32"/>
          <w:szCs w:val="32"/>
        </w:rPr>
        <w:t>日</w:t>
      </w:r>
      <w:r w:rsidRPr="004D451D">
        <w:rPr>
          <w:rFonts w:eastAsia="標楷體"/>
          <w:bCs/>
          <w:sz w:val="32"/>
          <w:szCs w:val="32"/>
        </w:rPr>
        <w:t xml:space="preserve"> </w:t>
      </w:r>
      <w:r w:rsidRPr="004D451D">
        <w:rPr>
          <w:rFonts w:eastAsia="標楷體"/>
          <w:b/>
          <w:bCs/>
          <w:sz w:val="32"/>
          <w:szCs w:val="32"/>
        </w:rPr>
        <w:t xml:space="preserve"> </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2F27D7" w:rsidRPr="004D451D">
        <w:rPr>
          <w:rFonts w:eastAsia="標楷體" w:hint="eastAsia"/>
          <w:bCs/>
        </w:rPr>
        <w:t>：</w:t>
      </w:r>
      <w:r w:rsidRPr="004D451D">
        <w:rPr>
          <w:rFonts w:eastAsia="標楷體"/>
          <w:bCs/>
        </w:rPr>
        <w:t>新臺幣千元</w:t>
      </w:r>
      <w:r w:rsidR="00D82B93" w:rsidRPr="004D451D">
        <w:rPr>
          <w:rFonts w:eastAsia="標楷體" w:hint="eastAsia"/>
          <w:bCs/>
        </w:rPr>
        <w:t>）</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46"/>
        <w:gridCol w:w="1347"/>
        <w:gridCol w:w="1347"/>
        <w:gridCol w:w="1347"/>
        <w:gridCol w:w="1630"/>
        <w:gridCol w:w="1630"/>
      </w:tblGrid>
      <w:tr w:rsidR="004D451D" w:rsidRPr="004D451D" w:rsidTr="002F27D7">
        <w:trPr>
          <w:trHeight w:val="386"/>
        </w:trPr>
        <w:tc>
          <w:tcPr>
            <w:tcW w:w="1843" w:type="dxa"/>
            <w:vMerge w:val="restart"/>
            <w:shd w:val="clear" w:color="auto" w:fill="auto"/>
            <w:vAlign w:val="center"/>
          </w:tcPr>
          <w:p w:rsidR="00EF5D4C" w:rsidRPr="004D451D" w:rsidRDefault="002F27D7" w:rsidP="002F27D7">
            <w:pPr>
              <w:spacing w:line="360" w:lineRule="auto"/>
              <w:jc w:val="center"/>
              <w:rPr>
                <w:rFonts w:eastAsia="標楷體"/>
              </w:rPr>
            </w:pPr>
            <w:r w:rsidRPr="004D451D">
              <w:rPr>
                <w:rFonts w:eastAsia="標楷體" w:hint="eastAsia"/>
              </w:rPr>
              <w:t>項目</w:t>
            </w:r>
          </w:p>
        </w:tc>
        <w:tc>
          <w:tcPr>
            <w:tcW w:w="5387" w:type="dxa"/>
            <w:gridSpan w:val="4"/>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衍生性金融商品之擔保品</w:t>
            </w:r>
          </w:p>
        </w:tc>
        <w:tc>
          <w:tcPr>
            <w:tcW w:w="3260" w:type="dxa"/>
            <w:gridSpan w:val="2"/>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有價證券融資交易之擔保品</w:t>
            </w:r>
          </w:p>
        </w:tc>
      </w:tr>
      <w:tr w:rsidR="004D451D" w:rsidRPr="004D451D" w:rsidTr="002F27D7">
        <w:trPr>
          <w:trHeight w:val="406"/>
        </w:trPr>
        <w:tc>
          <w:tcPr>
            <w:tcW w:w="1843" w:type="dxa"/>
            <w:vMerge/>
            <w:shd w:val="clear" w:color="auto" w:fill="auto"/>
          </w:tcPr>
          <w:p w:rsidR="00EF5D4C" w:rsidRPr="004D451D" w:rsidRDefault="00EF5D4C" w:rsidP="008E431D">
            <w:pPr>
              <w:spacing w:line="360" w:lineRule="auto"/>
              <w:rPr>
                <w:rFonts w:eastAsia="標楷體"/>
              </w:rPr>
            </w:pPr>
          </w:p>
        </w:tc>
        <w:tc>
          <w:tcPr>
            <w:tcW w:w="2693" w:type="dxa"/>
            <w:gridSpan w:val="2"/>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收取擔保品之公允價值</w:t>
            </w:r>
          </w:p>
        </w:tc>
        <w:tc>
          <w:tcPr>
            <w:tcW w:w="2694" w:type="dxa"/>
            <w:gridSpan w:val="2"/>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提供擔保品之公允價值</w:t>
            </w:r>
          </w:p>
        </w:tc>
        <w:tc>
          <w:tcPr>
            <w:tcW w:w="1630" w:type="dxa"/>
            <w:vMerge w:val="restart"/>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收取擔保品之公允價值</w:t>
            </w:r>
          </w:p>
        </w:tc>
        <w:tc>
          <w:tcPr>
            <w:tcW w:w="1630" w:type="dxa"/>
            <w:vMerge w:val="restart"/>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提供擔保品之公允價值</w:t>
            </w:r>
          </w:p>
        </w:tc>
      </w:tr>
      <w:tr w:rsidR="004D451D" w:rsidRPr="004D451D" w:rsidTr="002F27D7">
        <w:trPr>
          <w:trHeight w:val="412"/>
        </w:trPr>
        <w:tc>
          <w:tcPr>
            <w:tcW w:w="1843" w:type="dxa"/>
            <w:vMerge/>
            <w:shd w:val="clear" w:color="auto" w:fill="auto"/>
          </w:tcPr>
          <w:p w:rsidR="00EF5D4C" w:rsidRPr="004D451D" w:rsidRDefault="00EF5D4C" w:rsidP="008E431D">
            <w:pPr>
              <w:spacing w:line="360" w:lineRule="auto"/>
              <w:rPr>
                <w:rFonts w:eastAsia="標楷體"/>
              </w:rPr>
            </w:pPr>
          </w:p>
        </w:tc>
        <w:tc>
          <w:tcPr>
            <w:tcW w:w="1346" w:type="dxa"/>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隔離</w:t>
            </w:r>
          </w:p>
        </w:tc>
        <w:tc>
          <w:tcPr>
            <w:tcW w:w="1347" w:type="dxa"/>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非隔離</w:t>
            </w:r>
          </w:p>
        </w:tc>
        <w:tc>
          <w:tcPr>
            <w:tcW w:w="1347" w:type="dxa"/>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隔離</w:t>
            </w:r>
          </w:p>
        </w:tc>
        <w:tc>
          <w:tcPr>
            <w:tcW w:w="1347" w:type="dxa"/>
            <w:shd w:val="clear" w:color="auto" w:fill="auto"/>
            <w:vAlign w:val="center"/>
          </w:tcPr>
          <w:p w:rsidR="00EF5D4C" w:rsidRPr="004D451D" w:rsidRDefault="00EF5D4C" w:rsidP="002F27D7">
            <w:pPr>
              <w:spacing w:line="240" w:lineRule="atLeast"/>
              <w:jc w:val="center"/>
              <w:rPr>
                <w:rFonts w:eastAsia="標楷體"/>
              </w:rPr>
            </w:pPr>
            <w:r w:rsidRPr="004D451D">
              <w:rPr>
                <w:rFonts w:eastAsia="標楷體"/>
              </w:rPr>
              <w:t>非隔離</w:t>
            </w:r>
          </w:p>
        </w:tc>
        <w:tc>
          <w:tcPr>
            <w:tcW w:w="1630" w:type="dxa"/>
            <w:vMerge/>
            <w:shd w:val="clear" w:color="auto" w:fill="auto"/>
          </w:tcPr>
          <w:p w:rsidR="00EF5D4C" w:rsidRPr="004D451D" w:rsidRDefault="00EF5D4C" w:rsidP="002F27D7">
            <w:pPr>
              <w:spacing w:line="240" w:lineRule="atLeast"/>
              <w:rPr>
                <w:rFonts w:eastAsia="標楷體"/>
              </w:rPr>
            </w:pPr>
          </w:p>
        </w:tc>
        <w:tc>
          <w:tcPr>
            <w:tcW w:w="1630" w:type="dxa"/>
            <w:vMerge/>
            <w:shd w:val="clear" w:color="auto" w:fill="auto"/>
          </w:tcPr>
          <w:p w:rsidR="00EF5D4C" w:rsidRPr="004D451D" w:rsidRDefault="00EF5D4C" w:rsidP="002F27D7">
            <w:pPr>
              <w:spacing w:line="240" w:lineRule="atLeast"/>
              <w:rPr>
                <w:rFonts w:eastAsia="標楷體"/>
              </w:rPr>
            </w:pPr>
          </w:p>
        </w:tc>
      </w:tr>
      <w:tr w:rsidR="004D451D" w:rsidRPr="004D451D" w:rsidTr="00A36047">
        <w:tc>
          <w:tcPr>
            <w:tcW w:w="1843" w:type="dxa"/>
            <w:shd w:val="clear" w:color="auto" w:fill="auto"/>
            <w:vAlign w:val="center"/>
          </w:tcPr>
          <w:p w:rsidR="00311B1D" w:rsidRPr="004D451D" w:rsidRDefault="00311B1D" w:rsidP="002F27D7">
            <w:pPr>
              <w:spacing w:line="240" w:lineRule="atLeast"/>
              <w:jc w:val="both"/>
              <w:rPr>
                <w:rFonts w:eastAsia="標楷體"/>
              </w:rPr>
            </w:pPr>
            <w:r w:rsidRPr="004D451D">
              <w:rPr>
                <w:rFonts w:eastAsia="標楷體"/>
              </w:rPr>
              <w:t>現金</w:t>
            </w:r>
            <w:r w:rsidRPr="004D451D">
              <w:rPr>
                <w:rFonts w:eastAsia="標楷體"/>
              </w:rPr>
              <w:t>-</w:t>
            </w:r>
            <w:r w:rsidRPr="004D451D">
              <w:rPr>
                <w:rFonts w:eastAsia="標楷體"/>
              </w:rPr>
              <w:t>本國幣別</w:t>
            </w:r>
          </w:p>
        </w:tc>
        <w:tc>
          <w:tcPr>
            <w:tcW w:w="1346" w:type="dxa"/>
            <w:shd w:val="clear" w:color="auto" w:fill="auto"/>
            <w:vAlign w:val="center"/>
          </w:tcPr>
          <w:p w:rsidR="00311B1D" w:rsidRPr="004D451D" w:rsidRDefault="00311B1D"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311B1D" w:rsidRPr="004D451D" w:rsidRDefault="00311B1D"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311B1D" w:rsidRPr="004D451D" w:rsidRDefault="00311B1D"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311B1D" w:rsidRPr="004D451D" w:rsidRDefault="00311B1D" w:rsidP="00311B1D">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311B1D" w:rsidRPr="004D451D" w:rsidRDefault="00311B1D" w:rsidP="00311B1D">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311B1D" w:rsidRPr="004D451D" w:rsidRDefault="00311B1D" w:rsidP="00311B1D">
            <w:pPr>
              <w:jc w:val="right"/>
              <w:rPr>
                <w:rFonts w:ascii="Arial" w:hAnsi="Arial" w:cs="Arial"/>
              </w:rPr>
            </w:pPr>
            <w:r w:rsidRPr="004D451D">
              <w:rPr>
                <w:rFonts w:ascii="Arial" w:hAnsi="Arial" w:cs="Arial"/>
              </w:rPr>
              <w:t xml:space="preserve">　</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現金</w:t>
            </w:r>
            <w:r w:rsidRPr="004D451D">
              <w:rPr>
                <w:rFonts w:eastAsia="標楷體"/>
              </w:rPr>
              <w:t>-</w:t>
            </w:r>
            <w:r w:rsidRPr="004D451D">
              <w:rPr>
                <w:rFonts w:eastAsia="標楷體"/>
              </w:rPr>
              <w:t>其他幣別</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4,702,695</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4,789,153</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本國主權國家債券</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70,381</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10,557,508</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非本國主權國家債券</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政府機構債券</w:t>
            </w:r>
          </w:p>
          <w:p w:rsidR="00860B42" w:rsidRPr="004D451D" w:rsidRDefault="00860B42" w:rsidP="002F27D7">
            <w:pPr>
              <w:spacing w:line="240" w:lineRule="atLeast"/>
              <w:jc w:val="both"/>
              <w:rPr>
                <w:rFonts w:eastAsia="標楷體"/>
              </w:rPr>
            </w:pPr>
            <w:r w:rsidRPr="004D451D">
              <w:rPr>
                <w:rFonts w:eastAsia="標楷體"/>
              </w:rPr>
              <w:t>(Government agency debt)</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公司債券</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26,609,028</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金融債券</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hint="eastAsia"/>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2,894,215</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權益證券</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其他擔保品</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r>
      <w:tr w:rsidR="004D451D" w:rsidRPr="004D451D" w:rsidTr="00860B42">
        <w:tc>
          <w:tcPr>
            <w:tcW w:w="1843" w:type="dxa"/>
            <w:shd w:val="clear" w:color="auto" w:fill="auto"/>
            <w:vAlign w:val="center"/>
          </w:tcPr>
          <w:p w:rsidR="00860B42" w:rsidRPr="004D451D" w:rsidRDefault="00860B42" w:rsidP="002F27D7">
            <w:pPr>
              <w:spacing w:line="240" w:lineRule="atLeast"/>
              <w:jc w:val="both"/>
              <w:rPr>
                <w:rFonts w:eastAsia="標楷體"/>
              </w:rPr>
            </w:pPr>
            <w:r w:rsidRPr="004D451D">
              <w:rPr>
                <w:rFonts w:eastAsia="標楷體"/>
              </w:rPr>
              <w:t>總計</w:t>
            </w:r>
          </w:p>
        </w:tc>
        <w:tc>
          <w:tcPr>
            <w:tcW w:w="1346" w:type="dxa"/>
            <w:shd w:val="clear" w:color="auto" w:fill="auto"/>
            <w:vAlign w:val="center"/>
          </w:tcPr>
          <w:p w:rsidR="00860B42" w:rsidRPr="004D451D" w:rsidRDefault="00860B42" w:rsidP="00311B1D">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4,702,695</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 xml:space="preserve">　</w:t>
            </w:r>
          </w:p>
        </w:tc>
        <w:tc>
          <w:tcPr>
            <w:tcW w:w="1347"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4,789,153</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70,381</w:t>
            </w:r>
          </w:p>
        </w:tc>
        <w:tc>
          <w:tcPr>
            <w:tcW w:w="1630" w:type="dxa"/>
            <w:shd w:val="clear" w:color="auto" w:fill="auto"/>
            <w:vAlign w:val="center"/>
          </w:tcPr>
          <w:p w:rsidR="00860B42" w:rsidRPr="004D451D" w:rsidRDefault="00860B42" w:rsidP="00860B42">
            <w:pPr>
              <w:jc w:val="right"/>
              <w:rPr>
                <w:rFonts w:ascii="Arial" w:hAnsi="Arial" w:cs="Arial"/>
              </w:rPr>
            </w:pPr>
            <w:r w:rsidRPr="004D451D">
              <w:rPr>
                <w:rFonts w:ascii="Arial" w:hAnsi="Arial" w:cs="Arial"/>
              </w:rPr>
              <w:t>40,060,751</w:t>
            </w:r>
          </w:p>
        </w:tc>
      </w:tr>
      <w:tr w:rsidR="004D451D" w:rsidRPr="004D451D" w:rsidTr="002F27D7">
        <w:trPr>
          <w:trHeight w:val="544"/>
        </w:trPr>
        <w:tc>
          <w:tcPr>
            <w:tcW w:w="10490" w:type="dxa"/>
            <w:gridSpan w:val="7"/>
            <w:shd w:val="clear" w:color="auto" w:fill="auto"/>
          </w:tcPr>
          <w:p w:rsidR="009470CD" w:rsidRPr="004D451D" w:rsidRDefault="00D45FC6" w:rsidP="008E431D">
            <w:pPr>
              <w:spacing w:line="360" w:lineRule="auto"/>
              <w:rPr>
                <w:rFonts w:eastAsia="標楷體"/>
              </w:rPr>
            </w:pPr>
            <w:r w:rsidRPr="004D451D">
              <w:rPr>
                <w:rFonts w:eastAsia="標楷體"/>
              </w:rPr>
              <w:t>重大變動原因及說明</w:t>
            </w:r>
            <w:r w:rsidR="002F27D7" w:rsidRPr="004D451D">
              <w:rPr>
                <w:rFonts w:eastAsia="標楷體" w:hint="eastAsia"/>
              </w:rPr>
              <w:t>：</w:t>
            </w:r>
          </w:p>
        </w:tc>
      </w:tr>
    </w:tbl>
    <w:p w:rsidR="002F27D7" w:rsidRPr="004D451D" w:rsidRDefault="002F27D7" w:rsidP="002F27D7">
      <w:pPr>
        <w:spacing w:line="240" w:lineRule="atLeast"/>
        <w:rPr>
          <w:rFonts w:eastAsia="標楷體"/>
          <w:b/>
          <w:kern w:val="0"/>
        </w:rPr>
      </w:pPr>
    </w:p>
    <w:p w:rsidR="00FE4697" w:rsidRPr="004D451D" w:rsidRDefault="00FE4697" w:rsidP="002F27D7">
      <w:pPr>
        <w:spacing w:line="240" w:lineRule="atLeast"/>
        <w:rPr>
          <w:rFonts w:eastAsia="標楷體"/>
          <w:b/>
          <w:kern w:val="0"/>
        </w:rPr>
      </w:pPr>
      <w:r w:rsidRPr="004D451D">
        <w:rPr>
          <w:rFonts w:eastAsia="標楷體"/>
          <w:b/>
          <w:kern w:val="0"/>
        </w:rPr>
        <w:t>填表說明：</w:t>
      </w:r>
    </w:p>
    <w:p w:rsidR="00FE4697" w:rsidRPr="004D451D" w:rsidRDefault="00FE4697" w:rsidP="00EF4134">
      <w:pPr>
        <w:numPr>
          <w:ilvl w:val="0"/>
          <w:numId w:val="57"/>
        </w:numPr>
        <w:spacing w:line="240" w:lineRule="atLeast"/>
        <w:ind w:leftChars="150" w:left="720" w:hangingChars="150"/>
        <w:jc w:val="both"/>
        <w:rPr>
          <w:rFonts w:eastAsia="標楷體"/>
        </w:rPr>
      </w:pPr>
      <w:r w:rsidRPr="004D451D">
        <w:rPr>
          <w:rFonts w:eastAsia="標楷體"/>
        </w:rPr>
        <w:t>本表更新頻率：半年。</w:t>
      </w:r>
    </w:p>
    <w:p w:rsidR="002F27D7" w:rsidRPr="004D451D" w:rsidRDefault="002F27D7" w:rsidP="00EF4134">
      <w:pPr>
        <w:numPr>
          <w:ilvl w:val="0"/>
          <w:numId w:val="57"/>
        </w:numPr>
        <w:spacing w:line="240" w:lineRule="atLeast"/>
        <w:ind w:leftChars="150" w:left="720" w:hangingChars="150"/>
        <w:jc w:val="both"/>
        <w:rPr>
          <w:rFonts w:eastAsia="標楷體"/>
        </w:rPr>
      </w:pPr>
      <w:r w:rsidRPr="004D451D">
        <w:rPr>
          <w:rFonts w:eastAsia="標楷體"/>
        </w:rPr>
        <w:t>本表採個體基礎填報。</w:t>
      </w:r>
    </w:p>
    <w:p w:rsidR="002F27D7" w:rsidRPr="004D451D" w:rsidRDefault="002F27D7" w:rsidP="00EF4134">
      <w:pPr>
        <w:numPr>
          <w:ilvl w:val="0"/>
          <w:numId w:val="57"/>
        </w:numPr>
        <w:spacing w:line="240" w:lineRule="atLeast"/>
        <w:ind w:leftChars="150" w:left="720" w:hangingChars="150"/>
        <w:jc w:val="both"/>
        <w:rPr>
          <w:rFonts w:eastAsia="標楷體"/>
        </w:rPr>
      </w:pPr>
      <w:r w:rsidRPr="004D451D">
        <w:rPr>
          <w:rFonts w:eastAsia="標楷體"/>
        </w:rPr>
        <w:t>於標準法</w:t>
      </w:r>
      <w:r w:rsidRPr="004D451D">
        <w:rPr>
          <w:rFonts w:eastAsia="標楷體"/>
        </w:rPr>
        <w:t>(SA-CCR)</w:t>
      </w:r>
      <w:r w:rsidRPr="004D451D">
        <w:rPr>
          <w:rFonts w:eastAsia="標楷體"/>
        </w:rPr>
        <w:t>實施前，衍生性金融商品之擔保品不論為收取擔保品之公允價值或提供擔保品之公允價值之狀況皆填列為「非隔離」；標準法</w:t>
      </w:r>
      <w:r w:rsidRPr="004D451D">
        <w:rPr>
          <w:rFonts w:eastAsia="標楷體"/>
        </w:rPr>
        <w:t>(SA-CCR)</w:t>
      </w:r>
      <w:r w:rsidRPr="004D451D">
        <w:rPr>
          <w:rFonts w:eastAsia="標楷體"/>
        </w:rPr>
        <w:t>實施後，衍生性金融商品之擔保品依其持有狀況可區分為：</w:t>
      </w:r>
    </w:p>
    <w:p w:rsidR="002F27D7" w:rsidRPr="004D451D" w:rsidRDefault="002F27D7" w:rsidP="00482E54">
      <w:pPr>
        <w:numPr>
          <w:ilvl w:val="0"/>
          <w:numId w:val="58"/>
        </w:numPr>
        <w:spacing w:line="240" w:lineRule="atLeast"/>
        <w:ind w:leftChars="250" w:left="1080" w:hangingChars="200" w:hanging="480"/>
        <w:jc w:val="both"/>
        <w:rPr>
          <w:rFonts w:eastAsia="標楷體"/>
        </w:rPr>
      </w:pPr>
      <w:r w:rsidRPr="004D451D">
        <w:rPr>
          <w:rFonts w:eastAsia="標楷體"/>
        </w:rPr>
        <w:t>隔離：擔保品以破產隔離方式持有。</w:t>
      </w:r>
    </w:p>
    <w:p w:rsidR="002F27D7" w:rsidRPr="004D451D" w:rsidRDefault="002F27D7" w:rsidP="00482E54">
      <w:pPr>
        <w:numPr>
          <w:ilvl w:val="0"/>
          <w:numId w:val="58"/>
        </w:numPr>
        <w:spacing w:line="240" w:lineRule="atLeast"/>
        <w:ind w:leftChars="250" w:left="1080" w:hangingChars="200" w:hanging="480"/>
        <w:jc w:val="both"/>
        <w:rPr>
          <w:rFonts w:eastAsia="標楷體"/>
        </w:rPr>
      </w:pPr>
      <w:r w:rsidRPr="004D451D">
        <w:rPr>
          <w:rFonts w:eastAsia="標楷體"/>
        </w:rPr>
        <w:t>非隔離</w:t>
      </w:r>
      <w:r w:rsidR="0042029E" w:rsidRPr="004D451D">
        <w:rPr>
          <w:rFonts w:eastAsia="標楷體" w:hint="eastAsia"/>
        </w:rPr>
        <w:t>：</w:t>
      </w:r>
      <w:r w:rsidRPr="004D451D">
        <w:rPr>
          <w:rFonts w:eastAsia="標楷體"/>
        </w:rPr>
        <w:t>擔保品非以破產隔離方式持有。</w:t>
      </w:r>
    </w:p>
    <w:p w:rsidR="002F27D7" w:rsidRPr="004D451D" w:rsidRDefault="002F27D7" w:rsidP="00EF4134">
      <w:pPr>
        <w:numPr>
          <w:ilvl w:val="0"/>
          <w:numId w:val="57"/>
        </w:numPr>
        <w:spacing w:line="240" w:lineRule="atLeast"/>
        <w:ind w:leftChars="150" w:left="720" w:hangingChars="150"/>
        <w:jc w:val="both"/>
        <w:rPr>
          <w:rFonts w:eastAsia="標楷體"/>
        </w:rPr>
      </w:pPr>
      <w:r w:rsidRPr="004D451D">
        <w:rPr>
          <w:rFonts w:eastAsia="標楷體"/>
        </w:rPr>
        <w:t>「現金</w:t>
      </w:r>
      <w:r w:rsidRPr="004D451D">
        <w:rPr>
          <w:rFonts w:eastAsia="標楷體"/>
        </w:rPr>
        <w:t>-</w:t>
      </w:r>
      <w:r w:rsidRPr="004D451D">
        <w:rPr>
          <w:rFonts w:eastAsia="標楷體"/>
        </w:rPr>
        <w:t>本國幣別」</w:t>
      </w:r>
      <w:r w:rsidR="007C4DE1" w:rsidRPr="004D451D">
        <w:rPr>
          <w:rFonts w:eastAsia="標楷體" w:hint="eastAsia"/>
        </w:rPr>
        <w:t>係指以新臺幣計價之現金</w:t>
      </w:r>
      <w:r w:rsidRPr="004D451D">
        <w:rPr>
          <w:rFonts w:eastAsia="標楷體"/>
        </w:rPr>
        <w:t>。</w:t>
      </w:r>
    </w:p>
    <w:p w:rsidR="0064044F" w:rsidRPr="004D451D" w:rsidRDefault="00264532" w:rsidP="0064044F">
      <w:pPr>
        <w:widowControl/>
        <w:rPr>
          <w:rFonts w:eastAsia="標楷體"/>
          <w:sz w:val="32"/>
          <w:szCs w:val="32"/>
        </w:rPr>
      </w:pPr>
      <w:r w:rsidRPr="004D451D">
        <w:rPr>
          <w:rFonts w:ascii="Arial" w:eastAsia="標楷體" w:hAnsi="Arial" w:cs="Arial"/>
          <w:sz w:val="32"/>
          <w:szCs w:val="32"/>
        </w:rPr>
        <w:br w:type="page"/>
      </w:r>
      <w:r w:rsidR="0064044F" w:rsidRPr="004D451D">
        <w:rPr>
          <w:rFonts w:eastAsia="標楷體"/>
          <w:b/>
          <w:sz w:val="32"/>
          <w:szCs w:val="32"/>
        </w:rPr>
        <w:t>【附表三十</w:t>
      </w:r>
      <w:r w:rsidR="00AB61B7" w:rsidRPr="004D451D">
        <w:rPr>
          <w:rFonts w:eastAsia="標楷體" w:hint="eastAsia"/>
          <w:b/>
          <w:sz w:val="32"/>
          <w:szCs w:val="32"/>
        </w:rPr>
        <w:t>三</w:t>
      </w:r>
      <w:r w:rsidR="0064044F" w:rsidRPr="004D451D">
        <w:rPr>
          <w:rFonts w:eastAsia="標楷體"/>
          <w:b/>
          <w:sz w:val="32"/>
          <w:szCs w:val="32"/>
        </w:rPr>
        <w:t>】</w:t>
      </w:r>
    </w:p>
    <w:p w:rsidR="0064044F" w:rsidRPr="004D451D" w:rsidRDefault="0064044F" w:rsidP="0064044F">
      <w:pPr>
        <w:jc w:val="center"/>
        <w:rPr>
          <w:rFonts w:eastAsia="標楷體"/>
          <w:b/>
          <w:bCs/>
          <w:sz w:val="32"/>
          <w:szCs w:val="32"/>
        </w:rPr>
      </w:pPr>
      <w:r w:rsidRPr="004D451D">
        <w:rPr>
          <w:rFonts w:eastAsia="標楷體"/>
          <w:b/>
          <w:bCs/>
          <w:sz w:val="32"/>
          <w:szCs w:val="32"/>
        </w:rPr>
        <w:t>信用衍生性金融商品暴險</w:t>
      </w:r>
      <w:r w:rsidR="00311B1D" w:rsidRPr="004D451D">
        <w:rPr>
          <w:rFonts w:eastAsia="標楷體" w:hint="eastAsia"/>
          <w:b/>
          <w:bCs/>
          <w:sz w:val="28"/>
          <w:szCs w:val="28"/>
        </w:rPr>
        <w:t>-</w:t>
      </w:r>
      <w:r w:rsidR="00311B1D" w:rsidRPr="004D451D">
        <w:rPr>
          <w:rFonts w:eastAsia="標楷體" w:hint="eastAsia"/>
          <w:b/>
          <w:bCs/>
          <w:sz w:val="28"/>
          <w:szCs w:val="28"/>
        </w:rPr>
        <w:t>不適用</w:t>
      </w:r>
    </w:p>
    <w:p w:rsidR="0064044F" w:rsidRPr="004D451D" w:rsidRDefault="0064044F" w:rsidP="00AB7E44">
      <w:pPr>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311B1D" w:rsidRPr="004D451D">
        <w:rPr>
          <w:rFonts w:eastAsia="標楷體" w:hint="eastAsia"/>
          <w:bCs/>
          <w:sz w:val="32"/>
          <w:szCs w:val="32"/>
        </w:rPr>
        <w:t>10</w:t>
      </w:r>
      <w:r w:rsidR="009C31D6" w:rsidRPr="004D451D">
        <w:rPr>
          <w:rFonts w:eastAsia="標楷體" w:hint="eastAsia"/>
          <w:bCs/>
          <w:sz w:val="32"/>
          <w:szCs w:val="32"/>
        </w:rPr>
        <w:t>7</w:t>
      </w:r>
      <w:r w:rsidRPr="004D451D">
        <w:rPr>
          <w:rFonts w:eastAsia="標楷體"/>
          <w:bCs/>
          <w:sz w:val="32"/>
          <w:szCs w:val="32"/>
        </w:rPr>
        <w:t>年</w:t>
      </w:r>
      <w:r w:rsidR="009C31D6" w:rsidRPr="004D451D">
        <w:rPr>
          <w:rFonts w:eastAsia="標楷體" w:hint="eastAsia"/>
          <w:bCs/>
          <w:sz w:val="32"/>
          <w:szCs w:val="32"/>
        </w:rPr>
        <w:t>06</w:t>
      </w:r>
      <w:r w:rsidRPr="004D451D">
        <w:rPr>
          <w:rFonts w:eastAsia="標楷體"/>
          <w:bCs/>
          <w:sz w:val="32"/>
          <w:szCs w:val="32"/>
        </w:rPr>
        <w:t>月</w:t>
      </w:r>
      <w:r w:rsidR="00311B1D" w:rsidRPr="004D451D">
        <w:rPr>
          <w:rFonts w:eastAsia="標楷體" w:hint="eastAsia"/>
          <w:bCs/>
          <w:sz w:val="32"/>
          <w:szCs w:val="32"/>
        </w:rPr>
        <w:t>3</w:t>
      </w:r>
      <w:r w:rsidR="009C31D6" w:rsidRPr="004D451D">
        <w:rPr>
          <w:rFonts w:eastAsia="標楷體" w:hint="eastAsia"/>
          <w:bCs/>
          <w:sz w:val="32"/>
          <w:szCs w:val="32"/>
        </w:rPr>
        <w:t>0</w:t>
      </w:r>
      <w:r w:rsidRPr="004D451D">
        <w:rPr>
          <w:rFonts w:eastAsia="標楷體"/>
          <w:bCs/>
          <w:sz w:val="32"/>
          <w:szCs w:val="32"/>
        </w:rPr>
        <w:t>日</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2D47EE" w:rsidRPr="004D451D">
        <w:rPr>
          <w:rFonts w:eastAsia="標楷體" w:hint="eastAsia"/>
          <w:bCs/>
        </w:rPr>
        <w:t>：</w:t>
      </w:r>
      <w:r w:rsidRPr="004D451D">
        <w:rPr>
          <w:rFonts w:eastAsia="標楷體"/>
          <w:bCs/>
        </w:rPr>
        <w:t>新臺幣千元</w:t>
      </w:r>
      <w:r w:rsidR="00D82B93" w:rsidRPr="004D451D">
        <w:rPr>
          <w:rFonts w:eastAsia="標楷體" w:hint="eastAsia"/>
          <w:bCs/>
        </w:rPr>
        <w:t>）</w:t>
      </w:r>
    </w:p>
    <w:tbl>
      <w:tblPr>
        <w:tblW w:w="0" w:type="auto"/>
        <w:jc w:val="center"/>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2729"/>
        <w:gridCol w:w="2730"/>
      </w:tblGrid>
      <w:tr w:rsidR="004D451D" w:rsidRPr="004D451D" w:rsidTr="002D47EE">
        <w:trPr>
          <w:jc w:val="center"/>
        </w:trPr>
        <w:tc>
          <w:tcPr>
            <w:tcW w:w="4207" w:type="dxa"/>
            <w:shd w:val="clear" w:color="auto" w:fill="auto"/>
            <w:vAlign w:val="center"/>
          </w:tcPr>
          <w:p w:rsidR="00AB7E44" w:rsidRPr="004D451D" w:rsidRDefault="002D47EE" w:rsidP="002D47EE">
            <w:pPr>
              <w:spacing w:line="360" w:lineRule="auto"/>
              <w:jc w:val="center"/>
              <w:rPr>
                <w:rFonts w:eastAsia="標楷體"/>
              </w:rPr>
            </w:pPr>
            <w:r w:rsidRPr="004D451D">
              <w:rPr>
                <w:rFonts w:eastAsia="標楷體"/>
              </w:rPr>
              <w:t>項目</w:t>
            </w:r>
          </w:p>
        </w:tc>
        <w:tc>
          <w:tcPr>
            <w:tcW w:w="2729" w:type="dxa"/>
            <w:shd w:val="clear" w:color="auto" w:fill="auto"/>
            <w:vAlign w:val="center"/>
          </w:tcPr>
          <w:p w:rsidR="00AB7E44" w:rsidRPr="004D451D" w:rsidRDefault="00AB7E44" w:rsidP="008E431D">
            <w:pPr>
              <w:spacing w:line="360" w:lineRule="auto"/>
              <w:jc w:val="center"/>
              <w:rPr>
                <w:rFonts w:eastAsia="標楷體"/>
              </w:rPr>
            </w:pPr>
            <w:r w:rsidRPr="004D451D">
              <w:rPr>
                <w:rFonts w:eastAsia="標楷體"/>
              </w:rPr>
              <w:t>買入保障</w:t>
            </w:r>
          </w:p>
        </w:tc>
        <w:tc>
          <w:tcPr>
            <w:tcW w:w="2730" w:type="dxa"/>
            <w:shd w:val="clear" w:color="auto" w:fill="auto"/>
            <w:vAlign w:val="center"/>
          </w:tcPr>
          <w:p w:rsidR="00AB7E44" w:rsidRPr="004D451D" w:rsidRDefault="008A3AFC" w:rsidP="008E431D">
            <w:pPr>
              <w:spacing w:line="360" w:lineRule="auto"/>
              <w:jc w:val="center"/>
              <w:rPr>
                <w:rFonts w:eastAsia="標楷體"/>
              </w:rPr>
            </w:pPr>
            <w:r w:rsidRPr="004D451D">
              <w:rPr>
                <w:rFonts w:eastAsia="標楷體" w:hint="eastAsia"/>
              </w:rPr>
              <w:t>賣</w:t>
            </w:r>
            <w:r w:rsidR="00AB7E44" w:rsidRPr="004D451D">
              <w:rPr>
                <w:rFonts w:eastAsia="標楷體"/>
              </w:rPr>
              <w:t>出保障</w:t>
            </w:r>
          </w:p>
        </w:tc>
      </w:tr>
      <w:tr w:rsidR="004D451D" w:rsidRPr="004D451D" w:rsidTr="002D47EE">
        <w:trPr>
          <w:jc w:val="center"/>
        </w:trPr>
        <w:tc>
          <w:tcPr>
            <w:tcW w:w="4207" w:type="dxa"/>
            <w:shd w:val="clear" w:color="auto" w:fill="auto"/>
          </w:tcPr>
          <w:p w:rsidR="00AB7E44" w:rsidRPr="004D451D" w:rsidRDefault="00AB7E44" w:rsidP="008E431D">
            <w:pPr>
              <w:spacing w:line="360" w:lineRule="auto"/>
              <w:rPr>
                <w:rFonts w:eastAsia="標楷體"/>
                <w:b/>
              </w:rPr>
            </w:pPr>
            <w:r w:rsidRPr="004D451D">
              <w:rPr>
                <w:rFonts w:eastAsia="標楷體"/>
                <w:b/>
              </w:rPr>
              <w:t>名目本金</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單一標的信用違約交換契約</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信用違約交換指數</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總收益交換契約</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信用選擇權</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其他信用衍生性金融商品</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8E431D">
            <w:pPr>
              <w:spacing w:line="360" w:lineRule="auto"/>
              <w:rPr>
                <w:rFonts w:eastAsia="標楷體"/>
                <w:b/>
              </w:rPr>
            </w:pPr>
            <w:r w:rsidRPr="004D451D">
              <w:rPr>
                <w:rFonts w:eastAsia="標楷體"/>
                <w:b/>
              </w:rPr>
              <w:t>名目本金總計</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8E431D">
            <w:pPr>
              <w:spacing w:line="360" w:lineRule="auto"/>
              <w:rPr>
                <w:rFonts w:eastAsia="標楷體"/>
                <w:b/>
              </w:rPr>
            </w:pPr>
            <w:r w:rsidRPr="004D451D">
              <w:rPr>
                <w:rFonts w:eastAsia="標楷體"/>
                <w:b/>
              </w:rPr>
              <w:t>公允價值</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公允價值為正值</w:t>
            </w:r>
            <w:r w:rsidRPr="004D451D">
              <w:rPr>
                <w:rFonts w:eastAsia="標楷體"/>
              </w:rPr>
              <w:t>(</w:t>
            </w:r>
            <w:r w:rsidRPr="004D451D">
              <w:rPr>
                <w:rFonts w:eastAsia="標楷體"/>
              </w:rPr>
              <w:t>資產</w:t>
            </w:r>
            <w:r w:rsidRPr="004D451D">
              <w:rPr>
                <w:rFonts w:eastAsia="標楷體"/>
              </w:rPr>
              <w:t>)</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jc w:val="center"/>
        </w:trPr>
        <w:tc>
          <w:tcPr>
            <w:tcW w:w="4207" w:type="dxa"/>
            <w:shd w:val="clear" w:color="auto" w:fill="auto"/>
          </w:tcPr>
          <w:p w:rsidR="00AB7E44" w:rsidRPr="004D451D" w:rsidRDefault="00AB7E44" w:rsidP="002D47EE">
            <w:pPr>
              <w:spacing w:line="360" w:lineRule="auto"/>
              <w:ind w:leftChars="100" w:left="240"/>
              <w:rPr>
                <w:rFonts w:eastAsia="標楷體"/>
              </w:rPr>
            </w:pPr>
            <w:r w:rsidRPr="004D451D">
              <w:rPr>
                <w:rFonts w:eastAsia="標楷體"/>
              </w:rPr>
              <w:t>公允價值為負值</w:t>
            </w:r>
            <w:r w:rsidRPr="004D451D">
              <w:rPr>
                <w:rFonts w:eastAsia="標楷體"/>
              </w:rPr>
              <w:t>(</w:t>
            </w:r>
            <w:r w:rsidRPr="004D451D">
              <w:rPr>
                <w:rFonts w:eastAsia="標楷體"/>
              </w:rPr>
              <w:t>負債</w:t>
            </w:r>
            <w:r w:rsidRPr="004D451D">
              <w:rPr>
                <w:rFonts w:eastAsia="標楷體"/>
              </w:rPr>
              <w:t>)</w:t>
            </w:r>
          </w:p>
        </w:tc>
        <w:tc>
          <w:tcPr>
            <w:tcW w:w="2729" w:type="dxa"/>
            <w:shd w:val="clear" w:color="auto" w:fill="auto"/>
          </w:tcPr>
          <w:p w:rsidR="00AB7E44" w:rsidRPr="004D451D" w:rsidRDefault="00AB7E44" w:rsidP="008E431D">
            <w:pPr>
              <w:spacing w:line="360" w:lineRule="auto"/>
              <w:rPr>
                <w:rFonts w:eastAsia="標楷體"/>
              </w:rPr>
            </w:pPr>
          </w:p>
        </w:tc>
        <w:tc>
          <w:tcPr>
            <w:tcW w:w="2730" w:type="dxa"/>
            <w:shd w:val="clear" w:color="auto" w:fill="auto"/>
          </w:tcPr>
          <w:p w:rsidR="00AB7E44" w:rsidRPr="004D451D" w:rsidRDefault="00AB7E44" w:rsidP="008E431D">
            <w:pPr>
              <w:spacing w:line="360" w:lineRule="auto"/>
              <w:rPr>
                <w:rFonts w:eastAsia="標楷體"/>
              </w:rPr>
            </w:pPr>
          </w:p>
        </w:tc>
      </w:tr>
      <w:tr w:rsidR="004D451D" w:rsidRPr="004D451D" w:rsidTr="002D47EE">
        <w:trPr>
          <w:trHeight w:val="842"/>
          <w:jc w:val="center"/>
        </w:trPr>
        <w:tc>
          <w:tcPr>
            <w:tcW w:w="9666" w:type="dxa"/>
            <w:gridSpan w:val="3"/>
            <w:shd w:val="clear" w:color="auto" w:fill="auto"/>
          </w:tcPr>
          <w:p w:rsidR="00AB7E44" w:rsidRPr="004D451D" w:rsidRDefault="00AB7E44" w:rsidP="008E431D">
            <w:pPr>
              <w:spacing w:line="360" w:lineRule="auto"/>
              <w:rPr>
                <w:rFonts w:eastAsia="標楷體"/>
              </w:rPr>
            </w:pPr>
            <w:r w:rsidRPr="004D451D">
              <w:rPr>
                <w:rFonts w:eastAsia="標楷體"/>
              </w:rPr>
              <w:t>重大變動原因及說明</w:t>
            </w:r>
            <w:r w:rsidR="002D47EE" w:rsidRPr="004D451D">
              <w:rPr>
                <w:rFonts w:eastAsia="標楷體" w:hint="eastAsia"/>
              </w:rPr>
              <w:t>：</w:t>
            </w:r>
          </w:p>
        </w:tc>
      </w:tr>
    </w:tbl>
    <w:p w:rsidR="002D47EE" w:rsidRPr="004D451D" w:rsidRDefault="002D47EE" w:rsidP="00377BF0">
      <w:pPr>
        <w:rPr>
          <w:rFonts w:eastAsia="標楷體"/>
          <w:b/>
          <w:kern w:val="0"/>
        </w:rPr>
      </w:pPr>
    </w:p>
    <w:p w:rsidR="00377BF0" w:rsidRPr="004D451D" w:rsidRDefault="00377BF0" w:rsidP="002D47EE">
      <w:pPr>
        <w:spacing w:line="240" w:lineRule="atLeast"/>
        <w:rPr>
          <w:rFonts w:eastAsia="標楷體"/>
          <w:b/>
          <w:kern w:val="0"/>
        </w:rPr>
      </w:pPr>
      <w:r w:rsidRPr="004D451D">
        <w:rPr>
          <w:rFonts w:eastAsia="標楷體"/>
          <w:b/>
          <w:kern w:val="0"/>
        </w:rPr>
        <w:t>填表說明：</w:t>
      </w:r>
    </w:p>
    <w:p w:rsidR="00377BF0" w:rsidRPr="004D451D" w:rsidRDefault="00377BF0" w:rsidP="00EF4134">
      <w:pPr>
        <w:numPr>
          <w:ilvl w:val="0"/>
          <w:numId w:val="59"/>
        </w:numPr>
        <w:spacing w:line="240" w:lineRule="atLeast"/>
        <w:ind w:leftChars="150" w:left="720" w:hangingChars="150"/>
        <w:rPr>
          <w:rFonts w:eastAsia="標楷體"/>
        </w:rPr>
      </w:pPr>
      <w:r w:rsidRPr="004D451D">
        <w:rPr>
          <w:rFonts w:eastAsia="標楷體"/>
        </w:rPr>
        <w:t>本表更新頻率：半年。</w:t>
      </w:r>
    </w:p>
    <w:p w:rsidR="002D47EE" w:rsidRPr="004D451D" w:rsidRDefault="002D47EE" w:rsidP="00EF4134">
      <w:pPr>
        <w:numPr>
          <w:ilvl w:val="0"/>
          <w:numId w:val="59"/>
        </w:numPr>
        <w:spacing w:line="240" w:lineRule="atLeast"/>
        <w:ind w:leftChars="150" w:left="720" w:hangingChars="150"/>
        <w:rPr>
          <w:rFonts w:eastAsia="標楷體"/>
        </w:rPr>
      </w:pPr>
      <w:r w:rsidRPr="004D451D">
        <w:rPr>
          <w:rFonts w:eastAsia="標楷體"/>
        </w:rPr>
        <w:t>本表採個體基礎填報。</w:t>
      </w:r>
    </w:p>
    <w:p w:rsidR="008522E3" w:rsidRPr="004D451D" w:rsidRDefault="008522E3" w:rsidP="00377BF0">
      <w:pPr>
        <w:spacing w:line="360" w:lineRule="auto"/>
        <w:ind w:left="180" w:hangingChars="75" w:hanging="180"/>
        <w:rPr>
          <w:rFonts w:eastAsia="標楷體"/>
        </w:rPr>
      </w:pPr>
    </w:p>
    <w:p w:rsidR="008522E3" w:rsidRPr="004D451D" w:rsidRDefault="008522E3" w:rsidP="00377BF0">
      <w:pPr>
        <w:spacing w:line="360" w:lineRule="auto"/>
        <w:ind w:left="180" w:hangingChars="75" w:hanging="180"/>
        <w:rPr>
          <w:rFonts w:eastAsia="標楷體"/>
        </w:rPr>
      </w:pPr>
    </w:p>
    <w:p w:rsidR="008522E3" w:rsidRPr="004D451D" w:rsidRDefault="008522E3" w:rsidP="00377BF0">
      <w:pPr>
        <w:spacing w:line="360" w:lineRule="auto"/>
        <w:ind w:left="180" w:hangingChars="75" w:hanging="180"/>
        <w:rPr>
          <w:rFonts w:ascii="Arial" w:eastAsia="標楷體" w:hAnsi="Arial" w:cs="Arial"/>
        </w:rPr>
      </w:pPr>
    </w:p>
    <w:p w:rsidR="005C7CE3" w:rsidRPr="004D451D" w:rsidRDefault="002D47EE" w:rsidP="005C7CE3">
      <w:pPr>
        <w:widowControl/>
        <w:rPr>
          <w:rFonts w:eastAsia="標楷體"/>
          <w:sz w:val="32"/>
          <w:szCs w:val="32"/>
        </w:rPr>
      </w:pPr>
      <w:r w:rsidRPr="004D451D">
        <w:rPr>
          <w:rFonts w:ascii="Arial" w:eastAsia="標楷體" w:hAnsi="Arial" w:cs="Arial"/>
          <w:sz w:val="32"/>
          <w:szCs w:val="32"/>
        </w:rPr>
        <w:br w:type="page"/>
      </w:r>
      <w:r w:rsidR="005C7CE3" w:rsidRPr="004D451D">
        <w:rPr>
          <w:rFonts w:eastAsia="標楷體"/>
          <w:b/>
          <w:sz w:val="32"/>
          <w:szCs w:val="32"/>
        </w:rPr>
        <w:t>【附表三十</w:t>
      </w:r>
      <w:r w:rsidR="00AB61B7" w:rsidRPr="004D451D">
        <w:rPr>
          <w:rFonts w:eastAsia="標楷體" w:hint="eastAsia"/>
          <w:b/>
          <w:sz w:val="32"/>
          <w:szCs w:val="32"/>
        </w:rPr>
        <w:t>四</w:t>
      </w:r>
      <w:r w:rsidR="005C7CE3" w:rsidRPr="004D451D">
        <w:rPr>
          <w:rFonts w:eastAsia="標楷體"/>
          <w:b/>
          <w:sz w:val="32"/>
          <w:szCs w:val="32"/>
        </w:rPr>
        <w:t>】</w:t>
      </w:r>
    </w:p>
    <w:p w:rsidR="005C7CE3" w:rsidRPr="004D451D" w:rsidRDefault="001874C1" w:rsidP="005C7CE3">
      <w:pPr>
        <w:jc w:val="center"/>
        <w:rPr>
          <w:rFonts w:eastAsia="標楷體"/>
          <w:b/>
          <w:bCs/>
          <w:sz w:val="30"/>
          <w:szCs w:val="30"/>
        </w:rPr>
      </w:pPr>
      <w:r w:rsidRPr="004D451D">
        <w:rPr>
          <w:rFonts w:eastAsia="標楷體"/>
          <w:b/>
          <w:bCs/>
          <w:sz w:val="30"/>
          <w:szCs w:val="30"/>
        </w:rPr>
        <w:t>交易對手信用風險暴險之風險性資產變動</w:t>
      </w:r>
      <w:r w:rsidR="005C7CE3" w:rsidRPr="004D451D">
        <w:rPr>
          <w:rFonts w:eastAsia="標楷體"/>
          <w:b/>
          <w:bCs/>
          <w:sz w:val="30"/>
          <w:szCs w:val="30"/>
        </w:rPr>
        <w:t>表</w:t>
      </w:r>
      <w:r w:rsidR="00F3145A" w:rsidRPr="004D451D">
        <w:rPr>
          <w:rFonts w:hint="eastAsia"/>
          <w:b/>
          <w:sz w:val="30"/>
          <w:szCs w:val="30"/>
        </w:rPr>
        <w:t>─</w:t>
      </w:r>
      <w:r w:rsidR="00F3145A" w:rsidRPr="004D451D">
        <w:rPr>
          <w:rFonts w:eastAsia="標楷體"/>
          <w:b/>
          <w:bCs/>
          <w:sz w:val="30"/>
          <w:szCs w:val="30"/>
        </w:rPr>
        <w:t>內部模型法</w:t>
      </w:r>
      <w:r w:rsidR="00F3145A" w:rsidRPr="004D451D">
        <w:rPr>
          <w:rFonts w:eastAsia="標楷體"/>
          <w:b/>
          <w:bCs/>
          <w:sz w:val="30"/>
          <w:szCs w:val="30"/>
        </w:rPr>
        <w:t>(IMM)</w:t>
      </w:r>
      <w:r w:rsidR="00311B1D" w:rsidRPr="004D451D">
        <w:rPr>
          <w:rFonts w:eastAsia="標楷體" w:hint="eastAsia"/>
          <w:b/>
          <w:bCs/>
          <w:sz w:val="30"/>
          <w:szCs w:val="30"/>
        </w:rPr>
        <w:t xml:space="preserve"> -</w:t>
      </w:r>
      <w:r w:rsidR="00311B1D" w:rsidRPr="004D451D">
        <w:rPr>
          <w:rFonts w:eastAsia="標楷體" w:hint="eastAsia"/>
          <w:b/>
          <w:bCs/>
          <w:sz w:val="30"/>
          <w:szCs w:val="30"/>
        </w:rPr>
        <w:t>不適用</w:t>
      </w:r>
    </w:p>
    <w:p w:rsidR="005C7CE3" w:rsidRPr="004D451D" w:rsidRDefault="005C7CE3" w:rsidP="005C7CE3">
      <w:pPr>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311B1D" w:rsidRPr="004D451D">
        <w:rPr>
          <w:rFonts w:eastAsia="標楷體" w:hint="eastAsia"/>
          <w:bCs/>
          <w:sz w:val="32"/>
          <w:szCs w:val="32"/>
        </w:rPr>
        <w:t>10</w:t>
      </w:r>
      <w:r w:rsidR="009C31D6" w:rsidRPr="004D451D">
        <w:rPr>
          <w:rFonts w:eastAsia="標楷體" w:hint="eastAsia"/>
          <w:bCs/>
          <w:sz w:val="32"/>
          <w:szCs w:val="32"/>
        </w:rPr>
        <w:t>7</w:t>
      </w:r>
      <w:r w:rsidRPr="004D451D">
        <w:rPr>
          <w:rFonts w:eastAsia="標楷體"/>
          <w:bCs/>
          <w:sz w:val="32"/>
          <w:szCs w:val="32"/>
        </w:rPr>
        <w:t>年</w:t>
      </w:r>
      <w:r w:rsidR="009C31D6" w:rsidRPr="004D451D">
        <w:rPr>
          <w:rFonts w:eastAsia="標楷體" w:hint="eastAsia"/>
          <w:bCs/>
          <w:sz w:val="32"/>
          <w:szCs w:val="32"/>
        </w:rPr>
        <w:t>06</w:t>
      </w:r>
      <w:r w:rsidRPr="004D451D">
        <w:rPr>
          <w:rFonts w:eastAsia="標楷體"/>
          <w:bCs/>
          <w:sz w:val="32"/>
          <w:szCs w:val="32"/>
        </w:rPr>
        <w:t>月</w:t>
      </w:r>
      <w:r w:rsidR="00311B1D" w:rsidRPr="004D451D">
        <w:rPr>
          <w:rFonts w:eastAsia="標楷體" w:hint="eastAsia"/>
          <w:bCs/>
          <w:sz w:val="32"/>
          <w:szCs w:val="32"/>
        </w:rPr>
        <w:t>3</w:t>
      </w:r>
      <w:r w:rsidR="009C31D6" w:rsidRPr="004D451D">
        <w:rPr>
          <w:rFonts w:eastAsia="標楷體" w:hint="eastAsia"/>
          <w:bCs/>
          <w:sz w:val="32"/>
          <w:szCs w:val="32"/>
        </w:rPr>
        <w:t>0</w:t>
      </w:r>
      <w:r w:rsidRPr="004D451D">
        <w:rPr>
          <w:rFonts w:eastAsia="標楷體"/>
          <w:bCs/>
          <w:sz w:val="32"/>
          <w:szCs w:val="32"/>
        </w:rPr>
        <w:t>日</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1A7D13" w:rsidRPr="004D451D">
        <w:rPr>
          <w:rFonts w:eastAsia="標楷體"/>
          <w:bCs/>
        </w:rPr>
        <w:t>：</w:t>
      </w:r>
      <w:r w:rsidRPr="004D451D">
        <w:rPr>
          <w:rFonts w:eastAsia="標楷體"/>
          <w:bCs/>
        </w:rPr>
        <w:t>新臺幣千元</w:t>
      </w:r>
      <w:r w:rsidR="00D82B93" w:rsidRPr="004D451D">
        <w:rPr>
          <w:rFonts w:eastAsia="標楷體" w:hint="eastAsia"/>
          <w:bCs/>
        </w:rPr>
        <w:t>）</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380"/>
        <w:gridCol w:w="2311"/>
        <w:gridCol w:w="2311"/>
      </w:tblGrid>
      <w:tr w:rsidR="004D451D" w:rsidRPr="004D451D" w:rsidTr="000F427D">
        <w:trPr>
          <w:trHeight w:val="351"/>
        </w:trPr>
        <w:tc>
          <w:tcPr>
            <w:tcW w:w="4786" w:type="dxa"/>
            <w:gridSpan w:val="2"/>
            <w:vMerge w:val="restart"/>
            <w:tcBorders>
              <w:top w:val="single" w:sz="4" w:space="0" w:color="auto"/>
              <w:left w:val="single" w:sz="4" w:space="0" w:color="auto"/>
            </w:tcBorders>
            <w:shd w:val="clear" w:color="auto" w:fill="auto"/>
            <w:vAlign w:val="center"/>
          </w:tcPr>
          <w:p w:rsidR="0038503E" w:rsidRPr="004D451D" w:rsidRDefault="0038503E" w:rsidP="008E431D">
            <w:pPr>
              <w:jc w:val="center"/>
              <w:rPr>
                <w:rFonts w:eastAsia="標楷體"/>
                <w:bCs/>
              </w:rPr>
            </w:pPr>
            <w:r w:rsidRPr="004D451D">
              <w:rPr>
                <w:rFonts w:eastAsia="標楷體"/>
                <w:bCs/>
              </w:rPr>
              <w:t>項目</w:t>
            </w:r>
          </w:p>
        </w:tc>
        <w:tc>
          <w:tcPr>
            <w:tcW w:w="2311" w:type="dxa"/>
            <w:shd w:val="clear" w:color="auto" w:fill="auto"/>
            <w:vAlign w:val="center"/>
          </w:tcPr>
          <w:p w:rsidR="0038503E" w:rsidRPr="004D451D" w:rsidRDefault="0038503E" w:rsidP="000F427D">
            <w:pPr>
              <w:jc w:val="center"/>
              <w:rPr>
                <w:rFonts w:eastAsia="標楷體"/>
                <w:bCs/>
              </w:rPr>
            </w:pPr>
            <w:r w:rsidRPr="004D451D">
              <w:rPr>
                <w:rFonts w:eastAsia="標楷體"/>
                <w:bCs/>
              </w:rPr>
              <w:t>本季</w:t>
            </w:r>
          </w:p>
        </w:tc>
        <w:tc>
          <w:tcPr>
            <w:tcW w:w="2311" w:type="dxa"/>
            <w:shd w:val="clear" w:color="auto" w:fill="auto"/>
            <w:vAlign w:val="center"/>
          </w:tcPr>
          <w:p w:rsidR="0038503E" w:rsidRPr="004D451D" w:rsidRDefault="0038503E" w:rsidP="000F427D">
            <w:pPr>
              <w:jc w:val="center"/>
              <w:rPr>
                <w:rFonts w:eastAsia="標楷體"/>
                <w:bCs/>
              </w:rPr>
            </w:pPr>
            <w:r w:rsidRPr="004D451D">
              <w:rPr>
                <w:rFonts w:eastAsia="標楷體"/>
                <w:bCs/>
              </w:rPr>
              <w:t>前一季</w:t>
            </w:r>
          </w:p>
        </w:tc>
      </w:tr>
      <w:tr w:rsidR="004D451D" w:rsidRPr="004D451D" w:rsidTr="000F427D">
        <w:trPr>
          <w:trHeight w:val="441"/>
        </w:trPr>
        <w:tc>
          <w:tcPr>
            <w:tcW w:w="4786" w:type="dxa"/>
            <w:gridSpan w:val="2"/>
            <w:vMerge/>
            <w:tcBorders>
              <w:left w:val="single" w:sz="4" w:space="0" w:color="auto"/>
            </w:tcBorders>
            <w:shd w:val="clear" w:color="auto" w:fill="auto"/>
          </w:tcPr>
          <w:p w:rsidR="0038503E" w:rsidRPr="004D451D" w:rsidRDefault="0038503E" w:rsidP="008E431D">
            <w:pPr>
              <w:jc w:val="right"/>
              <w:rPr>
                <w:rFonts w:eastAsia="標楷體"/>
                <w:bCs/>
              </w:rPr>
            </w:pPr>
          </w:p>
        </w:tc>
        <w:tc>
          <w:tcPr>
            <w:tcW w:w="2311" w:type="dxa"/>
            <w:shd w:val="clear" w:color="auto" w:fill="auto"/>
            <w:vAlign w:val="center"/>
          </w:tcPr>
          <w:p w:rsidR="0038503E" w:rsidRPr="004D451D" w:rsidRDefault="0038503E" w:rsidP="000F427D">
            <w:pPr>
              <w:jc w:val="center"/>
              <w:rPr>
                <w:rFonts w:eastAsia="標楷體"/>
                <w:bCs/>
              </w:rPr>
            </w:pPr>
            <w:r w:rsidRPr="004D451D">
              <w:rPr>
                <w:rFonts w:eastAsia="標楷體"/>
                <w:bCs/>
              </w:rPr>
              <w:t>風險性資產金額</w:t>
            </w:r>
          </w:p>
        </w:tc>
        <w:tc>
          <w:tcPr>
            <w:tcW w:w="2311" w:type="dxa"/>
            <w:shd w:val="clear" w:color="auto" w:fill="auto"/>
            <w:vAlign w:val="center"/>
          </w:tcPr>
          <w:p w:rsidR="0038503E" w:rsidRPr="004D451D" w:rsidRDefault="0038503E" w:rsidP="000F427D">
            <w:pPr>
              <w:jc w:val="center"/>
              <w:rPr>
                <w:rFonts w:eastAsia="標楷體"/>
                <w:bCs/>
              </w:rPr>
            </w:pPr>
            <w:r w:rsidRPr="004D451D">
              <w:rPr>
                <w:rFonts w:eastAsia="標楷體"/>
                <w:bCs/>
              </w:rPr>
              <w:t>風險性資產金額</w:t>
            </w:r>
          </w:p>
        </w:tc>
      </w:tr>
      <w:tr w:rsidR="004D451D" w:rsidRPr="004D451D" w:rsidTr="000F427D">
        <w:trPr>
          <w:trHeight w:val="412"/>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1</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上期期末報表日之風險性資產</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5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2</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資產規模</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5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3</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交易對手信用品質</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7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4</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模型更新</w:t>
            </w:r>
            <w:r w:rsidRPr="004D451D">
              <w:rPr>
                <w:rFonts w:eastAsia="標楷體"/>
                <w:bCs/>
              </w:rPr>
              <w:t>(</w:t>
            </w:r>
            <w:r w:rsidRPr="004D451D">
              <w:rPr>
                <w:rFonts w:eastAsia="標楷體"/>
                <w:bCs/>
              </w:rPr>
              <w:t>僅適用內部模型計算法</w:t>
            </w:r>
            <w:r w:rsidRPr="004D451D">
              <w:rPr>
                <w:rFonts w:eastAsia="標楷體"/>
                <w:bCs/>
              </w:rPr>
              <w:t>)</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5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5</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方法論與政策</w:t>
            </w:r>
            <w:r w:rsidRPr="004D451D">
              <w:rPr>
                <w:rFonts w:eastAsia="標楷體"/>
                <w:bCs/>
              </w:rPr>
              <w:t>(</w:t>
            </w:r>
            <w:r w:rsidRPr="004D451D">
              <w:rPr>
                <w:rFonts w:eastAsia="標楷體"/>
                <w:bCs/>
              </w:rPr>
              <w:t>僅適用內部模型計算法</w:t>
            </w:r>
            <w:r w:rsidRPr="004D451D">
              <w:rPr>
                <w:rFonts w:eastAsia="標楷體"/>
                <w:bCs/>
              </w:rPr>
              <w:t>)</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5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6</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取得與處分</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5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7</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匯率變動</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7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8</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其他</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4D451D" w:rsidRPr="004D451D" w:rsidTr="000F427D">
        <w:trPr>
          <w:trHeight w:val="351"/>
        </w:trPr>
        <w:tc>
          <w:tcPr>
            <w:tcW w:w="406" w:type="dxa"/>
            <w:shd w:val="clear" w:color="auto" w:fill="auto"/>
            <w:vAlign w:val="center"/>
          </w:tcPr>
          <w:p w:rsidR="0038503E" w:rsidRPr="004D451D" w:rsidRDefault="0038503E" w:rsidP="0038503E">
            <w:pPr>
              <w:jc w:val="center"/>
              <w:rPr>
                <w:rFonts w:eastAsia="標楷體"/>
                <w:bCs/>
              </w:rPr>
            </w:pPr>
            <w:r w:rsidRPr="004D451D">
              <w:rPr>
                <w:rFonts w:eastAsia="標楷體"/>
                <w:bCs/>
              </w:rPr>
              <w:t>9</w:t>
            </w:r>
          </w:p>
        </w:tc>
        <w:tc>
          <w:tcPr>
            <w:tcW w:w="4380" w:type="dxa"/>
            <w:shd w:val="clear" w:color="auto" w:fill="auto"/>
            <w:vAlign w:val="center"/>
          </w:tcPr>
          <w:p w:rsidR="0038503E" w:rsidRPr="004D451D" w:rsidRDefault="0038503E" w:rsidP="000F427D">
            <w:pPr>
              <w:jc w:val="both"/>
              <w:rPr>
                <w:rFonts w:eastAsia="標楷體"/>
                <w:bCs/>
              </w:rPr>
            </w:pPr>
            <w:r w:rsidRPr="004D451D">
              <w:rPr>
                <w:rFonts w:eastAsia="標楷體"/>
                <w:bCs/>
              </w:rPr>
              <w:t>期末報表日之風險性資產</w:t>
            </w:r>
          </w:p>
        </w:tc>
        <w:tc>
          <w:tcPr>
            <w:tcW w:w="2311" w:type="dxa"/>
            <w:shd w:val="clear" w:color="auto" w:fill="auto"/>
          </w:tcPr>
          <w:p w:rsidR="0038503E" w:rsidRPr="004D451D" w:rsidRDefault="0038503E" w:rsidP="008E431D">
            <w:pPr>
              <w:jc w:val="center"/>
              <w:rPr>
                <w:rFonts w:eastAsia="標楷體"/>
                <w:bCs/>
              </w:rPr>
            </w:pPr>
          </w:p>
        </w:tc>
        <w:tc>
          <w:tcPr>
            <w:tcW w:w="2311" w:type="dxa"/>
            <w:shd w:val="clear" w:color="auto" w:fill="auto"/>
          </w:tcPr>
          <w:p w:rsidR="0038503E" w:rsidRPr="004D451D" w:rsidRDefault="0038503E" w:rsidP="008E431D">
            <w:pPr>
              <w:jc w:val="center"/>
              <w:rPr>
                <w:rFonts w:eastAsia="標楷體"/>
                <w:bCs/>
              </w:rPr>
            </w:pPr>
          </w:p>
        </w:tc>
      </w:tr>
      <w:tr w:rsidR="0038503E" w:rsidRPr="004D451D" w:rsidTr="000F427D">
        <w:trPr>
          <w:trHeight w:val="556"/>
        </w:trPr>
        <w:tc>
          <w:tcPr>
            <w:tcW w:w="9408" w:type="dxa"/>
            <w:gridSpan w:val="4"/>
            <w:shd w:val="clear" w:color="auto" w:fill="auto"/>
          </w:tcPr>
          <w:p w:rsidR="0038503E" w:rsidRPr="004D451D" w:rsidRDefault="0038503E" w:rsidP="008E431D">
            <w:pPr>
              <w:rPr>
                <w:rFonts w:eastAsia="標楷體"/>
                <w:bCs/>
              </w:rPr>
            </w:pPr>
            <w:r w:rsidRPr="004D451D">
              <w:rPr>
                <w:rFonts w:eastAsia="標楷體"/>
                <w:bCs/>
              </w:rPr>
              <w:t>重大變動原因及說明：</w:t>
            </w:r>
          </w:p>
        </w:tc>
      </w:tr>
    </w:tbl>
    <w:p w:rsidR="000F427D" w:rsidRPr="004D451D" w:rsidRDefault="000F427D" w:rsidP="000F427D">
      <w:pPr>
        <w:spacing w:line="240" w:lineRule="atLeast"/>
        <w:rPr>
          <w:rFonts w:eastAsia="標楷體"/>
          <w:b/>
          <w:kern w:val="0"/>
        </w:rPr>
      </w:pPr>
    </w:p>
    <w:p w:rsidR="00A976F9" w:rsidRPr="004D451D" w:rsidRDefault="00A976F9" w:rsidP="000F427D">
      <w:pPr>
        <w:spacing w:line="240" w:lineRule="atLeast"/>
        <w:rPr>
          <w:rFonts w:eastAsia="標楷體"/>
          <w:b/>
          <w:kern w:val="0"/>
        </w:rPr>
      </w:pPr>
      <w:r w:rsidRPr="004D451D">
        <w:rPr>
          <w:rFonts w:eastAsia="標楷體"/>
          <w:b/>
          <w:kern w:val="0"/>
        </w:rPr>
        <w:t>填表說明：</w:t>
      </w:r>
    </w:p>
    <w:p w:rsidR="00A976F9" w:rsidRPr="004D451D" w:rsidRDefault="00A976F9" w:rsidP="00EF4134">
      <w:pPr>
        <w:numPr>
          <w:ilvl w:val="0"/>
          <w:numId w:val="60"/>
        </w:numPr>
        <w:spacing w:line="240" w:lineRule="atLeast"/>
        <w:ind w:leftChars="150" w:left="720" w:hangingChars="150"/>
        <w:jc w:val="both"/>
        <w:rPr>
          <w:rFonts w:eastAsia="標楷體"/>
        </w:rPr>
      </w:pPr>
      <w:r w:rsidRPr="004D451D">
        <w:rPr>
          <w:rFonts w:eastAsia="標楷體"/>
        </w:rPr>
        <w:t>本表更新頻率：半年</w:t>
      </w:r>
      <w:r w:rsidRPr="004D451D">
        <w:rPr>
          <w:rFonts w:eastAsia="標楷體"/>
        </w:rPr>
        <w:t>(</w:t>
      </w:r>
      <w:r w:rsidRPr="004D451D">
        <w:rPr>
          <w:rFonts w:eastAsia="標楷體"/>
        </w:rPr>
        <w:t>每半年揭露近兩季資料，第一季與第三季資料得免經會計師複核</w:t>
      </w:r>
      <w:r w:rsidRPr="004D451D">
        <w:rPr>
          <w:rFonts w:eastAsia="標楷體"/>
        </w:rPr>
        <w:t>)</w:t>
      </w:r>
      <w:r w:rsidRPr="004D451D">
        <w:rPr>
          <w:rFonts w:eastAsia="標楷體"/>
        </w:rPr>
        <w:t>。</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本表採個體基礎填報。</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本表風險性資產只包含交易對手信用風險，排除</w:t>
      </w:r>
      <w:r w:rsidR="0076549B" w:rsidRPr="004D451D">
        <w:rPr>
          <w:rFonts w:eastAsia="標楷體" w:hint="eastAsia"/>
        </w:rPr>
        <w:t>【</w:t>
      </w:r>
      <w:r w:rsidRPr="004D451D">
        <w:rPr>
          <w:rFonts w:eastAsia="標楷體"/>
        </w:rPr>
        <w:t>附表二十</w:t>
      </w:r>
      <w:r w:rsidR="00AB61B7" w:rsidRPr="004D451D">
        <w:rPr>
          <w:rFonts w:eastAsia="標楷體" w:hint="eastAsia"/>
        </w:rPr>
        <w:t>四</w:t>
      </w:r>
      <w:r w:rsidR="0076549B" w:rsidRPr="004D451D">
        <w:rPr>
          <w:rFonts w:eastAsia="標楷體" w:hint="eastAsia"/>
        </w:rPr>
        <w:t>】</w:t>
      </w:r>
      <w:r w:rsidRPr="004D451D">
        <w:rPr>
          <w:rFonts w:eastAsia="標楷體"/>
        </w:rPr>
        <w:t>之信用風險。</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資產規模：因銀行之帳面規模與組成的變動</w:t>
      </w:r>
      <w:r w:rsidRPr="004D451D">
        <w:rPr>
          <w:rFonts w:eastAsia="標楷體"/>
        </w:rPr>
        <w:t>(</w:t>
      </w:r>
      <w:r w:rsidRPr="004D451D">
        <w:rPr>
          <w:rFonts w:eastAsia="標楷體"/>
        </w:rPr>
        <w:t>包含新業務之開始與到期的貸款</w:t>
      </w:r>
      <w:r w:rsidRPr="004D451D">
        <w:rPr>
          <w:rFonts w:eastAsia="標楷體"/>
        </w:rPr>
        <w:t>)</w:t>
      </w:r>
      <w:r w:rsidRPr="004D451D">
        <w:rPr>
          <w:rFonts w:eastAsia="標楷體"/>
        </w:rPr>
        <w:t>，但排除因為取得或處分事業體所造成帳面規模的變動。</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交易對手信用品質：評估銀行交易對手信用品質之變動，不論銀行使用信用風險架構下之何種方法衡量，這一列包含當銀行使用內部評等法時，因內部評等模型所產生的潛在變動。</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模型更新：因模型導入、模型範圍變更或任何為改善模型缺點之調整所造成的變動</w:t>
      </w:r>
      <w:r w:rsidRPr="004D451D">
        <w:rPr>
          <w:rFonts w:eastAsia="標楷體"/>
          <w:bCs/>
        </w:rPr>
        <w:t>，僅適用內部模型計算法</w:t>
      </w:r>
      <w:r w:rsidRPr="004D451D">
        <w:rPr>
          <w:rFonts w:eastAsia="標楷體"/>
        </w:rPr>
        <w:t>。</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方法論與政策：因為法定政策之改變導致計算方法論的改變而引起之變化，包含現行法規的新修訂與新法規之實施</w:t>
      </w:r>
      <w:r w:rsidRPr="004D451D">
        <w:rPr>
          <w:rFonts w:eastAsia="標楷體"/>
          <w:bCs/>
        </w:rPr>
        <w:t>，僅適用內部模型計算法</w:t>
      </w:r>
      <w:r w:rsidRPr="004D451D">
        <w:rPr>
          <w:rFonts w:eastAsia="標楷體"/>
        </w:rPr>
        <w:t>。</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取得與處分：因為取得或處分事業體所造成帳面規模的變動。</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匯率變動：係指因匯率波動造成折算為新臺幣金額之差異。</w:t>
      </w:r>
    </w:p>
    <w:p w:rsidR="000F427D" w:rsidRPr="004D451D" w:rsidRDefault="000F427D" w:rsidP="00EF4134">
      <w:pPr>
        <w:numPr>
          <w:ilvl w:val="0"/>
          <w:numId w:val="60"/>
        </w:numPr>
        <w:spacing w:line="240" w:lineRule="atLeast"/>
        <w:ind w:leftChars="150" w:left="720" w:hangingChars="150"/>
        <w:jc w:val="both"/>
        <w:rPr>
          <w:rFonts w:eastAsia="標楷體"/>
        </w:rPr>
      </w:pPr>
      <w:r w:rsidRPr="004D451D">
        <w:rPr>
          <w:rFonts w:eastAsia="標楷體"/>
        </w:rPr>
        <w:t>其他：無法歸於任何其他種類之變動，惟銀行應該在第七列和第八列中間增加額外列，以揭露其他造成報表期間風險性資產變動的實質重大原因。</w:t>
      </w:r>
    </w:p>
    <w:p w:rsidR="00F6677E" w:rsidRPr="004D451D" w:rsidRDefault="000F427D" w:rsidP="00F6677E">
      <w:pPr>
        <w:widowControl/>
        <w:rPr>
          <w:rFonts w:eastAsia="標楷體"/>
          <w:sz w:val="32"/>
          <w:szCs w:val="32"/>
        </w:rPr>
      </w:pPr>
      <w:r w:rsidRPr="004D451D">
        <w:rPr>
          <w:rFonts w:ascii="Arial" w:eastAsia="標楷體" w:hAnsi="Arial" w:cs="Arial"/>
          <w:sz w:val="32"/>
          <w:szCs w:val="32"/>
        </w:rPr>
        <w:br w:type="page"/>
      </w:r>
      <w:r w:rsidR="00F6677E" w:rsidRPr="004D451D">
        <w:rPr>
          <w:rFonts w:eastAsia="標楷體"/>
          <w:b/>
          <w:sz w:val="32"/>
          <w:szCs w:val="32"/>
        </w:rPr>
        <w:t>【附表三十</w:t>
      </w:r>
      <w:r w:rsidR="00AB61B7" w:rsidRPr="004D451D">
        <w:rPr>
          <w:rFonts w:eastAsia="標楷體" w:hint="eastAsia"/>
          <w:b/>
          <w:sz w:val="32"/>
          <w:szCs w:val="32"/>
        </w:rPr>
        <w:t>五</w:t>
      </w:r>
      <w:r w:rsidR="00F6677E" w:rsidRPr="004D451D">
        <w:rPr>
          <w:rFonts w:eastAsia="標楷體"/>
          <w:b/>
          <w:sz w:val="32"/>
          <w:szCs w:val="32"/>
        </w:rPr>
        <w:t>】</w:t>
      </w:r>
    </w:p>
    <w:p w:rsidR="00311B1D" w:rsidRPr="004D451D" w:rsidRDefault="00F6677E" w:rsidP="00311B1D">
      <w:pPr>
        <w:jc w:val="center"/>
        <w:rPr>
          <w:rFonts w:eastAsia="標楷體"/>
          <w:b/>
          <w:bCs/>
          <w:sz w:val="32"/>
          <w:szCs w:val="32"/>
        </w:rPr>
      </w:pPr>
      <w:r w:rsidRPr="004D451D">
        <w:rPr>
          <w:rFonts w:eastAsia="標楷體"/>
          <w:b/>
          <w:bCs/>
          <w:sz w:val="32"/>
          <w:szCs w:val="32"/>
        </w:rPr>
        <w:t>集中結算交易對手暴險</w:t>
      </w:r>
      <w:r w:rsidR="00311B1D" w:rsidRPr="004D451D">
        <w:rPr>
          <w:rFonts w:eastAsia="標楷體" w:hint="eastAsia"/>
          <w:b/>
          <w:bCs/>
          <w:sz w:val="32"/>
          <w:szCs w:val="32"/>
        </w:rPr>
        <w:t>-</w:t>
      </w:r>
      <w:r w:rsidR="00311B1D" w:rsidRPr="004D451D">
        <w:rPr>
          <w:rFonts w:eastAsia="標楷體" w:hint="eastAsia"/>
          <w:b/>
          <w:bCs/>
          <w:sz w:val="32"/>
          <w:szCs w:val="32"/>
        </w:rPr>
        <w:t>不適用</w:t>
      </w:r>
    </w:p>
    <w:p w:rsidR="00F6677E" w:rsidRPr="004D451D" w:rsidRDefault="00F6677E" w:rsidP="00F6677E">
      <w:pPr>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311B1D" w:rsidRPr="004D451D">
        <w:rPr>
          <w:rFonts w:eastAsia="標楷體" w:hint="eastAsia"/>
          <w:bCs/>
          <w:sz w:val="32"/>
          <w:szCs w:val="32"/>
        </w:rPr>
        <w:t>10</w:t>
      </w:r>
      <w:r w:rsidR="009C31D6" w:rsidRPr="004D451D">
        <w:rPr>
          <w:rFonts w:eastAsia="標楷體" w:hint="eastAsia"/>
          <w:bCs/>
          <w:sz w:val="32"/>
          <w:szCs w:val="32"/>
        </w:rPr>
        <w:t>7</w:t>
      </w:r>
      <w:r w:rsidRPr="004D451D">
        <w:rPr>
          <w:rFonts w:eastAsia="標楷體"/>
          <w:bCs/>
          <w:sz w:val="32"/>
          <w:szCs w:val="32"/>
        </w:rPr>
        <w:t>年</w:t>
      </w:r>
      <w:r w:rsidR="009C31D6" w:rsidRPr="004D451D">
        <w:rPr>
          <w:rFonts w:eastAsia="標楷體" w:hint="eastAsia"/>
          <w:bCs/>
          <w:sz w:val="32"/>
          <w:szCs w:val="32"/>
        </w:rPr>
        <w:t>06</w:t>
      </w:r>
      <w:r w:rsidRPr="004D451D">
        <w:rPr>
          <w:rFonts w:eastAsia="標楷體"/>
          <w:bCs/>
          <w:sz w:val="32"/>
          <w:szCs w:val="32"/>
        </w:rPr>
        <w:t>月</w:t>
      </w:r>
      <w:r w:rsidR="00311B1D" w:rsidRPr="004D451D">
        <w:rPr>
          <w:rFonts w:eastAsia="標楷體" w:hint="eastAsia"/>
          <w:bCs/>
          <w:sz w:val="32"/>
          <w:szCs w:val="32"/>
        </w:rPr>
        <w:t>3</w:t>
      </w:r>
      <w:r w:rsidR="009C31D6" w:rsidRPr="004D451D">
        <w:rPr>
          <w:rFonts w:eastAsia="標楷體" w:hint="eastAsia"/>
          <w:bCs/>
          <w:sz w:val="32"/>
          <w:szCs w:val="32"/>
        </w:rPr>
        <w:t>0</w:t>
      </w:r>
      <w:r w:rsidRPr="004D451D">
        <w:rPr>
          <w:rFonts w:eastAsia="標楷體"/>
          <w:bCs/>
          <w:sz w:val="32"/>
          <w:szCs w:val="32"/>
        </w:rPr>
        <w:t>日</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9031A6" w:rsidRPr="004D451D">
        <w:rPr>
          <w:rFonts w:eastAsia="標楷體"/>
          <w:bCs/>
        </w:rPr>
        <w:t>：</w:t>
      </w:r>
      <w:r w:rsidRPr="004D451D">
        <w:rPr>
          <w:rFonts w:eastAsia="標楷體"/>
          <w:bCs/>
        </w:rPr>
        <w:t>新臺幣千元</w:t>
      </w:r>
      <w:r w:rsidR="00D82B93" w:rsidRPr="004D451D">
        <w:rPr>
          <w:rFonts w:eastAsia="標楷體" w:hint="eastAsia"/>
          <w:bCs/>
        </w:rPr>
        <w:t>）</w:t>
      </w:r>
    </w:p>
    <w:tbl>
      <w:tblPr>
        <w:tblW w:w="956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150"/>
        <w:gridCol w:w="2693"/>
        <w:gridCol w:w="2268"/>
      </w:tblGrid>
      <w:tr w:rsidR="004D451D" w:rsidRPr="004D451D" w:rsidTr="009031A6">
        <w:tc>
          <w:tcPr>
            <w:tcW w:w="4606" w:type="dxa"/>
            <w:gridSpan w:val="2"/>
            <w:shd w:val="clear" w:color="auto" w:fill="auto"/>
            <w:vAlign w:val="center"/>
          </w:tcPr>
          <w:p w:rsidR="006F0DC2" w:rsidRPr="004D451D" w:rsidRDefault="009031A6" w:rsidP="008E431D">
            <w:pPr>
              <w:spacing w:line="360" w:lineRule="auto"/>
              <w:jc w:val="center"/>
              <w:rPr>
                <w:rFonts w:eastAsia="標楷體"/>
              </w:rPr>
            </w:pPr>
            <w:r w:rsidRPr="004D451D">
              <w:rPr>
                <w:rFonts w:eastAsia="標楷體" w:hint="eastAsia"/>
              </w:rPr>
              <w:t>項目</w:t>
            </w:r>
          </w:p>
        </w:tc>
        <w:tc>
          <w:tcPr>
            <w:tcW w:w="2693" w:type="dxa"/>
            <w:shd w:val="clear" w:color="auto" w:fill="auto"/>
            <w:vAlign w:val="center"/>
          </w:tcPr>
          <w:p w:rsidR="006F0DC2" w:rsidRPr="004D451D" w:rsidRDefault="006F0DC2" w:rsidP="009031A6">
            <w:pPr>
              <w:spacing w:line="240" w:lineRule="atLeast"/>
              <w:jc w:val="center"/>
              <w:rPr>
                <w:rFonts w:eastAsia="標楷體"/>
              </w:rPr>
            </w:pPr>
            <w:r w:rsidRPr="004D451D">
              <w:rPr>
                <w:rFonts w:eastAsia="標楷體"/>
              </w:rPr>
              <w:t>考慮信用風險抵減後之違約暴險額</w:t>
            </w:r>
            <w:r w:rsidR="009031A6" w:rsidRPr="004D451D">
              <w:rPr>
                <w:rFonts w:eastAsia="標楷體" w:hint="eastAsia"/>
              </w:rPr>
              <w:t>A</w:t>
            </w:r>
          </w:p>
        </w:tc>
        <w:tc>
          <w:tcPr>
            <w:tcW w:w="2268" w:type="dxa"/>
            <w:shd w:val="clear" w:color="auto" w:fill="auto"/>
            <w:vAlign w:val="center"/>
          </w:tcPr>
          <w:p w:rsidR="006F0DC2" w:rsidRPr="004D451D" w:rsidRDefault="006F0DC2" w:rsidP="009031A6">
            <w:pPr>
              <w:spacing w:line="240" w:lineRule="atLeast"/>
              <w:jc w:val="center"/>
              <w:rPr>
                <w:rFonts w:eastAsia="標楷體"/>
              </w:rPr>
            </w:pPr>
            <w:r w:rsidRPr="004D451D">
              <w:rPr>
                <w:rFonts w:eastAsia="標楷體"/>
              </w:rPr>
              <w:t>風險性資產</w:t>
            </w:r>
            <w:r w:rsidR="009031A6" w:rsidRPr="004D451D">
              <w:rPr>
                <w:rFonts w:eastAsia="標楷體" w:hint="eastAsia"/>
              </w:rPr>
              <w:t>B</w:t>
            </w:r>
          </w:p>
        </w:tc>
      </w:tr>
      <w:tr w:rsidR="004D451D" w:rsidRPr="004D451D" w:rsidTr="00D616C1">
        <w:tc>
          <w:tcPr>
            <w:tcW w:w="0" w:type="auto"/>
            <w:shd w:val="clear" w:color="auto" w:fill="auto"/>
            <w:vAlign w:val="center"/>
          </w:tcPr>
          <w:p w:rsidR="00F6677E" w:rsidRPr="004D451D" w:rsidRDefault="006F0DC2" w:rsidP="008E431D">
            <w:pPr>
              <w:spacing w:line="360" w:lineRule="auto"/>
              <w:jc w:val="center"/>
              <w:rPr>
                <w:rFonts w:eastAsia="標楷體"/>
              </w:rPr>
            </w:pPr>
            <w:r w:rsidRPr="004D451D">
              <w:rPr>
                <w:rFonts w:eastAsia="標楷體"/>
              </w:rPr>
              <w:t>1</w:t>
            </w:r>
          </w:p>
        </w:tc>
        <w:tc>
          <w:tcPr>
            <w:tcW w:w="4150" w:type="dxa"/>
            <w:shd w:val="clear" w:color="auto" w:fill="auto"/>
            <w:vAlign w:val="center"/>
          </w:tcPr>
          <w:p w:rsidR="00F6677E" w:rsidRPr="004D451D" w:rsidRDefault="006F0DC2" w:rsidP="009031A6">
            <w:pPr>
              <w:spacing w:line="240" w:lineRule="atLeast"/>
              <w:rPr>
                <w:rFonts w:eastAsia="標楷體"/>
                <w:b/>
              </w:rPr>
            </w:pPr>
            <w:r w:rsidRPr="004D451D">
              <w:rPr>
                <w:rFonts w:eastAsia="標楷體"/>
                <w:b/>
              </w:rPr>
              <w:t>合格集中結算交易對手暴險</w:t>
            </w:r>
            <w:r w:rsidRPr="004D451D">
              <w:rPr>
                <w:rFonts w:eastAsia="標楷體"/>
                <w:b/>
              </w:rPr>
              <w:t>(</w:t>
            </w:r>
            <w:r w:rsidRPr="004D451D">
              <w:rPr>
                <w:rFonts w:eastAsia="標楷體"/>
                <w:b/>
              </w:rPr>
              <w:t>總計</w:t>
            </w:r>
            <w:r w:rsidRPr="004D451D">
              <w:rPr>
                <w:rFonts w:eastAsia="標楷體"/>
                <w:b/>
              </w:rPr>
              <w:t>)</w:t>
            </w:r>
          </w:p>
        </w:tc>
        <w:tc>
          <w:tcPr>
            <w:tcW w:w="2693" w:type="dxa"/>
            <w:shd w:val="clear" w:color="auto" w:fill="A6A6A6"/>
            <w:vAlign w:val="center"/>
          </w:tcPr>
          <w:p w:rsidR="00F6677E" w:rsidRPr="004D451D" w:rsidRDefault="00F6677E" w:rsidP="008E431D">
            <w:pPr>
              <w:spacing w:line="360" w:lineRule="auto"/>
              <w:jc w:val="center"/>
              <w:rPr>
                <w:rFonts w:eastAsia="標楷體"/>
              </w:rPr>
            </w:pPr>
          </w:p>
        </w:tc>
        <w:tc>
          <w:tcPr>
            <w:tcW w:w="2268" w:type="dxa"/>
            <w:shd w:val="clear" w:color="auto" w:fill="auto"/>
            <w:vAlign w:val="center"/>
          </w:tcPr>
          <w:p w:rsidR="00F6677E" w:rsidRPr="004D451D" w:rsidRDefault="00F6677E" w:rsidP="008E431D">
            <w:pPr>
              <w:spacing w:line="360" w:lineRule="auto"/>
              <w:jc w:val="center"/>
              <w:rPr>
                <w:rFonts w:eastAsia="標楷體"/>
              </w:rPr>
            </w:pPr>
          </w:p>
        </w:tc>
      </w:tr>
      <w:tr w:rsidR="004D451D" w:rsidRPr="004D451D" w:rsidTr="009031A6">
        <w:trPr>
          <w:trHeight w:val="802"/>
        </w:trPr>
        <w:tc>
          <w:tcPr>
            <w:tcW w:w="0" w:type="auto"/>
            <w:vMerge w:val="restart"/>
            <w:shd w:val="clear" w:color="auto" w:fill="auto"/>
            <w:vAlign w:val="center"/>
          </w:tcPr>
          <w:p w:rsidR="009031A6" w:rsidRPr="004D451D" w:rsidRDefault="009031A6" w:rsidP="008E431D">
            <w:pPr>
              <w:spacing w:line="360" w:lineRule="auto"/>
              <w:jc w:val="center"/>
              <w:rPr>
                <w:rFonts w:eastAsia="標楷體"/>
              </w:rPr>
            </w:pPr>
            <w:r w:rsidRPr="004D451D">
              <w:rPr>
                <w:rFonts w:eastAsia="標楷體"/>
              </w:rPr>
              <w:t>2</w:t>
            </w:r>
          </w:p>
        </w:tc>
        <w:tc>
          <w:tcPr>
            <w:tcW w:w="4150" w:type="dxa"/>
            <w:shd w:val="clear" w:color="auto" w:fill="auto"/>
            <w:vAlign w:val="center"/>
          </w:tcPr>
          <w:p w:rsidR="009031A6" w:rsidRPr="004D451D" w:rsidRDefault="009031A6" w:rsidP="009031A6">
            <w:pPr>
              <w:spacing w:line="240" w:lineRule="atLeast"/>
              <w:rPr>
                <w:rFonts w:eastAsia="標楷體"/>
              </w:rPr>
            </w:pPr>
            <w:r w:rsidRPr="004D451D">
              <w:rPr>
                <w:rFonts w:eastAsia="標楷體"/>
              </w:rPr>
              <w:t>合格集中結算交易對手交易之暴險</w:t>
            </w:r>
            <w:r w:rsidRPr="004D451D">
              <w:rPr>
                <w:rFonts w:eastAsia="標楷體"/>
              </w:rPr>
              <w:t>(</w:t>
            </w:r>
            <w:r w:rsidRPr="004D451D">
              <w:rPr>
                <w:rFonts w:eastAsia="標楷體"/>
              </w:rPr>
              <w:t>排除原始保證金與違約基金繳存</w:t>
            </w:r>
            <w:r w:rsidRPr="004D451D">
              <w:rPr>
                <w:rFonts w:eastAsia="標楷體"/>
              </w:rPr>
              <w:t>)</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18"/>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2"/>
              </w:numPr>
              <w:spacing w:line="240" w:lineRule="atLeast"/>
              <w:rPr>
                <w:rFonts w:eastAsia="標楷體"/>
              </w:rPr>
            </w:pPr>
            <w:r w:rsidRPr="004D451D">
              <w:rPr>
                <w:rFonts w:eastAsia="標楷體"/>
              </w:rPr>
              <w:t>店頭市場的衍生性金融商品</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01"/>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2"/>
              </w:numPr>
              <w:spacing w:line="240" w:lineRule="atLeast"/>
              <w:rPr>
                <w:rFonts w:eastAsia="標楷體"/>
              </w:rPr>
            </w:pPr>
            <w:r w:rsidRPr="004D451D">
              <w:rPr>
                <w:rFonts w:eastAsia="標楷體"/>
              </w:rPr>
              <w:t>交易所交易的衍生性金融商品</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51"/>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2"/>
              </w:numPr>
              <w:spacing w:line="240" w:lineRule="atLeast"/>
              <w:rPr>
                <w:rFonts w:eastAsia="標楷體"/>
              </w:rPr>
            </w:pPr>
            <w:r w:rsidRPr="004D451D">
              <w:rPr>
                <w:rFonts w:eastAsia="標楷體"/>
              </w:rPr>
              <w:t>有價證券融資交易</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419"/>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2"/>
              </w:numPr>
              <w:spacing w:line="240" w:lineRule="atLeast"/>
              <w:rPr>
                <w:rFonts w:eastAsia="標楷體"/>
              </w:rPr>
            </w:pPr>
            <w:r w:rsidRPr="004D451D">
              <w:rPr>
                <w:rFonts w:eastAsia="標楷體"/>
              </w:rPr>
              <w:t>經核准之跨商品淨額結算交易</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D616C1">
        <w:tc>
          <w:tcPr>
            <w:tcW w:w="0" w:type="auto"/>
            <w:shd w:val="clear" w:color="auto" w:fill="auto"/>
            <w:vAlign w:val="center"/>
          </w:tcPr>
          <w:p w:rsidR="00F6677E" w:rsidRPr="004D451D" w:rsidRDefault="00E7763E" w:rsidP="008E431D">
            <w:pPr>
              <w:spacing w:line="360" w:lineRule="auto"/>
              <w:jc w:val="center"/>
              <w:rPr>
                <w:rFonts w:eastAsia="標楷體"/>
              </w:rPr>
            </w:pPr>
            <w:r w:rsidRPr="004D451D">
              <w:rPr>
                <w:rFonts w:eastAsia="標楷體"/>
              </w:rPr>
              <w:t>3</w:t>
            </w:r>
          </w:p>
        </w:tc>
        <w:tc>
          <w:tcPr>
            <w:tcW w:w="4150" w:type="dxa"/>
            <w:shd w:val="clear" w:color="auto" w:fill="auto"/>
            <w:vAlign w:val="center"/>
          </w:tcPr>
          <w:p w:rsidR="00F6677E" w:rsidRPr="004D451D" w:rsidRDefault="006F0DC2" w:rsidP="009031A6">
            <w:pPr>
              <w:spacing w:line="240" w:lineRule="atLeast"/>
              <w:rPr>
                <w:rFonts w:eastAsia="標楷體"/>
              </w:rPr>
            </w:pPr>
            <w:r w:rsidRPr="004D451D">
              <w:rPr>
                <w:rFonts w:eastAsia="標楷體"/>
              </w:rPr>
              <w:t>隔離的原始保證金</w:t>
            </w:r>
          </w:p>
        </w:tc>
        <w:tc>
          <w:tcPr>
            <w:tcW w:w="2693" w:type="dxa"/>
            <w:shd w:val="clear" w:color="auto" w:fill="auto"/>
            <w:vAlign w:val="center"/>
          </w:tcPr>
          <w:p w:rsidR="00F6677E" w:rsidRPr="004D451D" w:rsidRDefault="00F6677E" w:rsidP="008E431D">
            <w:pPr>
              <w:spacing w:line="360" w:lineRule="auto"/>
              <w:jc w:val="center"/>
              <w:rPr>
                <w:rFonts w:eastAsia="標楷體"/>
              </w:rPr>
            </w:pPr>
          </w:p>
        </w:tc>
        <w:tc>
          <w:tcPr>
            <w:tcW w:w="2268" w:type="dxa"/>
            <w:shd w:val="clear" w:color="auto" w:fill="A6A6A6"/>
            <w:vAlign w:val="center"/>
          </w:tcPr>
          <w:p w:rsidR="00F6677E" w:rsidRPr="004D451D" w:rsidRDefault="00F6677E" w:rsidP="008E431D">
            <w:pPr>
              <w:spacing w:line="360" w:lineRule="auto"/>
              <w:jc w:val="center"/>
              <w:rPr>
                <w:rFonts w:eastAsia="標楷體"/>
              </w:rPr>
            </w:pPr>
          </w:p>
        </w:tc>
      </w:tr>
      <w:tr w:rsidR="004D451D" w:rsidRPr="004D451D" w:rsidTr="009031A6">
        <w:tc>
          <w:tcPr>
            <w:tcW w:w="0" w:type="auto"/>
            <w:shd w:val="clear" w:color="auto" w:fill="auto"/>
            <w:vAlign w:val="center"/>
          </w:tcPr>
          <w:p w:rsidR="00F6677E" w:rsidRPr="004D451D" w:rsidRDefault="00E7763E" w:rsidP="008E431D">
            <w:pPr>
              <w:spacing w:line="360" w:lineRule="auto"/>
              <w:jc w:val="center"/>
              <w:rPr>
                <w:rFonts w:eastAsia="標楷體"/>
              </w:rPr>
            </w:pPr>
            <w:r w:rsidRPr="004D451D">
              <w:rPr>
                <w:rFonts w:eastAsia="標楷體"/>
              </w:rPr>
              <w:t>4</w:t>
            </w:r>
          </w:p>
        </w:tc>
        <w:tc>
          <w:tcPr>
            <w:tcW w:w="4150" w:type="dxa"/>
            <w:shd w:val="clear" w:color="auto" w:fill="auto"/>
            <w:vAlign w:val="center"/>
          </w:tcPr>
          <w:p w:rsidR="00F6677E" w:rsidRPr="004D451D" w:rsidRDefault="006F0DC2" w:rsidP="009031A6">
            <w:pPr>
              <w:spacing w:line="240" w:lineRule="atLeast"/>
              <w:rPr>
                <w:rFonts w:eastAsia="標楷體"/>
              </w:rPr>
            </w:pPr>
            <w:r w:rsidRPr="004D451D">
              <w:rPr>
                <w:rFonts w:eastAsia="標楷體"/>
              </w:rPr>
              <w:t>非隔離的原始保證金</w:t>
            </w:r>
          </w:p>
        </w:tc>
        <w:tc>
          <w:tcPr>
            <w:tcW w:w="2693" w:type="dxa"/>
            <w:shd w:val="clear" w:color="auto" w:fill="auto"/>
            <w:vAlign w:val="center"/>
          </w:tcPr>
          <w:p w:rsidR="00F6677E" w:rsidRPr="004D451D" w:rsidRDefault="00F6677E" w:rsidP="008E431D">
            <w:pPr>
              <w:spacing w:line="360" w:lineRule="auto"/>
              <w:jc w:val="center"/>
              <w:rPr>
                <w:rFonts w:eastAsia="標楷體"/>
              </w:rPr>
            </w:pPr>
          </w:p>
        </w:tc>
        <w:tc>
          <w:tcPr>
            <w:tcW w:w="2268" w:type="dxa"/>
            <w:shd w:val="clear" w:color="auto" w:fill="auto"/>
            <w:vAlign w:val="center"/>
          </w:tcPr>
          <w:p w:rsidR="00F6677E" w:rsidRPr="004D451D" w:rsidRDefault="00F6677E" w:rsidP="008E431D">
            <w:pPr>
              <w:spacing w:line="360" w:lineRule="auto"/>
              <w:jc w:val="center"/>
              <w:rPr>
                <w:rFonts w:eastAsia="標楷體"/>
              </w:rPr>
            </w:pPr>
          </w:p>
        </w:tc>
      </w:tr>
      <w:tr w:rsidR="004D451D" w:rsidRPr="004D451D" w:rsidTr="009031A6">
        <w:tc>
          <w:tcPr>
            <w:tcW w:w="0" w:type="auto"/>
            <w:shd w:val="clear" w:color="auto" w:fill="auto"/>
            <w:vAlign w:val="center"/>
          </w:tcPr>
          <w:p w:rsidR="00F6677E" w:rsidRPr="004D451D" w:rsidRDefault="00E7763E" w:rsidP="008E431D">
            <w:pPr>
              <w:spacing w:line="360" w:lineRule="auto"/>
              <w:jc w:val="center"/>
              <w:rPr>
                <w:rFonts w:eastAsia="標楷體"/>
              </w:rPr>
            </w:pPr>
            <w:r w:rsidRPr="004D451D">
              <w:rPr>
                <w:rFonts w:eastAsia="標楷體"/>
              </w:rPr>
              <w:t>5</w:t>
            </w:r>
          </w:p>
        </w:tc>
        <w:tc>
          <w:tcPr>
            <w:tcW w:w="4150" w:type="dxa"/>
            <w:shd w:val="clear" w:color="auto" w:fill="auto"/>
            <w:vAlign w:val="center"/>
          </w:tcPr>
          <w:p w:rsidR="00F6677E" w:rsidRPr="004D451D" w:rsidRDefault="006F0DC2" w:rsidP="009031A6">
            <w:pPr>
              <w:spacing w:line="240" w:lineRule="atLeast"/>
              <w:rPr>
                <w:rFonts w:eastAsia="標楷體"/>
              </w:rPr>
            </w:pPr>
            <w:r w:rsidRPr="004D451D">
              <w:rPr>
                <w:rFonts w:eastAsia="標楷體"/>
              </w:rPr>
              <w:t>預先繳存的違約基金</w:t>
            </w:r>
          </w:p>
        </w:tc>
        <w:tc>
          <w:tcPr>
            <w:tcW w:w="2693" w:type="dxa"/>
            <w:shd w:val="clear" w:color="auto" w:fill="auto"/>
            <w:vAlign w:val="center"/>
          </w:tcPr>
          <w:p w:rsidR="00F6677E" w:rsidRPr="004D451D" w:rsidRDefault="00F6677E" w:rsidP="008E431D">
            <w:pPr>
              <w:spacing w:line="360" w:lineRule="auto"/>
              <w:jc w:val="center"/>
              <w:rPr>
                <w:rFonts w:eastAsia="標楷體"/>
              </w:rPr>
            </w:pPr>
          </w:p>
        </w:tc>
        <w:tc>
          <w:tcPr>
            <w:tcW w:w="2268" w:type="dxa"/>
            <w:shd w:val="clear" w:color="auto" w:fill="auto"/>
            <w:vAlign w:val="center"/>
          </w:tcPr>
          <w:p w:rsidR="00F6677E" w:rsidRPr="004D451D" w:rsidRDefault="00F6677E" w:rsidP="008E431D">
            <w:pPr>
              <w:spacing w:line="360" w:lineRule="auto"/>
              <w:jc w:val="center"/>
              <w:rPr>
                <w:rFonts w:eastAsia="標楷體"/>
              </w:rPr>
            </w:pPr>
          </w:p>
        </w:tc>
      </w:tr>
      <w:tr w:rsidR="004D451D" w:rsidRPr="004D451D" w:rsidTr="009031A6">
        <w:tc>
          <w:tcPr>
            <w:tcW w:w="0" w:type="auto"/>
            <w:shd w:val="clear" w:color="auto" w:fill="auto"/>
            <w:vAlign w:val="center"/>
          </w:tcPr>
          <w:p w:rsidR="00F6677E" w:rsidRPr="004D451D" w:rsidRDefault="00E7763E" w:rsidP="008E431D">
            <w:pPr>
              <w:spacing w:line="360" w:lineRule="auto"/>
              <w:jc w:val="center"/>
              <w:rPr>
                <w:rFonts w:eastAsia="標楷體"/>
              </w:rPr>
            </w:pPr>
            <w:r w:rsidRPr="004D451D">
              <w:rPr>
                <w:rFonts w:eastAsia="標楷體"/>
              </w:rPr>
              <w:t>6</w:t>
            </w:r>
          </w:p>
        </w:tc>
        <w:tc>
          <w:tcPr>
            <w:tcW w:w="4150" w:type="dxa"/>
            <w:shd w:val="clear" w:color="auto" w:fill="auto"/>
            <w:vAlign w:val="center"/>
          </w:tcPr>
          <w:p w:rsidR="00F6677E" w:rsidRPr="004D451D" w:rsidRDefault="00B12955" w:rsidP="009031A6">
            <w:pPr>
              <w:spacing w:line="240" w:lineRule="atLeast"/>
              <w:rPr>
                <w:rFonts w:eastAsia="標楷體"/>
              </w:rPr>
            </w:pPr>
            <w:r w:rsidRPr="004D451D">
              <w:rPr>
                <w:rFonts w:eastAsia="標楷體"/>
              </w:rPr>
              <w:t>未繳納</w:t>
            </w:r>
            <w:r w:rsidR="006F0DC2" w:rsidRPr="004D451D">
              <w:rPr>
                <w:rFonts w:eastAsia="標楷體"/>
              </w:rPr>
              <w:t>違約基金</w:t>
            </w:r>
          </w:p>
        </w:tc>
        <w:tc>
          <w:tcPr>
            <w:tcW w:w="2693" w:type="dxa"/>
            <w:shd w:val="clear" w:color="auto" w:fill="auto"/>
            <w:vAlign w:val="center"/>
          </w:tcPr>
          <w:p w:rsidR="00F6677E" w:rsidRPr="004D451D" w:rsidRDefault="00F6677E" w:rsidP="008E431D">
            <w:pPr>
              <w:spacing w:line="360" w:lineRule="auto"/>
              <w:jc w:val="center"/>
              <w:rPr>
                <w:rFonts w:eastAsia="標楷體"/>
              </w:rPr>
            </w:pPr>
          </w:p>
        </w:tc>
        <w:tc>
          <w:tcPr>
            <w:tcW w:w="2268" w:type="dxa"/>
            <w:shd w:val="clear" w:color="auto" w:fill="auto"/>
            <w:vAlign w:val="center"/>
          </w:tcPr>
          <w:p w:rsidR="00F6677E" w:rsidRPr="004D451D" w:rsidRDefault="00F6677E" w:rsidP="008E431D">
            <w:pPr>
              <w:spacing w:line="360" w:lineRule="auto"/>
              <w:jc w:val="center"/>
              <w:rPr>
                <w:rFonts w:eastAsia="標楷體"/>
              </w:rPr>
            </w:pPr>
          </w:p>
        </w:tc>
      </w:tr>
      <w:tr w:rsidR="004D451D" w:rsidRPr="004D451D" w:rsidTr="00D616C1">
        <w:tc>
          <w:tcPr>
            <w:tcW w:w="0" w:type="auto"/>
            <w:shd w:val="clear" w:color="auto" w:fill="auto"/>
            <w:vAlign w:val="center"/>
          </w:tcPr>
          <w:p w:rsidR="000A19AE" w:rsidRPr="004D451D" w:rsidRDefault="00E7763E" w:rsidP="008E431D">
            <w:pPr>
              <w:spacing w:line="360" w:lineRule="auto"/>
              <w:jc w:val="center"/>
              <w:rPr>
                <w:rFonts w:eastAsia="標楷體"/>
              </w:rPr>
            </w:pPr>
            <w:r w:rsidRPr="004D451D">
              <w:rPr>
                <w:rFonts w:eastAsia="標楷體"/>
              </w:rPr>
              <w:t>7</w:t>
            </w:r>
          </w:p>
        </w:tc>
        <w:tc>
          <w:tcPr>
            <w:tcW w:w="4150" w:type="dxa"/>
            <w:shd w:val="clear" w:color="auto" w:fill="auto"/>
            <w:vAlign w:val="center"/>
          </w:tcPr>
          <w:p w:rsidR="000A19AE" w:rsidRPr="004D451D" w:rsidRDefault="000A19AE" w:rsidP="009031A6">
            <w:pPr>
              <w:spacing w:line="240" w:lineRule="atLeast"/>
              <w:rPr>
                <w:rFonts w:eastAsia="標楷體"/>
                <w:b/>
              </w:rPr>
            </w:pPr>
            <w:r w:rsidRPr="004D451D">
              <w:rPr>
                <w:rFonts w:eastAsia="標楷體"/>
                <w:b/>
              </w:rPr>
              <w:t>非合格集中結算交易對手暴險</w:t>
            </w:r>
            <w:r w:rsidRPr="004D451D">
              <w:rPr>
                <w:rFonts w:eastAsia="標楷體"/>
                <w:b/>
              </w:rPr>
              <w:t>(</w:t>
            </w:r>
            <w:r w:rsidRPr="004D451D">
              <w:rPr>
                <w:rFonts w:eastAsia="標楷體"/>
                <w:b/>
              </w:rPr>
              <w:t>總計</w:t>
            </w:r>
            <w:r w:rsidRPr="004D451D">
              <w:rPr>
                <w:rFonts w:eastAsia="標楷體"/>
                <w:b/>
              </w:rPr>
              <w:t>)</w:t>
            </w:r>
          </w:p>
        </w:tc>
        <w:tc>
          <w:tcPr>
            <w:tcW w:w="2693" w:type="dxa"/>
            <w:shd w:val="clear" w:color="auto" w:fill="A6A6A6"/>
            <w:vAlign w:val="center"/>
          </w:tcPr>
          <w:p w:rsidR="000A19AE" w:rsidRPr="004D451D" w:rsidRDefault="000A19AE" w:rsidP="008E431D">
            <w:pPr>
              <w:spacing w:line="360" w:lineRule="auto"/>
              <w:jc w:val="center"/>
              <w:rPr>
                <w:rFonts w:eastAsia="標楷體"/>
              </w:rPr>
            </w:pPr>
          </w:p>
        </w:tc>
        <w:tc>
          <w:tcPr>
            <w:tcW w:w="2268" w:type="dxa"/>
            <w:shd w:val="clear" w:color="auto" w:fill="auto"/>
            <w:vAlign w:val="center"/>
          </w:tcPr>
          <w:p w:rsidR="000A19AE" w:rsidRPr="004D451D" w:rsidRDefault="000A19AE" w:rsidP="008E431D">
            <w:pPr>
              <w:spacing w:line="360" w:lineRule="auto"/>
              <w:jc w:val="center"/>
              <w:rPr>
                <w:rFonts w:eastAsia="標楷體"/>
              </w:rPr>
            </w:pPr>
          </w:p>
        </w:tc>
      </w:tr>
      <w:tr w:rsidR="004D451D" w:rsidRPr="004D451D" w:rsidTr="009031A6">
        <w:tc>
          <w:tcPr>
            <w:tcW w:w="0" w:type="auto"/>
            <w:vMerge w:val="restart"/>
            <w:shd w:val="clear" w:color="auto" w:fill="auto"/>
            <w:vAlign w:val="center"/>
          </w:tcPr>
          <w:p w:rsidR="009031A6" w:rsidRPr="004D451D" w:rsidRDefault="009031A6" w:rsidP="008E431D">
            <w:pPr>
              <w:spacing w:line="360" w:lineRule="auto"/>
              <w:jc w:val="center"/>
              <w:rPr>
                <w:rFonts w:eastAsia="標楷體"/>
              </w:rPr>
            </w:pPr>
            <w:r w:rsidRPr="004D451D">
              <w:rPr>
                <w:rFonts w:eastAsia="標楷體"/>
              </w:rPr>
              <w:t>8</w:t>
            </w:r>
          </w:p>
        </w:tc>
        <w:tc>
          <w:tcPr>
            <w:tcW w:w="4150" w:type="dxa"/>
            <w:shd w:val="clear" w:color="auto" w:fill="auto"/>
            <w:vAlign w:val="center"/>
          </w:tcPr>
          <w:p w:rsidR="009031A6" w:rsidRPr="004D451D" w:rsidRDefault="009031A6" w:rsidP="009031A6">
            <w:pPr>
              <w:spacing w:line="240" w:lineRule="atLeast"/>
              <w:rPr>
                <w:rFonts w:eastAsia="標楷體"/>
                <w:b/>
              </w:rPr>
            </w:pPr>
            <w:r w:rsidRPr="004D451D">
              <w:rPr>
                <w:rFonts w:eastAsia="標楷體"/>
              </w:rPr>
              <w:t>非合格集中結算交易對手交易之暴險</w:t>
            </w:r>
            <w:r w:rsidRPr="004D451D">
              <w:rPr>
                <w:rFonts w:eastAsia="標楷體"/>
              </w:rPr>
              <w:t>(</w:t>
            </w:r>
            <w:r w:rsidRPr="004D451D">
              <w:rPr>
                <w:rFonts w:eastAsia="標楷體"/>
              </w:rPr>
              <w:t>排除原始保證金與違約基金繳存</w:t>
            </w:r>
            <w:r w:rsidRPr="004D451D">
              <w:rPr>
                <w:rFonts w:eastAsia="標楷體"/>
              </w:rPr>
              <w:t>)</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51"/>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1"/>
              </w:numPr>
              <w:spacing w:line="240" w:lineRule="atLeast"/>
              <w:rPr>
                <w:rFonts w:eastAsia="標楷體"/>
              </w:rPr>
            </w:pPr>
            <w:r w:rsidRPr="004D451D">
              <w:rPr>
                <w:rFonts w:eastAsia="標楷體"/>
              </w:rPr>
              <w:t>店頭市場的衍生性金融商品</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51"/>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1"/>
              </w:numPr>
              <w:spacing w:line="240" w:lineRule="atLeast"/>
              <w:rPr>
                <w:rFonts w:eastAsia="標楷體"/>
              </w:rPr>
            </w:pPr>
            <w:r w:rsidRPr="004D451D">
              <w:rPr>
                <w:rFonts w:eastAsia="標楷體"/>
              </w:rPr>
              <w:t>交易所交易的衍生性金融商品</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35"/>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1"/>
              </w:numPr>
              <w:spacing w:line="240" w:lineRule="atLeast"/>
              <w:rPr>
                <w:rFonts w:eastAsia="標楷體"/>
              </w:rPr>
            </w:pPr>
            <w:r w:rsidRPr="004D451D">
              <w:rPr>
                <w:rFonts w:eastAsia="標楷體"/>
              </w:rPr>
              <w:t>有價證券融資交易</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9031A6">
        <w:trPr>
          <w:trHeight w:val="368"/>
        </w:trPr>
        <w:tc>
          <w:tcPr>
            <w:tcW w:w="0" w:type="auto"/>
            <w:vMerge/>
            <w:shd w:val="clear" w:color="auto" w:fill="auto"/>
            <w:vAlign w:val="center"/>
          </w:tcPr>
          <w:p w:rsidR="009031A6" w:rsidRPr="004D451D" w:rsidRDefault="009031A6" w:rsidP="008E431D">
            <w:pPr>
              <w:spacing w:line="360" w:lineRule="auto"/>
              <w:jc w:val="center"/>
              <w:rPr>
                <w:rFonts w:eastAsia="標楷體"/>
              </w:rPr>
            </w:pPr>
          </w:p>
        </w:tc>
        <w:tc>
          <w:tcPr>
            <w:tcW w:w="4150" w:type="dxa"/>
            <w:shd w:val="clear" w:color="auto" w:fill="auto"/>
            <w:vAlign w:val="center"/>
          </w:tcPr>
          <w:p w:rsidR="009031A6" w:rsidRPr="004D451D" w:rsidRDefault="009031A6" w:rsidP="00482E54">
            <w:pPr>
              <w:numPr>
                <w:ilvl w:val="0"/>
                <w:numId w:val="61"/>
              </w:numPr>
              <w:spacing w:line="240" w:lineRule="atLeast"/>
              <w:rPr>
                <w:rFonts w:eastAsia="標楷體"/>
              </w:rPr>
            </w:pPr>
            <w:r w:rsidRPr="004D451D">
              <w:rPr>
                <w:rFonts w:eastAsia="標楷體"/>
              </w:rPr>
              <w:t>經核准之跨商品淨額結算交易</w:t>
            </w:r>
          </w:p>
        </w:tc>
        <w:tc>
          <w:tcPr>
            <w:tcW w:w="2693" w:type="dxa"/>
            <w:shd w:val="clear" w:color="auto" w:fill="auto"/>
            <w:vAlign w:val="center"/>
          </w:tcPr>
          <w:p w:rsidR="009031A6" w:rsidRPr="004D451D" w:rsidRDefault="009031A6" w:rsidP="008E431D">
            <w:pPr>
              <w:spacing w:line="360" w:lineRule="auto"/>
              <w:jc w:val="center"/>
              <w:rPr>
                <w:rFonts w:eastAsia="標楷體"/>
              </w:rPr>
            </w:pPr>
          </w:p>
        </w:tc>
        <w:tc>
          <w:tcPr>
            <w:tcW w:w="2268" w:type="dxa"/>
            <w:shd w:val="clear" w:color="auto" w:fill="auto"/>
            <w:vAlign w:val="center"/>
          </w:tcPr>
          <w:p w:rsidR="009031A6" w:rsidRPr="004D451D" w:rsidRDefault="009031A6" w:rsidP="008E431D">
            <w:pPr>
              <w:spacing w:line="360" w:lineRule="auto"/>
              <w:jc w:val="center"/>
              <w:rPr>
                <w:rFonts w:eastAsia="標楷體"/>
              </w:rPr>
            </w:pPr>
          </w:p>
        </w:tc>
      </w:tr>
      <w:tr w:rsidR="004D451D" w:rsidRPr="004D451D" w:rsidTr="00D616C1">
        <w:tc>
          <w:tcPr>
            <w:tcW w:w="0" w:type="auto"/>
            <w:shd w:val="clear" w:color="auto" w:fill="auto"/>
            <w:vAlign w:val="center"/>
          </w:tcPr>
          <w:p w:rsidR="000A19AE" w:rsidRPr="004D451D" w:rsidRDefault="00E7763E" w:rsidP="008E431D">
            <w:pPr>
              <w:spacing w:line="360" w:lineRule="auto"/>
              <w:jc w:val="center"/>
              <w:rPr>
                <w:rFonts w:eastAsia="標楷體"/>
              </w:rPr>
            </w:pPr>
            <w:r w:rsidRPr="004D451D">
              <w:rPr>
                <w:rFonts w:eastAsia="標楷體"/>
              </w:rPr>
              <w:t>9</w:t>
            </w:r>
          </w:p>
        </w:tc>
        <w:tc>
          <w:tcPr>
            <w:tcW w:w="4150" w:type="dxa"/>
            <w:shd w:val="clear" w:color="auto" w:fill="auto"/>
            <w:vAlign w:val="center"/>
          </w:tcPr>
          <w:p w:rsidR="000A19AE" w:rsidRPr="004D451D" w:rsidRDefault="000A19AE" w:rsidP="009031A6">
            <w:pPr>
              <w:spacing w:line="240" w:lineRule="atLeast"/>
              <w:rPr>
                <w:rFonts w:eastAsia="標楷體"/>
              </w:rPr>
            </w:pPr>
            <w:r w:rsidRPr="004D451D">
              <w:rPr>
                <w:rFonts w:eastAsia="標楷體"/>
              </w:rPr>
              <w:t>隔離的原始保證金</w:t>
            </w:r>
          </w:p>
        </w:tc>
        <w:tc>
          <w:tcPr>
            <w:tcW w:w="2693" w:type="dxa"/>
            <w:shd w:val="clear" w:color="auto" w:fill="auto"/>
            <w:vAlign w:val="center"/>
          </w:tcPr>
          <w:p w:rsidR="000A19AE" w:rsidRPr="004D451D" w:rsidRDefault="000A19AE" w:rsidP="008E431D">
            <w:pPr>
              <w:spacing w:line="360" w:lineRule="auto"/>
              <w:jc w:val="center"/>
              <w:rPr>
                <w:rFonts w:eastAsia="標楷體"/>
              </w:rPr>
            </w:pPr>
          </w:p>
        </w:tc>
        <w:tc>
          <w:tcPr>
            <w:tcW w:w="2268" w:type="dxa"/>
            <w:shd w:val="clear" w:color="auto" w:fill="A6A6A6"/>
            <w:vAlign w:val="center"/>
          </w:tcPr>
          <w:p w:rsidR="000A19AE" w:rsidRPr="004D451D" w:rsidRDefault="000A19AE" w:rsidP="008E431D">
            <w:pPr>
              <w:spacing w:line="360" w:lineRule="auto"/>
              <w:jc w:val="center"/>
              <w:rPr>
                <w:rFonts w:eastAsia="標楷體"/>
              </w:rPr>
            </w:pPr>
          </w:p>
        </w:tc>
      </w:tr>
      <w:tr w:rsidR="004D451D" w:rsidRPr="004D451D" w:rsidTr="009031A6">
        <w:tc>
          <w:tcPr>
            <w:tcW w:w="0" w:type="auto"/>
            <w:shd w:val="clear" w:color="auto" w:fill="auto"/>
            <w:vAlign w:val="center"/>
          </w:tcPr>
          <w:p w:rsidR="000A19AE" w:rsidRPr="004D451D" w:rsidRDefault="00E7763E" w:rsidP="008E431D">
            <w:pPr>
              <w:spacing w:line="360" w:lineRule="auto"/>
              <w:jc w:val="center"/>
              <w:rPr>
                <w:rFonts w:eastAsia="標楷體"/>
              </w:rPr>
            </w:pPr>
            <w:r w:rsidRPr="004D451D">
              <w:rPr>
                <w:rFonts w:eastAsia="標楷體"/>
              </w:rPr>
              <w:t>10</w:t>
            </w:r>
          </w:p>
        </w:tc>
        <w:tc>
          <w:tcPr>
            <w:tcW w:w="4150" w:type="dxa"/>
            <w:shd w:val="clear" w:color="auto" w:fill="auto"/>
            <w:vAlign w:val="center"/>
          </w:tcPr>
          <w:p w:rsidR="000A19AE" w:rsidRPr="004D451D" w:rsidRDefault="000A19AE" w:rsidP="009031A6">
            <w:pPr>
              <w:spacing w:line="240" w:lineRule="atLeast"/>
              <w:rPr>
                <w:rFonts w:eastAsia="標楷體"/>
              </w:rPr>
            </w:pPr>
            <w:r w:rsidRPr="004D451D">
              <w:rPr>
                <w:rFonts w:eastAsia="標楷體"/>
              </w:rPr>
              <w:t>非隔離的原始保證金</w:t>
            </w:r>
          </w:p>
        </w:tc>
        <w:tc>
          <w:tcPr>
            <w:tcW w:w="2693" w:type="dxa"/>
            <w:shd w:val="clear" w:color="auto" w:fill="auto"/>
            <w:vAlign w:val="center"/>
          </w:tcPr>
          <w:p w:rsidR="000A19AE" w:rsidRPr="004D451D" w:rsidRDefault="000A19AE" w:rsidP="008E431D">
            <w:pPr>
              <w:spacing w:line="360" w:lineRule="auto"/>
              <w:jc w:val="center"/>
              <w:rPr>
                <w:rFonts w:eastAsia="標楷體"/>
              </w:rPr>
            </w:pPr>
          </w:p>
        </w:tc>
        <w:tc>
          <w:tcPr>
            <w:tcW w:w="2268" w:type="dxa"/>
            <w:shd w:val="clear" w:color="auto" w:fill="auto"/>
            <w:vAlign w:val="center"/>
          </w:tcPr>
          <w:p w:rsidR="000A19AE" w:rsidRPr="004D451D" w:rsidRDefault="000A19AE" w:rsidP="008E431D">
            <w:pPr>
              <w:spacing w:line="360" w:lineRule="auto"/>
              <w:jc w:val="center"/>
              <w:rPr>
                <w:rFonts w:eastAsia="標楷體"/>
              </w:rPr>
            </w:pPr>
          </w:p>
        </w:tc>
      </w:tr>
      <w:tr w:rsidR="004D451D" w:rsidRPr="004D451D" w:rsidTr="009031A6">
        <w:tc>
          <w:tcPr>
            <w:tcW w:w="0" w:type="auto"/>
            <w:shd w:val="clear" w:color="auto" w:fill="auto"/>
            <w:vAlign w:val="center"/>
          </w:tcPr>
          <w:p w:rsidR="000A19AE" w:rsidRPr="004D451D" w:rsidRDefault="00E7763E" w:rsidP="008E431D">
            <w:pPr>
              <w:spacing w:line="360" w:lineRule="auto"/>
              <w:jc w:val="center"/>
              <w:rPr>
                <w:rFonts w:eastAsia="標楷體"/>
              </w:rPr>
            </w:pPr>
            <w:r w:rsidRPr="004D451D">
              <w:rPr>
                <w:rFonts w:eastAsia="標楷體"/>
              </w:rPr>
              <w:t>11</w:t>
            </w:r>
          </w:p>
        </w:tc>
        <w:tc>
          <w:tcPr>
            <w:tcW w:w="4150" w:type="dxa"/>
            <w:shd w:val="clear" w:color="auto" w:fill="auto"/>
            <w:vAlign w:val="center"/>
          </w:tcPr>
          <w:p w:rsidR="000A19AE" w:rsidRPr="004D451D" w:rsidRDefault="000A19AE" w:rsidP="009031A6">
            <w:pPr>
              <w:spacing w:line="240" w:lineRule="atLeast"/>
              <w:rPr>
                <w:rFonts w:eastAsia="標楷體"/>
              </w:rPr>
            </w:pPr>
            <w:r w:rsidRPr="004D451D">
              <w:rPr>
                <w:rFonts w:eastAsia="標楷體"/>
              </w:rPr>
              <w:t>預先繳存的違約基金</w:t>
            </w:r>
          </w:p>
        </w:tc>
        <w:tc>
          <w:tcPr>
            <w:tcW w:w="2693" w:type="dxa"/>
            <w:shd w:val="clear" w:color="auto" w:fill="auto"/>
            <w:vAlign w:val="center"/>
          </w:tcPr>
          <w:p w:rsidR="000A19AE" w:rsidRPr="004D451D" w:rsidRDefault="000A19AE" w:rsidP="008E431D">
            <w:pPr>
              <w:spacing w:line="360" w:lineRule="auto"/>
              <w:jc w:val="center"/>
              <w:rPr>
                <w:rFonts w:eastAsia="標楷體"/>
              </w:rPr>
            </w:pPr>
          </w:p>
        </w:tc>
        <w:tc>
          <w:tcPr>
            <w:tcW w:w="2268" w:type="dxa"/>
            <w:shd w:val="clear" w:color="auto" w:fill="auto"/>
            <w:vAlign w:val="center"/>
          </w:tcPr>
          <w:p w:rsidR="000A19AE" w:rsidRPr="004D451D" w:rsidRDefault="000A19AE" w:rsidP="008E431D">
            <w:pPr>
              <w:spacing w:line="360" w:lineRule="auto"/>
              <w:jc w:val="center"/>
              <w:rPr>
                <w:rFonts w:eastAsia="標楷體"/>
              </w:rPr>
            </w:pPr>
          </w:p>
        </w:tc>
      </w:tr>
      <w:tr w:rsidR="004D451D" w:rsidRPr="004D451D" w:rsidTr="009031A6">
        <w:tc>
          <w:tcPr>
            <w:tcW w:w="0" w:type="auto"/>
            <w:shd w:val="clear" w:color="auto" w:fill="auto"/>
            <w:vAlign w:val="center"/>
          </w:tcPr>
          <w:p w:rsidR="000A19AE" w:rsidRPr="004D451D" w:rsidRDefault="00E7763E" w:rsidP="008E431D">
            <w:pPr>
              <w:spacing w:line="360" w:lineRule="auto"/>
              <w:jc w:val="center"/>
              <w:rPr>
                <w:rFonts w:eastAsia="標楷體"/>
              </w:rPr>
            </w:pPr>
            <w:r w:rsidRPr="004D451D">
              <w:rPr>
                <w:rFonts w:eastAsia="標楷體"/>
              </w:rPr>
              <w:t>12</w:t>
            </w:r>
          </w:p>
        </w:tc>
        <w:tc>
          <w:tcPr>
            <w:tcW w:w="4150" w:type="dxa"/>
            <w:shd w:val="clear" w:color="auto" w:fill="auto"/>
            <w:vAlign w:val="center"/>
          </w:tcPr>
          <w:p w:rsidR="000A19AE" w:rsidRPr="004D451D" w:rsidRDefault="00B12955" w:rsidP="009031A6">
            <w:pPr>
              <w:spacing w:line="240" w:lineRule="atLeast"/>
              <w:rPr>
                <w:rFonts w:eastAsia="標楷體"/>
              </w:rPr>
            </w:pPr>
            <w:r w:rsidRPr="004D451D">
              <w:rPr>
                <w:rFonts w:eastAsia="標楷體"/>
              </w:rPr>
              <w:t>未繳納</w:t>
            </w:r>
            <w:r w:rsidR="000A19AE" w:rsidRPr="004D451D">
              <w:rPr>
                <w:rFonts w:eastAsia="標楷體"/>
              </w:rPr>
              <w:t>違約基金</w:t>
            </w:r>
          </w:p>
        </w:tc>
        <w:tc>
          <w:tcPr>
            <w:tcW w:w="2693" w:type="dxa"/>
            <w:shd w:val="clear" w:color="auto" w:fill="auto"/>
            <w:vAlign w:val="center"/>
          </w:tcPr>
          <w:p w:rsidR="000A19AE" w:rsidRPr="004D451D" w:rsidRDefault="000A19AE" w:rsidP="008E431D">
            <w:pPr>
              <w:spacing w:line="360" w:lineRule="auto"/>
              <w:jc w:val="center"/>
              <w:rPr>
                <w:rFonts w:eastAsia="標楷體"/>
              </w:rPr>
            </w:pPr>
          </w:p>
        </w:tc>
        <w:tc>
          <w:tcPr>
            <w:tcW w:w="2268" w:type="dxa"/>
            <w:shd w:val="clear" w:color="auto" w:fill="auto"/>
            <w:vAlign w:val="center"/>
          </w:tcPr>
          <w:p w:rsidR="000A19AE" w:rsidRPr="004D451D" w:rsidRDefault="000A19AE" w:rsidP="008E431D">
            <w:pPr>
              <w:spacing w:line="360" w:lineRule="auto"/>
              <w:jc w:val="center"/>
              <w:rPr>
                <w:rFonts w:eastAsia="標楷體"/>
              </w:rPr>
            </w:pPr>
          </w:p>
        </w:tc>
      </w:tr>
      <w:tr w:rsidR="003E2C80" w:rsidRPr="004D451D" w:rsidTr="009031A6">
        <w:trPr>
          <w:trHeight w:val="861"/>
        </w:trPr>
        <w:tc>
          <w:tcPr>
            <w:tcW w:w="9567" w:type="dxa"/>
            <w:gridSpan w:val="4"/>
            <w:shd w:val="clear" w:color="auto" w:fill="auto"/>
          </w:tcPr>
          <w:p w:rsidR="003E2C80" w:rsidRPr="004D451D" w:rsidRDefault="003E2C80" w:rsidP="009031A6">
            <w:pPr>
              <w:spacing w:line="360" w:lineRule="auto"/>
              <w:jc w:val="both"/>
              <w:rPr>
                <w:rFonts w:eastAsia="標楷體"/>
              </w:rPr>
            </w:pPr>
            <w:r w:rsidRPr="004D451D">
              <w:rPr>
                <w:rFonts w:eastAsia="標楷體"/>
              </w:rPr>
              <w:t>重大變動原因及說明</w:t>
            </w:r>
            <w:r w:rsidR="009031A6" w:rsidRPr="004D451D">
              <w:rPr>
                <w:rFonts w:eastAsia="標楷體" w:hint="eastAsia"/>
              </w:rPr>
              <w:t>：</w:t>
            </w:r>
          </w:p>
        </w:tc>
      </w:tr>
    </w:tbl>
    <w:p w:rsidR="009031A6" w:rsidRPr="004D451D" w:rsidRDefault="009031A6" w:rsidP="009031A6">
      <w:pPr>
        <w:spacing w:line="240" w:lineRule="atLeast"/>
        <w:rPr>
          <w:rFonts w:eastAsia="標楷體"/>
          <w:b/>
          <w:kern w:val="0"/>
        </w:rPr>
      </w:pPr>
    </w:p>
    <w:p w:rsidR="00E079ED" w:rsidRPr="004D451D" w:rsidRDefault="00E079ED" w:rsidP="009031A6">
      <w:pPr>
        <w:spacing w:line="240" w:lineRule="atLeast"/>
        <w:rPr>
          <w:rFonts w:eastAsia="標楷體"/>
          <w:b/>
          <w:kern w:val="0"/>
        </w:rPr>
      </w:pPr>
      <w:r w:rsidRPr="004D451D">
        <w:rPr>
          <w:rFonts w:eastAsia="標楷體"/>
          <w:b/>
          <w:kern w:val="0"/>
        </w:rPr>
        <w:t>填表說明：</w:t>
      </w:r>
    </w:p>
    <w:p w:rsidR="00E079ED" w:rsidRPr="004D451D" w:rsidRDefault="00E079ED" w:rsidP="00EF4134">
      <w:pPr>
        <w:numPr>
          <w:ilvl w:val="0"/>
          <w:numId w:val="63"/>
        </w:numPr>
        <w:spacing w:line="240" w:lineRule="atLeast"/>
        <w:ind w:leftChars="150" w:left="720" w:hangingChars="150"/>
        <w:jc w:val="both"/>
        <w:rPr>
          <w:rFonts w:eastAsia="標楷體"/>
        </w:rPr>
      </w:pPr>
      <w:r w:rsidRPr="004D451D">
        <w:rPr>
          <w:rFonts w:eastAsia="標楷體"/>
        </w:rPr>
        <w:t>本表更新頻率：半年。</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本表採個體基礎填報。</w:t>
      </w:r>
    </w:p>
    <w:p w:rsidR="004B75EF" w:rsidRPr="004D451D" w:rsidRDefault="004B75EF" w:rsidP="00EF4134">
      <w:pPr>
        <w:numPr>
          <w:ilvl w:val="0"/>
          <w:numId w:val="63"/>
        </w:numPr>
        <w:spacing w:line="240" w:lineRule="atLeast"/>
        <w:ind w:leftChars="150" w:left="720" w:hangingChars="150"/>
        <w:jc w:val="both"/>
        <w:rPr>
          <w:rFonts w:eastAsia="標楷體"/>
        </w:rPr>
      </w:pPr>
      <w:r w:rsidRPr="004D451D">
        <w:rPr>
          <w:rFonts w:eastAsia="標楷體" w:hint="eastAsia"/>
        </w:rPr>
        <w:t>集中結算交易對手</w:t>
      </w:r>
      <w:r w:rsidR="00B434A5" w:rsidRPr="004D451D">
        <w:rPr>
          <w:rFonts w:eastAsia="標楷體" w:hint="eastAsia"/>
        </w:rPr>
        <w:t>(CCP)</w:t>
      </w:r>
      <w:r w:rsidR="00B434A5" w:rsidRPr="004D451D">
        <w:rPr>
          <w:rFonts w:eastAsia="標楷體" w:hint="eastAsia"/>
        </w:rPr>
        <w:t>資本計提實施前，不需填報。</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考慮信用風險抵減後之違約暴險額</w:t>
      </w:r>
      <w:r w:rsidRPr="004D451D">
        <w:rPr>
          <w:rFonts w:eastAsia="標楷體" w:hint="eastAsia"/>
        </w:rPr>
        <w:t>：</w:t>
      </w:r>
      <w:r w:rsidRPr="004D451D">
        <w:rPr>
          <w:rFonts w:eastAsia="標楷體"/>
        </w:rPr>
        <w:t>係指依資本計提計算規定，考慮信用風險抵減後之違約暴險額，惟信用風險抵減之效果須考慮：</w:t>
      </w:r>
    </w:p>
    <w:p w:rsidR="009031A6" w:rsidRPr="004D451D" w:rsidRDefault="009031A6" w:rsidP="00482E54">
      <w:pPr>
        <w:numPr>
          <w:ilvl w:val="0"/>
          <w:numId w:val="64"/>
        </w:numPr>
        <w:spacing w:line="240" w:lineRule="atLeast"/>
        <w:ind w:leftChars="250" w:left="1080" w:hangingChars="200" w:hanging="480"/>
        <w:jc w:val="both"/>
        <w:rPr>
          <w:rFonts w:eastAsia="標楷體"/>
        </w:rPr>
      </w:pPr>
      <w:r w:rsidRPr="004D451D">
        <w:rPr>
          <w:rFonts w:eastAsia="標楷體"/>
        </w:rPr>
        <w:t>依「</w:t>
      </w:r>
      <w:r w:rsidRPr="004D451D">
        <w:rPr>
          <w:rFonts w:eastAsia="標楷體"/>
        </w:rPr>
        <w:t>IFRS 13</w:t>
      </w:r>
      <w:r w:rsidRPr="004D451D">
        <w:rPr>
          <w:rFonts w:eastAsia="標楷體"/>
        </w:rPr>
        <w:t>公允價值衡量」相關規定調整之貸方評價調整。</w:t>
      </w:r>
    </w:p>
    <w:p w:rsidR="009031A6" w:rsidRPr="004D451D" w:rsidRDefault="009031A6" w:rsidP="00482E54">
      <w:pPr>
        <w:numPr>
          <w:ilvl w:val="0"/>
          <w:numId w:val="64"/>
        </w:numPr>
        <w:spacing w:line="240" w:lineRule="atLeast"/>
        <w:ind w:leftChars="250" w:left="1080" w:hangingChars="200" w:hanging="480"/>
        <w:jc w:val="both"/>
        <w:rPr>
          <w:rFonts w:eastAsia="標楷體"/>
        </w:rPr>
      </w:pPr>
      <w:r w:rsidRPr="004D451D">
        <w:rPr>
          <w:rFonts w:eastAsia="標楷體"/>
        </w:rPr>
        <w:t>計算交易對手信用風險之資本計提時，銀行之交易對手如與金融工具標的資產之發行人存在一法律關係，並確認存在有特定錯向風險時，銀行對於該筆交易與該交易對手之其他交易，不能考量其淨額結算之風險抵減效果。</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預先繳存的違約基金：係指結算會員預先提供予集中結算交易對手進行共同損失分擔之基金。</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未繳納違約基金：指結算會員除了必需繳納的違約基金之外，如有需要，結算會員承諾尚須提供予集中結算交易對手於原承諾範圍之額外的違約基金。</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隔離：擔保品以破產隔離方式持有。</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非隔離</w:t>
      </w:r>
      <w:r w:rsidRPr="004D451D">
        <w:rPr>
          <w:rFonts w:eastAsia="標楷體" w:hint="eastAsia"/>
        </w:rPr>
        <w:t>：</w:t>
      </w:r>
      <w:r w:rsidRPr="004D451D">
        <w:rPr>
          <w:rFonts w:eastAsia="標楷體"/>
        </w:rPr>
        <w:t>擔保品非以破產隔離方式持有。</w:t>
      </w:r>
    </w:p>
    <w:p w:rsidR="009031A6" w:rsidRPr="004D451D" w:rsidRDefault="009031A6" w:rsidP="00EF4134">
      <w:pPr>
        <w:numPr>
          <w:ilvl w:val="0"/>
          <w:numId w:val="63"/>
        </w:numPr>
        <w:spacing w:line="240" w:lineRule="atLeast"/>
        <w:ind w:leftChars="150" w:left="720" w:hangingChars="150"/>
        <w:jc w:val="both"/>
        <w:rPr>
          <w:rFonts w:eastAsia="標楷體"/>
        </w:rPr>
      </w:pPr>
      <w:r w:rsidRPr="004D451D">
        <w:rPr>
          <w:rFonts w:eastAsia="標楷體"/>
        </w:rPr>
        <w:t>本表反黑部分不需填列。</w:t>
      </w:r>
    </w:p>
    <w:p w:rsidR="005B6F21" w:rsidRPr="004D451D" w:rsidRDefault="005B6F21" w:rsidP="009031A6">
      <w:pPr>
        <w:spacing w:line="240" w:lineRule="atLeast"/>
        <w:ind w:left="180" w:hangingChars="75" w:hanging="180"/>
        <w:rPr>
          <w:rFonts w:ascii="Arial" w:eastAsia="標楷體" w:hAnsi="Arial" w:cs="Arial"/>
        </w:rPr>
      </w:pPr>
    </w:p>
    <w:p w:rsidR="00D36684" w:rsidRPr="004D451D" w:rsidRDefault="00D36684" w:rsidP="00324E49">
      <w:pPr>
        <w:spacing w:line="360" w:lineRule="auto"/>
        <w:rPr>
          <w:rFonts w:ascii="Arial" w:eastAsia="標楷體" w:hAnsi="Arial" w:cs="Arial"/>
        </w:rPr>
      </w:pPr>
    </w:p>
    <w:p w:rsidR="00D86FD5" w:rsidRPr="004D451D" w:rsidRDefault="00D86FD5" w:rsidP="00324E49">
      <w:pPr>
        <w:spacing w:line="360" w:lineRule="auto"/>
        <w:rPr>
          <w:rFonts w:ascii="Arial" w:eastAsia="標楷體" w:hAnsi="Arial" w:cs="Arial"/>
        </w:rPr>
      </w:pPr>
    </w:p>
    <w:p w:rsidR="00641EFA" w:rsidRPr="004D451D" w:rsidRDefault="009031A6" w:rsidP="00641EFA">
      <w:pPr>
        <w:rPr>
          <w:rFonts w:ascii="標楷體" w:eastAsia="標楷體" w:hAnsi="標楷體"/>
          <w:b/>
          <w:sz w:val="28"/>
          <w:szCs w:val="28"/>
        </w:rPr>
      </w:pPr>
      <w:r w:rsidRPr="004D451D">
        <w:rPr>
          <w:rFonts w:ascii="Arial" w:eastAsia="標楷體" w:hAnsi="Arial" w:cs="Arial"/>
          <w:sz w:val="32"/>
          <w:szCs w:val="32"/>
        </w:rPr>
        <w:br w:type="page"/>
      </w:r>
      <w:r w:rsidR="00641EFA" w:rsidRPr="004D451D">
        <w:rPr>
          <w:rFonts w:ascii="標楷體" w:eastAsia="標楷體" w:hAnsi="標楷體" w:cs="Arial" w:hint="eastAsia"/>
          <w:b/>
          <w:kern w:val="0"/>
          <w:sz w:val="32"/>
          <w:szCs w:val="32"/>
        </w:rPr>
        <w:t>【附表三十</w:t>
      </w:r>
      <w:r w:rsidR="00AB61B7" w:rsidRPr="004D451D">
        <w:rPr>
          <w:rFonts w:ascii="標楷體" w:eastAsia="標楷體" w:hAnsi="標楷體" w:cs="Arial" w:hint="eastAsia"/>
          <w:b/>
          <w:kern w:val="0"/>
          <w:sz w:val="32"/>
          <w:szCs w:val="32"/>
        </w:rPr>
        <w:t>六</w:t>
      </w:r>
      <w:r w:rsidR="00641EFA" w:rsidRPr="004D451D">
        <w:rPr>
          <w:rFonts w:ascii="標楷體" w:eastAsia="標楷體" w:hAnsi="標楷體" w:cs="Arial" w:hint="eastAsia"/>
          <w:b/>
          <w:kern w:val="0"/>
          <w:sz w:val="32"/>
          <w:szCs w:val="32"/>
        </w:rPr>
        <w:t>】</w:t>
      </w:r>
    </w:p>
    <w:p w:rsidR="00641EFA" w:rsidRPr="004D451D" w:rsidRDefault="00641EFA" w:rsidP="00641EFA">
      <w:pPr>
        <w:pStyle w:val="ad"/>
        <w:spacing w:beforeLines="100" w:before="360" w:afterLines="100" w:after="360" w:line="240" w:lineRule="auto"/>
        <w:ind w:left="0" w:firstLine="0"/>
        <w:jc w:val="center"/>
        <w:rPr>
          <w:b/>
        </w:rPr>
      </w:pPr>
      <w:r w:rsidRPr="004D451D">
        <w:rPr>
          <w:rFonts w:hint="eastAsia"/>
          <w:b/>
        </w:rPr>
        <w:t>作業風險管理制度</w:t>
      </w:r>
    </w:p>
    <w:p w:rsidR="00641EFA" w:rsidRPr="004D451D" w:rsidRDefault="00A36047" w:rsidP="00641EFA">
      <w:pPr>
        <w:pStyle w:val="ad"/>
        <w:spacing w:before="120" w:after="120" w:line="240" w:lineRule="auto"/>
        <w:ind w:left="0" w:firstLine="0"/>
        <w:jc w:val="center"/>
        <w:rPr>
          <w:rFonts w:cs="Arial"/>
          <w:szCs w:val="32"/>
        </w:rPr>
      </w:pPr>
      <w:r w:rsidRPr="004D451D">
        <w:rPr>
          <w:rFonts w:cs="Arial" w:hint="eastAsia"/>
          <w:szCs w:val="32"/>
        </w:rPr>
        <w:t>10</w:t>
      </w:r>
      <w:r w:rsidR="009C31D6" w:rsidRPr="004D451D">
        <w:rPr>
          <w:rFonts w:cs="Arial" w:hint="eastAsia"/>
          <w:szCs w:val="32"/>
        </w:rPr>
        <w:t>7</w:t>
      </w:r>
      <w:r w:rsidR="00641EFA" w:rsidRPr="004D451D">
        <w:rPr>
          <w:rFonts w:cs="Arial" w:hint="eastAsia"/>
          <w:szCs w:val="32"/>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8"/>
        <w:gridCol w:w="6243"/>
      </w:tblGrid>
      <w:tr w:rsidR="004D451D" w:rsidRPr="004D451D" w:rsidTr="00A36047">
        <w:trPr>
          <w:trHeight w:val="422"/>
          <w:tblHeader/>
          <w:jc w:val="center"/>
        </w:trPr>
        <w:tc>
          <w:tcPr>
            <w:tcW w:w="1725" w:type="pct"/>
            <w:vAlign w:val="center"/>
          </w:tcPr>
          <w:p w:rsidR="00641EFA" w:rsidRPr="004D451D" w:rsidRDefault="00641EFA" w:rsidP="004B75EF">
            <w:pPr>
              <w:spacing w:before="120" w:after="120"/>
              <w:jc w:val="center"/>
              <w:rPr>
                <w:rFonts w:ascii="標楷體" w:eastAsia="標楷體" w:hAnsi="標楷體"/>
              </w:rPr>
            </w:pPr>
            <w:r w:rsidRPr="004D451D">
              <w:rPr>
                <w:rFonts w:ascii="標楷體" w:eastAsia="標楷體" w:hAnsi="標楷體" w:hint="eastAsia"/>
              </w:rPr>
              <w:t>項</w:t>
            </w:r>
            <w:r w:rsidRPr="004D451D">
              <w:rPr>
                <w:rFonts w:ascii="標楷體" w:eastAsia="標楷體" w:hAnsi="標楷體"/>
              </w:rPr>
              <w:t xml:space="preserve">    </w:t>
            </w:r>
            <w:r w:rsidRPr="004D451D">
              <w:rPr>
                <w:rFonts w:ascii="標楷體" w:eastAsia="標楷體" w:hAnsi="標楷體" w:hint="eastAsia"/>
              </w:rPr>
              <w:t>目</w:t>
            </w:r>
          </w:p>
        </w:tc>
        <w:tc>
          <w:tcPr>
            <w:tcW w:w="3275" w:type="pct"/>
            <w:vAlign w:val="center"/>
          </w:tcPr>
          <w:p w:rsidR="00641EFA" w:rsidRPr="004D451D" w:rsidRDefault="00641EFA" w:rsidP="004B75EF">
            <w:pPr>
              <w:spacing w:before="120" w:after="120"/>
              <w:jc w:val="center"/>
              <w:rPr>
                <w:rFonts w:ascii="標楷體" w:eastAsia="標楷體" w:hAnsi="標楷體"/>
              </w:rPr>
            </w:pPr>
            <w:r w:rsidRPr="004D451D">
              <w:rPr>
                <w:rFonts w:ascii="標楷體" w:eastAsia="標楷體" w:hAnsi="標楷體" w:hint="eastAsia"/>
              </w:rPr>
              <w:t>內</w:t>
            </w:r>
            <w:r w:rsidRPr="004D451D">
              <w:rPr>
                <w:rFonts w:ascii="標楷體" w:eastAsia="標楷體" w:hAnsi="標楷體"/>
              </w:rPr>
              <w:t xml:space="preserve">    </w:t>
            </w:r>
            <w:r w:rsidRPr="004D451D">
              <w:rPr>
                <w:rFonts w:ascii="標楷體" w:eastAsia="標楷體" w:hAnsi="標楷體" w:hint="eastAsia"/>
              </w:rPr>
              <w:t>容</w:t>
            </w:r>
          </w:p>
        </w:tc>
      </w:tr>
      <w:tr w:rsidR="004D451D" w:rsidRPr="004D451D" w:rsidTr="00A36047">
        <w:trPr>
          <w:trHeight w:val="547"/>
          <w:jc w:val="center"/>
        </w:trPr>
        <w:tc>
          <w:tcPr>
            <w:tcW w:w="1725" w:type="pct"/>
          </w:tcPr>
          <w:p w:rsidR="00A36047" w:rsidRPr="004D451D"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rPr>
            </w:pPr>
            <w:r w:rsidRPr="004D451D">
              <w:rPr>
                <w:rFonts w:eastAsia="標楷體"/>
                <w:kern w:val="0"/>
              </w:rPr>
              <w:t>作業風險管理策略與流程</w:t>
            </w:r>
          </w:p>
        </w:tc>
        <w:tc>
          <w:tcPr>
            <w:tcW w:w="3275" w:type="pct"/>
          </w:tcPr>
          <w:p w:rsidR="00A36047" w:rsidRPr="004D451D" w:rsidRDefault="00A36047" w:rsidP="00A36047">
            <w:pPr>
              <w:tabs>
                <w:tab w:val="left" w:pos="72"/>
              </w:tabs>
              <w:snapToGrid w:val="0"/>
              <w:spacing w:beforeLines="25" w:before="90" w:line="240" w:lineRule="exact"/>
              <w:ind w:rightChars="-11" w:right="-26"/>
              <w:jc w:val="both"/>
              <w:rPr>
                <w:rFonts w:ascii="標楷體" w:eastAsia="標楷體" w:hAnsi="標楷體"/>
                <w:bCs/>
              </w:rPr>
            </w:pPr>
            <w:r w:rsidRPr="004D451D">
              <w:rPr>
                <w:rFonts w:ascii="標楷體" w:eastAsia="標楷體" w:hAnsi="標楷體"/>
                <w:bCs/>
              </w:rPr>
              <w:t>1</w:t>
            </w:r>
            <w:r w:rsidRPr="004D451D">
              <w:rPr>
                <w:rFonts w:ascii="標楷體" w:eastAsia="標楷體" w:hAnsi="標楷體" w:hint="eastAsia"/>
                <w:bCs/>
              </w:rPr>
              <w:t>.</w:t>
            </w:r>
            <w:r w:rsidRPr="004D451D">
              <w:rPr>
                <w:rFonts w:ascii="標楷體" w:eastAsia="標楷體" w:hAnsi="標楷體"/>
                <w:bCs/>
              </w:rPr>
              <w:t>作業風險管理策略</w:t>
            </w:r>
          </w:p>
          <w:p w:rsidR="00A36047" w:rsidRPr="004D451D" w:rsidRDefault="00A36047" w:rsidP="00A36047">
            <w:pPr>
              <w:snapToGrid w:val="0"/>
              <w:spacing w:line="240" w:lineRule="exact"/>
              <w:ind w:leftChars="100" w:left="240" w:rightChars="-11" w:right="-26"/>
              <w:jc w:val="both"/>
              <w:rPr>
                <w:rFonts w:ascii="標楷體" w:eastAsia="標楷體" w:hAnsi="標楷體"/>
                <w:bCs/>
              </w:rPr>
            </w:pPr>
            <w:r w:rsidRPr="004D451D">
              <w:rPr>
                <w:rFonts w:ascii="標楷體" w:eastAsia="標楷體" w:hAnsi="標楷體"/>
                <w:bCs/>
              </w:rPr>
              <w:t>因應本行經營環境及面臨風險之變化作適當調整，維持與本行經營策略及目標之一致性，並涵蓋與業務相關之所有重要作業風險。</w:t>
            </w:r>
          </w:p>
          <w:p w:rsidR="00A36047" w:rsidRPr="004D451D" w:rsidRDefault="00A36047" w:rsidP="00A36047">
            <w:pPr>
              <w:tabs>
                <w:tab w:val="left" w:pos="72"/>
              </w:tabs>
              <w:snapToGrid w:val="0"/>
              <w:spacing w:beforeLines="25" w:before="90" w:line="240" w:lineRule="exact"/>
              <w:ind w:rightChars="-11" w:right="-26"/>
              <w:jc w:val="both"/>
              <w:rPr>
                <w:rFonts w:ascii="標楷體" w:eastAsia="標楷體" w:hAnsi="標楷體"/>
                <w:bCs/>
              </w:rPr>
            </w:pPr>
            <w:r w:rsidRPr="004D451D">
              <w:rPr>
                <w:rFonts w:ascii="標楷體" w:eastAsia="標楷體" w:hAnsi="標楷體"/>
                <w:bCs/>
              </w:rPr>
              <w:t>2</w:t>
            </w:r>
            <w:r w:rsidRPr="004D451D">
              <w:rPr>
                <w:rFonts w:ascii="標楷體" w:eastAsia="標楷體" w:hAnsi="標楷體" w:hint="eastAsia"/>
                <w:bCs/>
              </w:rPr>
              <w:t>.</w:t>
            </w:r>
            <w:r w:rsidRPr="004D451D">
              <w:rPr>
                <w:rFonts w:ascii="標楷體" w:eastAsia="標楷體" w:hAnsi="標楷體"/>
                <w:bCs/>
              </w:rPr>
              <w:t>作業風險管理流程</w:t>
            </w:r>
          </w:p>
          <w:p w:rsidR="00A36047" w:rsidRPr="004D451D" w:rsidRDefault="00A36047" w:rsidP="00A36047">
            <w:pPr>
              <w:tabs>
                <w:tab w:val="left" w:pos="72"/>
              </w:tabs>
              <w:snapToGrid w:val="0"/>
              <w:spacing w:beforeLines="25" w:before="90" w:line="240" w:lineRule="exact"/>
              <w:ind w:leftChars="100" w:left="240" w:rightChars="-11" w:right="-26"/>
              <w:jc w:val="both"/>
              <w:rPr>
                <w:rFonts w:ascii="標楷體" w:eastAsia="標楷體" w:hAnsi="標楷體"/>
              </w:rPr>
            </w:pPr>
            <w:r w:rsidRPr="004D451D">
              <w:rPr>
                <w:rFonts w:ascii="標楷體" w:eastAsia="標楷體" w:hAnsi="標楷體"/>
                <w:bCs/>
              </w:rPr>
              <w:t>建立作業風險管理機制，透過辨識、衡量、溝通及監控所有日常營運活動及管理流程可能產生之各項作業風險。</w:t>
            </w:r>
          </w:p>
        </w:tc>
      </w:tr>
      <w:tr w:rsidR="004D451D" w:rsidRPr="004D451D" w:rsidTr="00A36047">
        <w:trPr>
          <w:trHeight w:val="540"/>
          <w:jc w:val="center"/>
        </w:trPr>
        <w:tc>
          <w:tcPr>
            <w:tcW w:w="1725" w:type="pct"/>
          </w:tcPr>
          <w:p w:rsidR="00A36047" w:rsidRPr="004D451D"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4D451D">
              <w:rPr>
                <w:rFonts w:eastAsia="標楷體"/>
                <w:kern w:val="0"/>
              </w:rPr>
              <w:t>作業風險管理組織與架構</w:t>
            </w:r>
          </w:p>
        </w:tc>
        <w:tc>
          <w:tcPr>
            <w:tcW w:w="3275" w:type="pct"/>
          </w:tcPr>
          <w:p w:rsidR="00A36047" w:rsidRPr="004D451D" w:rsidRDefault="00A36047" w:rsidP="009F53B0">
            <w:pPr>
              <w:numPr>
                <w:ilvl w:val="0"/>
                <w:numId w:val="133"/>
              </w:numPr>
              <w:tabs>
                <w:tab w:val="left" w:pos="72"/>
              </w:tabs>
              <w:snapToGrid w:val="0"/>
              <w:spacing w:beforeLines="25" w:before="90" w:line="240" w:lineRule="exact"/>
              <w:ind w:rightChars="-11" w:right="-26"/>
              <w:jc w:val="both"/>
              <w:rPr>
                <w:rFonts w:ascii="標楷體" w:eastAsia="標楷體" w:hAnsi="標楷體"/>
              </w:rPr>
            </w:pPr>
            <w:r w:rsidRPr="004D451D">
              <w:rPr>
                <w:rFonts w:ascii="標楷體" w:eastAsia="標楷體" w:hAnsi="標楷體"/>
              </w:rPr>
              <w:t>董事會</w:t>
            </w:r>
          </w:p>
          <w:p w:rsidR="00A36047" w:rsidRPr="004D451D" w:rsidRDefault="00A36047" w:rsidP="00A36047">
            <w:pPr>
              <w:tabs>
                <w:tab w:val="left" w:pos="72"/>
              </w:tabs>
              <w:snapToGrid w:val="0"/>
              <w:spacing w:beforeLines="25" w:before="90" w:line="240" w:lineRule="exact"/>
              <w:ind w:left="360" w:rightChars="-11" w:right="-26"/>
              <w:jc w:val="both"/>
              <w:rPr>
                <w:rFonts w:ascii="標楷體" w:eastAsia="標楷體" w:hAnsi="標楷體"/>
              </w:rPr>
            </w:pPr>
            <w:r w:rsidRPr="004D451D">
              <w:rPr>
                <w:rFonts w:ascii="標楷體" w:eastAsia="標楷體" w:hAnsi="標楷體"/>
              </w:rPr>
              <w:t>為本行</w:t>
            </w:r>
            <w:r w:rsidRPr="004D451D">
              <w:rPr>
                <w:rFonts w:ascii="標楷體" w:eastAsia="標楷體" w:hAnsi="標楷體"/>
                <w:bCs/>
              </w:rPr>
              <w:t>作業</w:t>
            </w:r>
            <w:r w:rsidRPr="004D451D">
              <w:rPr>
                <w:rFonts w:ascii="標楷體" w:eastAsia="標楷體" w:hAnsi="標楷體"/>
              </w:rPr>
              <w:t>風險管理之最高決策層級，並對本行</w:t>
            </w:r>
            <w:r w:rsidRPr="004D451D">
              <w:rPr>
                <w:rFonts w:ascii="標楷體" w:eastAsia="標楷體" w:hAnsi="標楷體"/>
                <w:bCs/>
              </w:rPr>
              <w:t>作業</w:t>
            </w:r>
            <w:r w:rsidRPr="004D451D">
              <w:rPr>
                <w:rFonts w:ascii="標楷體" w:eastAsia="標楷體" w:hAnsi="標楷體"/>
              </w:rPr>
              <w:t>風險負有最終之責任。</w:t>
            </w:r>
          </w:p>
          <w:p w:rsidR="00A36047" w:rsidRPr="004D451D"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4D451D">
              <w:rPr>
                <w:rFonts w:ascii="標楷體" w:eastAsia="標楷體" w:hAnsi="標楷體"/>
              </w:rPr>
              <w:t>風險管理委員會</w:t>
            </w:r>
          </w:p>
          <w:p w:rsidR="00A36047" w:rsidRPr="004D451D" w:rsidRDefault="00A36047" w:rsidP="00A36047">
            <w:pPr>
              <w:tabs>
                <w:tab w:val="left" w:pos="72"/>
              </w:tabs>
              <w:snapToGrid w:val="0"/>
              <w:spacing w:beforeLines="50" w:before="180" w:line="240" w:lineRule="exact"/>
              <w:ind w:left="360" w:rightChars="-11" w:right="-26"/>
              <w:jc w:val="both"/>
              <w:rPr>
                <w:rFonts w:ascii="標楷體" w:eastAsia="標楷體" w:hAnsi="標楷體"/>
              </w:rPr>
            </w:pPr>
            <w:r w:rsidRPr="004D451D">
              <w:rPr>
                <w:rFonts w:ascii="標楷體" w:eastAsia="標楷體" w:hAnsi="標楷體"/>
              </w:rPr>
              <w:t>負責執行董事會核定之</w:t>
            </w:r>
            <w:r w:rsidRPr="004D451D">
              <w:rPr>
                <w:rFonts w:ascii="標楷體" w:eastAsia="標楷體" w:hAnsi="標楷體"/>
                <w:bCs/>
              </w:rPr>
              <w:t>作業</w:t>
            </w:r>
            <w:r w:rsidRPr="004D451D">
              <w:rPr>
                <w:rFonts w:ascii="標楷體" w:eastAsia="標楷體" w:hAnsi="標楷體"/>
              </w:rPr>
              <w:t>風險管理決策，審議</w:t>
            </w:r>
            <w:r w:rsidRPr="004D451D">
              <w:rPr>
                <w:rFonts w:ascii="標楷體" w:eastAsia="標楷體" w:hAnsi="標楷體"/>
                <w:bCs/>
              </w:rPr>
              <w:t>作業</w:t>
            </w:r>
            <w:r w:rsidRPr="004D451D">
              <w:rPr>
                <w:rFonts w:ascii="標楷體" w:eastAsia="標楷體" w:hAnsi="標楷體"/>
              </w:rPr>
              <w:t>風險規章，持續監督風險管理執行的績效。</w:t>
            </w:r>
          </w:p>
          <w:p w:rsidR="00A36047" w:rsidRPr="004D451D"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4D451D">
              <w:rPr>
                <w:rFonts w:ascii="標楷體" w:eastAsia="標楷體" w:hAnsi="標楷體"/>
              </w:rPr>
              <w:t>風險管理部</w:t>
            </w:r>
          </w:p>
          <w:p w:rsidR="00A36047" w:rsidRPr="004D451D" w:rsidRDefault="00A36047" w:rsidP="00A36047">
            <w:pPr>
              <w:tabs>
                <w:tab w:val="left" w:pos="72"/>
              </w:tabs>
              <w:snapToGrid w:val="0"/>
              <w:spacing w:beforeLines="50" w:before="180" w:line="240" w:lineRule="exact"/>
              <w:ind w:left="360" w:rightChars="-11" w:right="-26"/>
              <w:jc w:val="both"/>
              <w:rPr>
                <w:rFonts w:ascii="標楷體" w:eastAsia="標楷體" w:hAnsi="標楷體"/>
              </w:rPr>
            </w:pPr>
            <w:r w:rsidRPr="004D451D">
              <w:rPr>
                <w:rFonts w:ascii="標楷體" w:eastAsia="標楷體" w:hAnsi="標楷體"/>
              </w:rPr>
              <w:t>負責規劃、建置及整合本行</w:t>
            </w:r>
            <w:r w:rsidRPr="004D451D">
              <w:rPr>
                <w:rFonts w:ascii="標楷體" w:eastAsia="標楷體" w:hAnsi="標楷體"/>
                <w:bCs/>
              </w:rPr>
              <w:t>作業</w:t>
            </w:r>
            <w:r w:rsidRPr="004D451D">
              <w:rPr>
                <w:rFonts w:ascii="標楷體" w:eastAsia="標楷體" w:hAnsi="標楷體"/>
              </w:rPr>
              <w:t>風險管理，定期彙總全行</w:t>
            </w:r>
            <w:r w:rsidRPr="004D451D">
              <w:rPr>
                <w:rFonts w:ascii="標楷體" w:eastAsia="標楷體" w:hAnsi="標楷體"/>
                <w:bCs/>
              </w:rPr>
              <w:t>作業</w:t>
            </w:r>
            <w:r w:rsidRPr="004D451D">
              <w:rPr>
                <w:rFonts w:ascii="標楷體" w:eastAsia="標楷體" w:hAnsi="標楷體"/>
              </w:rPr>
              <w:t>風險資訊提報風險管理委員會。</w:t>
            </w:r>
          </w:p>
          <w:p w:rsidR="00A36047" w:rsidRPr="004D451D"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4D451D">
              <w:rPr>
                <w:rFonts w:ascii="標楷體" w:eastAsia="標楷體" w:hAnsi="標楷體"/>
              </w:rPr>
              <w:t>總行各業務主管單位</w:t>
            </w:r>
          </w:p>
          <w:p w:rsidR="00A36047" w:rsidRPr="004D451D" w:rsidRDefault="00A36047" w:rsidP="00A36047">
            <w:pPr>
              <w:tabs>
                <w:tab w:val="left" w:pos="72"/>
              </w:tabs>
              <w:snapToGrid w:val="0"/>
              <w:spacing w:beforeLines="50" w:before="180" w:line="240" w:lineRule="exact"/>
              <w:ind w:left="360" w:rightChars="-11" w:right="-26"/>
              <w:jc w:val="both"/>
              <w:rPr>
                <w:rFonts w:ascii="標楷體" w:eastAsia="標楷體" w:hAnsi="標楷體"/>
                <w:lang w:val="zh-TW"/>
              </w:rPr>
            </w:pPr>
            <w:r w:rsidRPr="004D451D">
              <w:rPr>
                <w:rFonts w:ascii="標楷體" w:eastAsia="標楷體" w:hAnsi="標楷體"/>
              </w:rPr>
              <w:t>負責訂定、管理其所轄業務之</w:t>
            </w:r>
            <w:r w:rsidRPr="004D451D">
              <w:rPr>
                <w:rFonts w:ascii="標楷體" w:eastAsia="標楷體" w:hAnsi="標楷體"/>
                <w:bCs/>
              </w:rPr>
              <w:t>作業</w:t>
            </w:r>
            <w:r w:rsidRPr="004D451D">
              <w:rPr>
                <w:rFonts w:ascii="標楷體" w:eastAsia="標楷體" w:hAnsi="標楷體"/>
              </w:rPr>
              <w:t>風險規章及作業流程，並監控其執行情形</w:t>
            </w:r>
            <w:r w:rsidRPr="004D451D">
              <w:rPr>
                <w:rFonts w:ascii="標楷體" w:eastAsia="標楷體" w:hAnsi="標楷體"/>
                <w:lang w:val="zh-TW"/>
              </w:rPr>
              <w:t>，協助風險管理部完成全行</w:t>
            </w:r>
            <w:r w:rsidRPr="004D451D">
              <w:rPr>
                <w:rFonts w:ascii="標楷體" w:eastAsia="標楷體" w:hAnsi="標楷體"/>
                <w:bCs/>
              </w:rPr>
              <w:t>作業</w:t>
            </w:r>
            <w:r w:rsidRPr="004D451D">
              <w:rPr>
                <w:rFonts w:ascii="標楷體" w:eastAsia="標楷體" w:hAnsi="標楷體"/>
                <w:lang w:val="zh-TW"/>
              </w:rPr>
              <w:t>風險之控管。</w:t>
            </w:r>
          </w:p>
          <w:p w:rsidR="00A36047" w:rsidRPr="004D451D" w:rsidRDefault="00A36047" w:rsidP="009F53B0">
            <w:pPr>
              <w:numPr>
                <w:ilvl w:val="0"/>
                <w:numId w:val="133"/>
              </w:numPr>
              <w:tabs>
                <w:tab w:val="left" w:pos="72"/>
              </w:tabs>
              <w:snapToGrid w:val="0"/>
              <w:spacing w:beforeLines="50" w:before="180" w:line="240" w:lineRule="exact"/>
              <w:ind w:rightChars="-11" w:right="-26"/>
              <w:jc w:val="both"/>
              <w:rPr>
                <w:rFonts w:ascii="標楷體" w:eastAsia="標楷體" w:hAnsi="標楷體"/>
              </w:rPr>
            </w:pPr>
            <w:r w:rsidRPr="004D451D">
              <w:rPr>
                <w:rFonts w:ascii="標楷體" w:eastAsia="標楷體" w:hAnsi="標楷體"/>
              </w:rPr>
              <w:t>全行各單位</w:t>
            </w:r>
          </w:p>
          <w:p w:rsidR="00A36047" w:rsidRPr="004D451D" w:rsidRDefault="00A36047" w:rsidP="00A36047">
            <w:pPr>
              <w:tabs>
                <w:tab w:val="left" w:pos="72"/>
              </w:tabs>
              <w:snapToGrid w:val="0"/>
              <w:spacing w:beforeLines="50" w:before="180" w:line="240" w:lineRule="exact"/>
              <w:ind w:left="360" w:rightChars="-11" w:right="-26"/>
              <w:jc w:val="both"/>
              <w:rPr>
                <w:rFonts w:ascii="標楷體" w:eastAsia="標楷體" w:hAnsi="標楷體"/>
                <w:lang w:val="zh-TW"/>
              </w:rPr>
            </w:pPr>
            <w:r w:rsidRPr="004D451D">
              <w:rPr>
                <w:rFonts w:ascii="標楷體" w:eastAsia="標楷體" w:hAnsi="標楷體"/>
              </w:rPr>
              <w:t>負責辨識、評估及衡量風險並採取適當的風險對策方式。遵循本行作業風險管理相關規定，進行日常作業與作業風險管理。</w:t>
            </w:r>
          </w:p>
        </w:tc>
      </w:tr>
      <w:tr w:rsidR="004D451D" w:rsidRPr="004D451D" w:rsidTr="00A36047">
        <w:trPr>
          <w:trHeight w:val="566"/>
          <w:jc w:val="center"/>
        </w:trPr>
        <w:tc>
          <w:tcPr>
            <w:tcW w:w="1725" w:type="pct"/>
          </w:tcPr>
          <w:p w:rsidR="00A36047" w:rsidRPr="004D451D"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4D451D">
              <w:rPr>
                <w:rFonts w:eastAsia="標楷體"/>
                <w:kern w:val="0"/>
              </w:rPr>
              <w:t>作業風險報告與衡量系統之範圍與特點</w:t>
            </w:r>
          </w:p>
        </w:tc>
        <w:tc>
          <w:tcPr>
            <w:tcW w:w="3275" w:type="pct"/>
          </w:tcPr>
          <w:p w:rsidR="00A36047" w:rsidRPr="004D451D" w:rsidRDefault="00A36047" w:rsidP="00A36047">
            <w:pPr>
              <w:snapToGrid w:val="0"/>
              <w:spacing w:line="280" w:lineRule="exact"/>
              <w:ind w:leftChars="44" w:left="106" w:rightChars="-11" w:right="-26"/>
              <w:rPr>
                <w:rFonts w:ascii="標楷體" w:eastAsia="標楷體" w:hAnsi="標楷體"/>
              </w:rPr>
            </w:pPr>
            <w:r w:rsidRPr="004D451D">
              <w:rPr>
                <w:rFonts w:ascii="標楷體" w:eastAsia="標楷體" w:hAnsi="標楷體"/>
              </w:rPr>
              <w:t>本行依據整體風險管理政策，訂定「作業風險管理準則」，積極有效地衡量、控管與監控存在於所有商品、服務、作業及系統中的各項作業風險，</w:t>
            </w:r>
            <w:r w:rsidRPr="004D451D">
              <w:rPr>
                <w:rFonts w:ascii="標楷體" w:eastAsia="標楷體" w:hAnsi="標楷體" w:hint="eastAsia"/>
              </w:rPr>
              <w:t>並揭露於風險控管報告每季提報董事會</w:t>
            </w:r>
            <w:r w:rsidRPr="004D451D">
              <w:rPr>
                <w:rFonts w:ascii="標楷體" w:eastAsia="標楷體" w:hAnsi="標楷體"/>
              </w:rPr>
              <w:t>。</w:t>
            </w:r>
          </w:p>
          <w:p w:rsidR="00A36047" w:rsidRPr="004D451D" w:rsidRDefault="00A36047" w:rsidP="00A36047">
            <w:pPr>
              <w:snapToGrid w:val="0"/>
              <w:spacing w:line="280" w:lineRule="exact"/>
              <w:ind w:rightChars="-11" w:right="-26"/>
              <w:rPr>
                <w:rFonts w:ascii="標楷體" w:eastAsia="標楷體" w:hAnsi="標楷體"/>
              </w:rPr>
            </w:pPr>
            <w:r w:rsidRPr="004D451D">
              <w:rPr>
                <w:rFonts w:ascii="標楷體" w:eastAsia="標楷體" w:hAnsi="標楷體" w:hint="eastAsia"/>
              </w:rPr>
              <w:t>一、內容及範圍為</w:t>
            </w:r>
            <w:r w:rsidRPr="004D451D">
              <w:rPr>
                <w:rFonts w:ascii="標楷體" w:eastAsia="標楷體" w:hAnsi="標楷體"/>
              </w:rPr>
              <w:t>：</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1.</w:t>
            </w:r>
            <w:r w:rsidRPr="004D451D">
              <w:rPr>
                <w:rFonts w:ascii="標楷體" w:eastAsia="標楷體" w:hAnsi="標楷體"/>
              </w:rPr>
              <w:t>「本行各項章則辦法」風險控管自評運作情形。</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2.</w:t>
            </w:r>
            <w:r w:rsidRPr="004D451D">
              <w:rPr>
                <w:rFonts w:ascii="標楷體" w:eastAsia="標楷體" w:hAnsi="標楷體"/>
              </w:rPr>
              <w:t>各單位「作業流程」各項法令規章遵循風險控管自評辦理情形。</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3.</w:t>
            </w:r>
            <w:r w:rsidRPr="004D451D">
              <w:rPr>
                <w:rFonts w:ascii="標楷體" w:eastAsia="標楷體" w:hAnsi="標楷體"/>
              </w:rPr>
              <w:t>「新產品（業務）、活動、流程、系統」風險控管自評辦理情形。</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4.</w:t>
            </w:r>
            <w:r w:rsidRPr="004D451D">
              <w:rPr>
                <w:rFonts w:ascii="標楷體" w:eastAsia="標楷體" w:hAnsi="標楷體"/>
              </w:rPr>
              <w:t>各營業單位授信業務作業授權與限額管理辦理情形。</w:t>
            </w:r>
          </w:p>
          <w:p w:rsidR="00A36047" w:rsidRPr="004D451D" w:rsidRDefault="00A36047" w:rsidP="00A36047">
            <w:pPr>
              <w:snapToGrid w:val="0"/>
              <w:spacing w:line="280" w:lineRule="exact"/>
              <w:ind w:leftChars="100" w:left="480" w:rightChars="-11" w:right="-26" w:hangingChars="100" w:hanging="240"/>
              <w:rPr>
                <w:rFonts w:ascii="標楷體" w:eastAsia="標楷體" w:hAnsi="標楷體"/>
              </w:rPr>
            </w:pPr>
            <w:r w:rsidRPr="004D451D">
              <w:rPr>
                <w:rFonts w:ascii="標楷體" w:eastAsia="標楷體" w:hAnsi="標楷體" w:hint="eastAsia"/>
              </w:rPr>
              <w:t>5.財務部被轉授權人員於各項業務授權投資限額(總額度、單筆額度及停損幅度)管理</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6.</w:t>
            </w:r>
            <w:r w:rsidRPr="004D451D">
              <w:rPr>
                <w:rFonts w:ascii="標楷體" w:eastAsia="標楷體" w:hAnsi="標楷體"/>
              </w:rPr>
              <w:t>向金融監理資訊單一申報窗口申報辦理情形。</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7.</w:t>
            </w:r>
            <w:r w:rsidRPr="004D451D">
              <w:rPr>
                <w:rFonts w:ascii="標楷體" w:eastAsia="標楷體" w:hAnsi="標楷體"/>
              </w:rPr>
              <w:t>作業風險損失事件資料收集辦理情形</w:t>
            </w:r>
            <w:r w:rsidRPr="004D451D">
              <w:rPr>
                <w:rFonts w:ascii="標楷體" w:eastAsia="標楷體" w:hAnsi="標楷體" w:hint="eastAsia"/>
              </w:rPr>
              <w:t>。</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8.關鍵風險指標（KRI）</w:t>
            </w:r>
            <w:r w:rsidRPr="004D451D">
              <w:rPr>
                <w:rFonts w:ascii="標楷體" w:eastAsia="標楷體" w:hAnsi="標楷體"/>
              </w:rPr>
              <w:t>辦理</w:t>
            </w:r>
            <w:r w:rsidRPr="004D451D">
              <w:rPr>
                <w:rFonts w:ascii="標楷體" w:eastAsia="標楷體" w:hAnsi="標楷體" w:hint="eastAsia"/>
              </w:rPr>
              <w:t>情形。</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9.</w:t>
            </w:r>
            <w:r w:rsidRPr="004D451D">
              <w:rPr>
                <w:rFonts w:ascii="標楷體" w:eastAsia="標楷體" w:hAnsi="標楷體"/>
              </w:rPr>
              <w:t>遵循「新巴塞爾資本協定」三大支柱原則辦理情形。</w:t>
            </w:r>
          </w:p>
          <w:p w:rsidR="00A36047" w:rsidRPr="004D451D" w:rsidRDefault="00A36047" w:rsidP="00A36047">
            <w:pPr>
              <w:snapToGrid w:val="0"/>
              <w:spacing w:line="280" w:lineRule="exact"/>
              <w:ind w:leftChars="44" w:left="466" w:rightChars="-11" w:right="-26" w:hangingChars="150" w:hanging="360"/>
              <w:rPr>
                <w:rFonts w:ascii="標楷體" w:eastAsia="標楷體" w:hAnsi="標楷體"/>
              </w:rPr>
            </w:pPr>
            <w:r w:rsidRPr="004D451D">
              <w:rPr>
                <w:rFonts w:ascii="標楷體" w:eastAsia="標楷體" w:hAnsi="標楷體" w:hint="eastAsia"/>
              </w:rPr>
              <w:t>10.各業務主管單位及</w:t>
            </w:r>
            <w:r w:rsidRPr="004D451D">
              <w:rPr>
                <w:rFonts w:ascii="標楷體" w:eastAsia="標楷體" w:hAnsi="標楷體"/>
              </w:rPr>
              <w:t>風險管理教育訓練宣導情形。</w:t>
            </w:r>
          </w:p>
          <w:p w:rsidR="00A36047" w:rsidRPr="004D451D" w:rsidRDefault="00A36047" w:rsidP="00A36047">
            <w:pPr>
              <w:snapToGrid w:val="0"/>
              <w:spacing w:line="280" w:lineRule="exact"/>
              <w:ind w:leftChars="7" w:left="497" w:rightChars="-10" w:right="-24" w:hangingChars="200" w:hanging="480"/>
              <w:rPr>
                <w:rFonts w:ascii="標楷體" w:eastAsia="標楷體" w:hAnsi="標楷體"/>
              </w:rPr>
            </w:pPr>
            <w:r w:rsidRPr="004D451D">
              <w:rPr>
                <w:rFonts w:ascii="標楷體" w:eastAsia="標楷體" w:hAnsi="標楷體" w:hint="eastAsia"/>
              </w:rPr>
              <w:t>二、為有效衡量</w:t>
            </w:r>
            <w:r w:rsidRPr="004D451D">
              <w:rPr>
                <w:rFonts w:ascii="標楷體" w:eastAsia="標楷體" w:hAnsi="標楷體"/>
              </w:rPr>
              <w:t>作業風險，作業風險衡量系統分為作業風險事件維護作業、授信授權限額維護作業…等。</w:t>
            </w:r>
            <w:r w:rsidRPr="004D451D">
              <w:rPr>
                <w:rFonts w:ascii="標楷體" w:eastAsia="標楷體" w:hAnsi="標楷體" w:hint="eastAsia"/>
              </w:rPr>
              <w:t>並制</w:t>
            </w:r>
            <w:r w:rsidRPr="004D451D">
              <w:rPr>
                <w:rFonts w:ascii="標楷體" w:eastAsia="標楷體" w:hAnsi="標楷體"/>
              </w:rPr>
              <w:t>訂</w:t>
            </w:r>
            <w:r w:rsidRPr="004D451D">
              <w:rPr>
                <w:rFonts w:ascii="標楷體" w:eastAsia="標楷體" w:hAnsi="標楷體" w:hint="eastAsia"/>
              </w:rPr>
              <w:t>下列作業要點：</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1.</w:t>
            </w:r>
            <w:r w:rsidRPr="004D451D">
              <w:rPr>
                <w:rFonts w:ascii="標楷體" w:eastAsia="標楷體" w:hAnsi="標楷體"/>
              </w:rPr>
              <w:t>「作業風險損失事件資料收集作業要點」</w:t>
            </w:r>
            <w:r w:rsidRPr="004D451D">
              <w:rPr>
                <w:rFonts w:ascii="標楷體" w:eastAsia="標楷體" w:hAnsi="標楷體" w:hint="eastAsia"/>
              </w:rPr>
              <w:t>：</w:t>
            </w:r>
            <w:r w:rsidRPr="004D451D">
              <w:rPr>
                <w:rFonts w:ascii="標楷體" w:eastAsia="標楷體" w:hAnsi="標楷體"/>
              </w:rPr>
              <w:t>收集損失事件資料，並對其型態及業務別加以分類，瞭解損失事件分佈狀況。</w:t>
            </w:r>
          </w:p>
          <w:p w:rsidR="00A36047" w:rsidRPr="004D451D" w:rsidRDefault="00A36047" w:rsidP="00A36047">
            <w:pPr>
              <w:snapToGrid w:val="0"/>
              <w:spacing w:line="280" w:lineRule="exact"/>
              <w:ind w:leftChars="100" w:left="538" w:rightChars="-11" w:right="-26" w:hangingChars="124" w:hanging="298"/>
              <w:rPr>
                <w:rFonts w:ascii="標楷體" w:eastAsia="標楷體" w:hAnsi="標楷體"/>
              </w:rPr>
            </w:pPr>
            <w:r w:rsidRPr="004D451D">
              <w:rPr>
                <w:rFonts w:ascii="標楷體" w:eastAsia="標楷體" w:hAnsi="標楷體" w:hint="eastAsia"/>
              </w:rPr>
              <w:t>2.</w:t>
            </w:r>
            <w:r w:rsidRPr="004D451D">
              <w:rPr>
                <w:rFonts w:ascii="標楷體" w:eastAsia="標楷體" w:hAnsi="標楷體"/>
              </w:rPr>
              <w:t>「各單位風險控管自評制度實施要點」</w:t>
            </w:r>
            <w:r w:rsidRPr="004D451D">
              <w:rPr>
                <w:rFonts w:ascii="標楷體" w:eastAsia="標楷體" w:hAnsi="標楷體" w:hint="eastAsia"/>
              </w:rPr>
              <w:t>：</w:t>
            </w:r>
            <w:r w:rsidRPr="004D451D">
              <w:rPr>
                <w:rFonts w:ascii="標楷體" w:eastAsia="標楷體" w:hAnsi="標楷體"/>
              </w:rPr>
              <w:t>以「風險控管評估表」評估本行作業流程、本行各項章則辦法、新產品（業務）、活動、流程、系統…</w:t>
            </w:r>
            <w:r w:rsidRPr="004D451D">
              <w:rPr>
                <w:rFonts w:ascii="標楷體" w:eastAsia="標楷體" w:hAnsi="標楷體" w:hint="eastAsia"/>
              </w:rPr>
              <w:t>等。</w:t>
            </w:r>
          </w:p>
          <w:p w:rsidR="00A36047" w:rsidRPr="004D451D" w:rsidRDefault="00A36047" w:rsidP="00A36047">
            <w:pPr>
              <w:spacing w:before="120" w:after="120" w:line="240" w:lineRule="exact"/>
              <w:ind w:leftChars="100" w:left="538" w:hangingChars="124" w:hanging="298"/>
              <w:rPr>
                <w:rFonts w:ascii="標楷體" w:eastAsia="標楷體" w:hAnsi="標楷體"/>
              </w:rPr>
            </w:pPr>
            <w:r w:rsidRPr="004D451D">
              <w:rPr>
                <w:rFonts w:ascii="標楷體" w:eastAsia="標楷體" w:hAnsi="標楷體" w:hint="eastAsia"/>
              </w:rPr>
              <w:t>3.「關鍵風險指標制度實施要點」：針對主要暴險訂定量化指標及相對應之門檻值與預警值，以監控作業風險暴險及控制措施。</w:t>
            </w:r>
          </w:p>
        </w:tc>
      </w:tr>
      <w:tr w:rsidR="004D451D" w:rsidRPr="004D451D" w:rsidTr="00A36047">
        <w:trPr>
          <w:trHeight w:val="1005"/>
          <w:jc w:val="center"/>
        </w:trPr>
        <w:tc>
          <w:tcPr>
            <w:tcW w:w="1725" w:type="pct"/>
          </w:tcPr>
          <w:p w:rsidR="00A36047" w:rsidRPr="004D451D"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4D451D">
              <w:rPr>
                <w:rFonts w:eastAsia="標楷體"/>
                <w:kern w:val="0"/>
              </w:rPr>
              <w:t>作業風險避險或風險抵減之政策，以及監控規避與風險抵減工具持續有效性之策略與流程</w:t>
            </w:r>
          </w:p>
        </w:tc>
        <w:tc>
          <w:tcPr>
            <w:tcW w:w="3275" w:type="pct"/>
          </w:tcPr>
          <w:p w:rsidR="00A36047" w:rsidRPr="004D451D" w:rsidRDefault="00A36047" w:rsidP="00A36047">
            <w:pPr>
              <w:spacing w:before="120" w:after="120" w:line="240" w:lineRule="exact"/>
              <w:rPr>
                <w:rFonts w:ascii="標楷體" w:eastAsia="標楷體" w:hAnsi="標楷體"/>
              </w:rPr>
            </w:pPr>
            <w:r w:rsidRPr="004D451D">
              <w:rPr>
                <w:rFonts w:ascii="標楷體" w:eastAsia="標楷體" w:hAnsi="標楷體" w:hint="eastAsia"/>
              </w:rPr>
              <w:t>本行</w:t>
            </w:r>
            <w:r w:rsidRPr="004D451D">
              <w:rPr>
                <w:rFonts w:ascii="標楷體" w:eastAsia="標楷體" w:hAnsi="標楷體"/>
              </w:rPr>
              <w:t>辦理</w:t>
            </w:r>
            <w:r w:rsidRPr="004D451D">
              <w:rPr>
                <w:rFonts w:ascii="標楷體" w:eastAsia="標楷體" w:hAnsi="標楷體"/>
                <w:bCs/>
              </w:rPr>
              <w:t>作業風險相關業務時，評估該事件或交易可能產生損失之機率與嚴重性，採用</w:t>
            </w:r>
            <w:r w:rsidRPr="004D451D">
              <w:rPr>
                <w:rFonts w:ascii="標楷體" w:eastAsia="標楷體" w:hAnsi="標楷體"/>
              </w:rPr>
              <w:t>風險迴避、風險抵減或移轉、風險控制、風險承擔等對策（如委外作業、投保員工誠實保險…等）。並依業務及風險承擔情況定期維護與發展作業風險管理系統，以確保系統持續有效運作。</w:t>
            </w:r>
          </w:p>
        </w:tc>
      </w:tr>
      <w:tr w:rsidR="004D451D" w:rsidRPr="004D451D" w:rsidTr="00A36047">
        <w:trPr>
          <w:trHeight w:val="540"/>
          <w:jc w:val="center"/>
        </w:trPr>
        <w:tc>
          <w:tcPr>
            <w:tcW w:w="1725" w:type="pct"/>
          </w:tcPr>
          <w:p w:rsidR="00A36047" w:rsidRPr="004D451D" w:rsidRDefault="00A36047" w:rsidP="00482E54">
            <w:pPr>
              <w:numPr>
                <w:ilvl w:val="0"/>
                <w:numId w:val="88"/>
              </w:numPr>
              <w:tabs>
                <w:tab w:val="clear" w:pos="480"/>
                <w:tab w:val="num" w:pos="332"/>
              </w:tabs>
              <w:autoSpaceDE w:val="0"/>
              <w:autoSpaceDN w:val="0"/>
              <w:adjustRightInd w:val="0"/>
              <w:spacing w:before="120" w:after="120"/>
              <w:ind w:left="332" w:hanging="332"/>
              <w:jc w:val="both"/>
              <w:rPr>
                <w:rFonts w:eastAsia="標楷體"/>
                <w:kern w:val="0"/>
              </w:rPr>
            </w:pPr>
            <w:r w:rsidRPr="004D451D">
              <w:rPr>
                <w:rFonts w:eastAsia="標楷體"/>
                <w:kern w:val="0"/>
              </w:rPr>
              <w:t>法定資本計提所採行之方法</w:t>
            </w:r>
          </w:p>
        </w:tc>
        <w:tc>
          <w:tcPr>
            <w:tcW w:w="3275" w:type="pct"/>
          </w:tcPr>
          <w:p w:rsidR="00A36047" w:rsidRPr="004D451D" w:rsidRDefault="00A36047" w:rsidP="00A36047">
            <w:pPr>
              <w:spacing w:before="120" w:after="120"/>
              <w:jc w:val="center"/>
              <w:rPr>
                <w:rFonts w:ascii="標楷體" w:eastAsia="標楷體" w:hAnsi="標楷體"/>
              </w:rPr>
            </w:pPr>
            <w:r w:rsidRPr="004D451D">
              <w:rPr>
                <w:rFonts w:ascii="標楷體" w:eastAsia="標楷體" w:hAnsi="標楷體"/>
              </w:rPr>
              <w:t>基本指標法</w:t>
            </w:r>
          </w:p>
        </w:tc>
      </w:tr>
      <w:tr w:rsidR="004D451D" w:rsidRPr="004D451D" w:rsidTr="004B75EF">
        <w:trPr>
          <w:trHeight w:val="548"/>
          <w:jc w:val="center"/>
        </w:trPr>
        <w:tc>
          <w:tcPr>
            <w:tcW w:w="5000" w:type="pct"/>
            <w:gridSpan w:val="2"/>
          </w:tcPr>
          <w:p w:rsidR="00A36047" w:rsidRPr="004D451D" w:rsidRDefault="00A36047" w:rsidP="004B75EF">
            <w:pPr>
              <w:spacing w:before="120" w:after="120"/>
              <w:rPr>
                <w:rFonts w:ascii="標楷體" w:eastAsia="標楷體" w:hAnsi="標楷體"/>
              </w:rPr>
            </w:pPr>
            <w:r w:rsidRPr="004D451D">
              <w:rPr>
                <w:rFonts w:ascii="標楷體" w:eastAsia="標楷體" w:hAnsi="標楷體" w:hint="eastAsia"/>
              </w:rPr>
              <w:t>進階衡量法揭露項目</w:t>
            </w:r>
          </w:p>
        </w:tc>
      </w:tr>
      <w:tr w:rsidR="004D451D" w:rsidRPr="004D451D" w:rsidTr="00A36047">
        <w:trPr>
          <w:trHeight w:val="540"/>
          <w:jc w:val="center"/>
        </w:trPr>
        <w:tc>
          <w:tcPr>
            <w:tcW w:w="1725" w:type="pct"/>
          </w:tcPr>
          <w:p w:rsidR="00A36047" w:rsidRPr="004D451D" w:rsidRDefault="00A36047" w:rsidP="00482E54">
            <w:pPr>
              <w:numPr>
                <w:ilvl w:val="0"/>
                <w:numId w:val="89"/>
              </w:numPr>
              <w:tabs>
                <w:tab w:val="clear" w:pos="480"/>
                <w:tab w:val="num" w:pos="360"/>
              </w:tabs>
              <w:autoSpaceDE w:val="0"/>
              <w:autoSpaceDN w:val="0"/>
              <w:adjustRightInd w:val="0"/>
              <w:spacing w:before="120" w:after="120"/>
              <w:ind w:left="360" w:hanging="360"/>
              <w:jc w:val="both"/>
              <w:rPr>
                <w:rFonts w:eastAsia="標楷體"/>
                <w:kern w:val="0"/>
              </w:rPr>
            </w:pPr>
            <w:r w:rsidRPr="004D451D">
              <w:rPr>
                <w:rFonts w:eastAsia="標楷體"/>
                <w:kern w:val="0"/>
              </w:rPr>
              <w:t>簡述銀行採用的進階衡量法，包括其測量方法中考慮的相關內外部因素。而部分使用</w:t>
            </w:r>
            <w:r w:rsidRPr="004D451D">
              <w:rPr>
                <w:rFonts w:eastAsia="標楷體"/>
                <w:kern w:val="0"/>
              </w:rPr>
              <w:t>AMA</w:t>
            </w:r>
            <w:r w:rsidRPr="004D451D">
              <w:rPr>
                <w:rFonts w:eastAsia="標楷體"/>
                <w:kern w:val="0"/>
              </w:rPr>
              <w:t>時，採用不同方法的範圍和涵蓋情形。</w:t>
            </w:r>
          </w:p>
        </w:tc>
        <w:tc>
          <w:tcPr>
            <w:tcW w:w="3275" w:type="pct"/>
            <w:vAlign w:val="center"/>
          </w:tcPr>
          <w:p w:rsidR="00A36047" w:rsidRPr="004D451D" w:rsidRDefault="00A36047" w:rsidP="00A36047">
            <w:pPr>
              <w:spacing w:before="120" w:after="120"/>
              <w:jc w:val="center"/>
              <w:rPr>
                <w:rFonts w:ascii="標楷體" w:eastAsia="標楷體" w:hAnsi="標楷體"/>
              </w:rPr>
            </w:pPr>
            <w:r w:rsidRPr="004D451D">
              <w:rPr>
                <w:rFonts w:ascii="標楷體" w:eastAsia="標楷體" w:hAnsi="標楷體" w:hint="eastAsia"/>
              </w:rPr>
              <w:t>不適用</w:t>
            </w:r>
            <w:r w:rsidRPr="004D451D">
              <w:rPr>
                <w:rFonts w:ascii="標楷體" w:eastAsia="標楷體" w:hAnsi="標楷體"/>
              </w:rPr>
              <w:t>(NA)</w:t>
            </w:r>
          </w:p>
        </w:tc>
      </w:tr>
      <w:tr w:rsidR="00A36047" w:rsidRPr="004D451D" w:rsidTr="00A36047">
        <w:trPr>
          <w:trHeight w:val="540"/>
          <w:jc w:val="center"/>
        </w:trPr>
        <w:tc>
          <w:tcPr>
            <w:tcW w:w="1725" w:type="pct"/>
          </w:tcPr>
          <w:p w:rsidR="00A36047" w:rsidRPr="004D451D" w:rsidRDefault="00A36047" w:rsidP="00482E54">
            <w:pPr>
              <w:numPr>
                <w:ilvl w:val="0"/>
                <w:numId w:val="89"/>
              </w:numPr>
              <w:tabs>
                <w:tab w:val="clear" w:pos="480"/>
                <w:tab w:val="num" w:pos="360"/>
              </w:tabs>
              <w:autoSpaceDE w:val="0"/>
              <w:autoSpaceDN w:val="0"/>
              <w:adjustRightInd w:val="0"/>
              <w:spacing w:before="120" w:after="120"/>
              <w:ind w:left="360" w:hanging="360"/>
              <w:jc w:val="both"/>
              <w:rPr>
                <w:rFonts w:eastAsia="標楷體"/>
                <w:kern w:val="0"/>
              </w:rPr>
            </w:pPr>
            <w:r w:rsidRPr="004D451D">
              <w:rPr>
                <w:rFonts w:eastAsia="標楷體"/>
                <w:kern w:val="0"/>
              </w:rPr>
              <w:t>使用進階衡量法的銀行敘述為降低作業風險而使用之保險。</w:t>
            </w:r>
          </w:p>
        </w:tc>
        <w:tc>
          <w:tcPr>
            <w:tcW w:w="3275" w:type="pct"/>
            <w:vAlign w:val="center"/>
          </w:tcPr>
          <w:p w:rsidR="00A36047" w:rsidRPr="004D451D" w:rsidRDefault="00A36047" w:rsidP="00A36047">
            <w:pPr>
              <w:spacing w:before="120" w:after="120"/>
              <w:jc w:val="center"/>
              <w:rPr>
                <w:rFonts w:ascii="標楷體" w:eastAsia="標楷體" w:hAnsi="標楷體"/>
              </w:rPr>
            </w:pPr>
            <w:r w:rsidRPr="004D451D">
              <w:rPr>
                <w:rFonts w:ascii="標楷體" w:eastAsia="標楷體" w:hAnsi="標楷體" w:hint="eastAsia"/>
              </w:rPr>
              <w:t>不適用</w:t>
            </w:r>
            <w:r w:rsidRPr="004D451D">
              <w:rPr>
                <w:rFonts w:ascii="標楷體" w:eastAsia="標楷體" w:hAnsi="標楷體"/>
              </w:rPr>
              <w:t>(NA)</w:t>
            </w:r>
          </w:p>
        </w:tc>
      </w:tr>
    </w:tbl>
    <w:p w:rsidR="003D6C69" w:rsidRPr="004D451D" w:rsidRDefault="003D6C69" w:rsidP="00641EFA">
      <w:pPr>
        <w:pStyle w:val="ad"/>
        <w:spacing w:before="120" w:after="120" w:line="240" w:lineRule="auto"/>
        <w:jc w:val="both"/>
        <w:rPr>
          <w:b/>
          <w:bCs/>
          <w:sz w:val="24"/>
        </w:rPr>
      </w:pPr>
    </w:p>
    <w:p w:rsidR="00AB61B7" w:rsidRPr="004D451D" w:rsidRDefault="00641EFA" w:rsidP="00641EFA">
      <w:pPr>
        <w:pStyle w:val="ad"/>
        <w:spacing w:before="120" w:after="120" w:line="240" w:lineRule="auto"/>
        <w:jc w:val="both"/>
        <w:rPr>
          <w:b/>
          <w:bCs/>
          <w:sz w:val="24"/>
        </w:rPr>
      </w:pPr>
      <w:r w:rsidRPr="004D451D">
        <w:rPr>
          <w:rFonts w:hint="eastAsia"/>
          <w:b/>
          <w:bCs/>
          <w:sz w:val="24"/>
        </w:rPr>
        <w:t>填表說明：</w:t>
      </w:r>
    </w:p>
    <w:p w:rsidR="00AB61B7" w:rsidRPr="004D451D" w:rsidRDefault="00AB61B7" w:rsidP="009F53B0">
      <w:pPr>
        <w:pStyle w:val="ad"/>
        <w:numPr>
          <w:ilvl w:val="0"/>
          <w:numId w:val="102"/>
        </w:numPr>
        <w:spacing w:before="120" w:after="120" w:line="240" w:lineRule="auto"/>
        <w:ind w:leftChars="150" w:left="720" w:hangingChars="150"/>
        <w:jc w:val="both"/>
        <w:rPr>
          <w:rFonts w:ascii="Times New Roman" w:hAnsi="Times New Roman"/>
          <w:bCs/>
          <w:sz w:val="24"/>
        </w:rPr>
      </w:pPr>
      <w:r w:rsidRPr="004D451D">
        <w:rPr>
          <w:rFonts w:ascii="Times New Roman" w:hAnsi="Times New Roman"/>
          <w:bCs/>
          <w:sz w:val="24"/>
        </w:rPr>
        <w:t>本表更新頻率：年。</w:t>
      </w:r>
    </w:p>
    <w:p w:rsidR="00641EFA" w:rsidRPr="004D451D" w:rsidRDefault="00641EFA" w:rsidP="009F53B0">
      <w:pPr>
        <w:pStyle w:val="ad"/>
        <w:numPr>
          <w:ilvl w:val="0"/>
          <w:numId w:val="102"/>
        </w:numPr>
        <w:spacing w:before="120" w:after="120" w:line="240" w:lineRule="auto"/>
        <w:ind w:leftChars="150" w:left="720" w:hangingChars="150"/>
        <w:jc w:val="both"/>
      </w:pPr>
      <w:r w:rsidRPr="004D451D">
        <w:rPr>
          <w:rFonts w:ascii="Times New Roman" w:hAnsi="Times New Roman"/>
          <w:kern w:val="0"/>
          <w:sz w:val="24"/>
        </w:rPr>
        <w:t>採用進階衡量法之銀行請增填屬</w:t>
      </w:r>
      <w:r w:rsidRPr="004D451D">
        <w:rPr>
          <w:rFonts w:ascii="Times New Roman" w:hAnsi="Times New Roman"/>
          <w:sz w:val="24"/>
        </w:rPr>
        <w:t>進階衡量法揭露項目，若無則填不適用</w:t>
      </w:r>
      <w:r w:rsidRPr="004D451D">
        <w:rPr>
          <w:rFonts w:ascii="Times New Roman" w:hAnsi="Times New Roman"/>
          <w:sz w:val="24"/>
        </w:rPr>
        <w:t>(N</w:t>
      </w:r>
      <w:r w:rsidR="001F79A9" w:rsidRPr="004D451D">
        <w:rPr>
          <w:rFonts w:ascii="Times New Roman" w:hAnsi="Times New Roman" w:hint="eastAsia"/>
          <w:sz w:val="24"/>
        </w:rPr>
        <w:t>/</w:t>
      </w:r>
      <w:r w:rsidRPr="004D451D">
        <w:rPr>
          <w:rFonts w:ascii="Times New Roman" w:hAnsi="Times New Roman"/>
          <w:sz w:val="24"/>
        </w:rPr>
        <w:t>A)</w:t>
      </w:r>
      <w:r w:rsidRPr="004D451D">
        <w:rPr>
          <w:rFonts w:ascii="Times New Roman" w:hAnsi="Times New Roman"/>
          <w:kern w:val="0"/>
          <w:sz w:val="24"/>
        </w:rPr>
        <w:t>。</w:t>
      </w:r>
    </w:p>
    <w:p w:rsidR="00641EFA" w:rsidRPr="004D451D" w:rsidRDefault="00641EFA" w:rsidP="00641EFA">
      <w:pPr>
        <w:rPr>
          <w:rFonts w:ascii="標楷體" w:eastAsia="標楷體" w:hAnsi="標楷體"/>
          <w:sz w:val="28"/>
          <w:szCs w:val="28"/>
        </w:rPr>
      </w:pPr>
      <w:r w:rsidRPr="004D451D">
        <w:rPr>
          <w:rFonts w:ascii="標楷體" w:eastAsia="標楷體" w:hAnsi="標楷體"/>
          <w:sz w:val="28"/>
          <w:szCs w:val="28"/>
        </w:rPr>
        <w:br w:type="page"/>
      </w:r>
      <w:r w:rsidRPr="004D451D">
        <w:rPr>
          <w:rFonts w:ascii="標楷體" w:eastAsia="標楷體" w:hAnsi="標楷體" w:cs="Arial" w:hint="eastAsia"/>
          <w:b/>
          <w:kern w:val="0"/>
          <w:sz w:val="32"/>
          <w:szCs w:val="32"/>
        </w:rPr>
        <w:t>【附表三十</w:t>
      </w:r>
      <w:r w:rsidR="00787E69" w:rsidRPr="004D451D">
        <w:rPr>
          <w:rFonts w:ascii="標楷體" w:eastAsia="標楷體" w:hAnsi="標楷體" w:cs="Arial" w:hint="eastAsia"/>
          <w:b/>
          <w:kern w:val="0"/>
          <w:sz w:val="32"/>
          <w:szCs w:val="32"/>
        </w:rPr>
        <w:t>七</w:t>
      </w:r>
      <w:r w:rsidRPr="004D451D">
        <w:rPr>
          <w:rFonts w:ascii="標楷體" w:eastAsia="標楷體" w:hAnsi="標楷體" w:cs="Arial" w:hint="eastAsia"/>
          <w:b/>
          <w:kern w:val="0"/>
          <w:sz w:val="32"/>
          <w:szCs w:val="32"/>
        </w:rPr>
        <w:t>】</w:t>
      </w:r>
    </w:p>
    <w:p w:rsidR="00641EFA" w:rsidRPr="004D451D" w:rsidRDefault="00641EFA" w:rsidP="00641EFA">
      <w:pPr>
        <w:pStyle w:val="ad"/>
        <w:spacing w:beforeLines="100" w:before="360" w:afterLines="100" w:after="360" w:line="240" w:lineRule="auto"/>
        <w:ind w:left="0" w:firstLine="0"/>
        <w:jc w:val="center"/>
        <w:rPr>
          <w:b/>
        </w:rPr>
      </w:pPr>
      <w:r w:rsidRPr="004D451D">
        <w:rPr>
          <w:rFonts w:hint="eastAsia"/>
          <w:b/>
        </w:rPr>
        <w:t>作業風險應計提資本─基本指標法及標準法</w:t>
      </w:r>
    </w:p>
    <w:p w:rsidR="00641EFA" w:rsidRPr="004D451D" w:rsidRDefault="00A36047" w:rsidP="00641EFA">
      <w:pPr>
        <w:pStyle w:val="ad"/>
        <w:tabs>
          <w:tab w:val="left" w:pos="10260"/>
        </w:tabs>
        <w:spacing w:before="120" w:after="120"/>
        <w:rPr>
          <w:sz w:val="24"/>
        </w:rPr>
      </w:pPr>
      <w:r w:rsidRPr="004D451D">
        <w:rPr>
          <w:szCs w:val="32"/>
        </w:rPr>
        <w:t xml:space="preserve">                     </w:t>
      </w:r>
      <w:r w:rsidRPr="004D451D">
        <w:rPr>
          <w:rFonts w:hint="eastAsia"/>
          <w:szCs w:val="32"/>
        </w:rPr>
        <w:t>10</w:t>
      </w:r>
      <w:r w:rsidR="009C31D6" w:rsidRPr="004D451D">
        <w:rPr>
          <w:rFonts w:hint="eastAsia"/>
          <w:szCs w:val="32"/>
        </w:rPr>
        <w:t>7</w:t>
      </w:r>
      <w:r w:rsidR="00641EFA" w:rsidRPr="004D451D">
        <w:rPr>
          <w:rFonts w:cs="Arial" w:hint="eastAsia"/>
          <w:bCs/>
          <w:kern w:val="0"/>
          <w:szCs w:val="32"/>
        </w:rPr>
        <w:t>年</w:t>
      </w:r>
      <w:r w:rsidR="009C31D6" w:rsidRPr="004D451D">
        <w:rPr>
          <w:rFonts w:cs="Arial" w:hint="eastAsia"/>
          <w:bCs/>
          <w:kern w:val="0"/>
          <w:szCs w:val="32"/>
        </w:rPr>
        <w:t>06</w:t>
      </w:r>
      <w:r w:rsidR="00641EFA" w:rsidRPr="004D451D">
        <w:rPr>
          <w:rFonts w:cs="Arial" w:hint="eastAsia"/>
          <w:bCs/>
          <w:kern w:val="0"/>
          <w:szCs w:val="32"/>
        </w:rPr>
        <w:t>月</w:t>
      </w:r>
      <w:r w:rsidRPr="004D451D">
        <w:rPr>
          <w:rFonts w:cs="Arial" w:hint="eastAsia"/>
          <w:bCs/>
          <w:kern w:val="0"/>
          <w:szCs w:val="32"/>
        </w:rPr>
        <w:t>3</w:t>
      </w:r>
      <w:r w:rsidR="009C31D6" w:rsidRPr="004D451D">
        <w:rPr>
          <w:rFonts w:cs="Arial" w:hint="eastAsia"/>
          <w:bCs/>
          <w:kern w:val="0"/>
          <w:szCs w:val="32"/>
        </w:rPr>
        <w:t>0</w:t>
      </w:r>
      <w:r w:rsidR="00641EFA" w:rsidRPr="004D451D">
        <w:rPr>
          <w:rFonts w:cs="Arial" w:hint="eastAsia"/>
          <w:bCs/>
          <w:kern w:val="0"/>
          <w:szCs w:val="32"/>
        </w:rPr>
        <w:t>日</w:t>
      </w:r>
      <w:r w:rsidR="00641EFA" w:rsidRPr="004D451D">
        <w:rPr>
          <w:rFonts w:cs="Arial"/>
          <w:b/>
          <w:bCs/>
          <w:kern w:val="0"/>
          <w:szCs w:val="32"/>
        </w:rPr>
        <w:t xml:space="preserve">          </w:t>
      </w:r>
      <w:r w:rsidR="00641EFA" w:rsidRPr="004D451D">
        <w:rPr>
          <w:rFonts w:cs="Arial" w:hint="eastAsia"/>
          <w:sz w:val="24"/>
        </w:rPr>
        <w:t>（單位：新臺幣元）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4056"/>
        <w:gridCol w:w="4054"/>
      </w:tblGrid>
      <w:tr w:rsidR="004D451D" w:rsidRPr="004D451D" w:rsidTr="00A36047">
        <w:trPr>
          <w:trHeight w:val="276"/>
          <w:tblHeader/>
          <w:jc w:val="center"/>
        </w:trPr>
        <w:tc>
          <w:tcPr>
            <w:tcW w:w="745" w:type="pct"/>
          </w:tcPr>
          <w:p w:rsidR="00641EFA" w:rsidRPr="004D451D" w:rsidRDefault="00641EFA" w:rsidP="004B75EF">
            <w:pPr>
              <w:spacing w:before="60" w:after="60" w:line="480" w:lineRule="exact"/>
              <w:jc w:val="center"/>
              <w:rPr>
                <w:rFonts w:ascii="標楷體" w:eastAsia="標楷體" w:hAnsi="標楷體"/>
              </w:rPr>
            </w:pPr>
            <w:r w:rsidRPr="004D451D">
              <w:rPr>
                <w:rFonts w:ascii="標楷體" w:eastAsia="標楷體" w:hAnsi="標楷體" w:hint="eastAsia"/>
              </w:rPr>
              <w:t>年度</w:t>
            </w:r>
          </w:p>
        </w:tc>
        <w:tc>
          <w:tcPr>
            <w:tcW w:w="2128" w:type="pct"/>
          </w:tcPr>
          <w:p w:rsidR="00641EFA" w:rsidRPr="004D451D" w:rsidRDefault="00641EFA" w:rsidP="004B75EF">
            <w:pPr>
              <w:autoSpaceDE w:val="0"/>
              <w:autoSpaceDN w:val="0"/>
              <w:adjustRightInd w:val="0"/>
              <w:spacing w:before="60" w:after="60" w:line="480" w:lineRule="exact"/>
              <w:jc w:val="center"/>
              <w:rPr>
                <w:rFonts w:ascii="標楷體" w:eastAsia="標楷體" w:hAnsi="標楷體"/>
              </w:rPr>
            </w:pPr>
            <w:r w:rsidRPr="004D451D">
              <w:rPr>
                <w:rFonts w:ascii="標楷體" w:eastAsia="標楷體" w:hAnsi="標楷體" w:hint="eastAsia"/>
              </w:rPr>
              <w:t>營業毛利</w:t>
            </w:r>
          </w:p>
        </w:tc>
        <w:tc>
          <w:tcPr>
            <w:tcW w:w="2127" w:type="pct"/>
            <w:vAlign w:val="center"/>
          </w:tcPr>
          <w:p w:rsidR="00641EFA" w:rsidRPr="004D451D" w:rsidRDefault="00641EFA" w:rsidP="004B75EF">
            <w:pPr>
              <w:autoSpaceDE w:val="0"/>
              <w:autoSpaceDN w:val="0"/>
              <w:adjustRightInd w:val="0"/>
              <w:spacing w:before="60" w:after="60" w:line="480" w:lineRule="exact"/>
              <w:jc w:val="center"/>
              <w:rPr>
                <w:rFonts w:ascii="標楷體" w:eastAsia="標楷體" w:hAnsi="標楷體"/>
              </w:rPr>
            </w:pPr>
            <w:r w:rsidRPr="004D451D">
              <w:rPr>
                <w:rFonts w:ascii="標楷體" w:eastAsia="標楷體" w:hAnsi="標楷體" w:hint="eastAsia"/>
              </w:rPr>
              <w:t>應計提資本</w:t>
            </w:r>
          </w:p>
        </w:tc>
      </w:tr>
      <w:tr w:rsidR="004D451D" w:rsidRPr="004D451D" w:rsidTr="00A36047">
        <w:trPr>
          <w:cantSplit/>
          <w:trHeight w:val="309"/>
          <w:jc w:val="center"/>
        </w:trPr>
        <w:tc>
          <w:tcPr>
            <w:tcW w:w="745" w:type="pct"/>
          </w:tcPr>
          <w:p w:rsidR="00A36047" w:rsidRPr="004D451D" w:rsidRDefault="00A36047" w:rsidP="00A36047">
            <w:pPr>
              <w:autoSpaceDE w:val="0"/>
              <w:autoSpaceDN w:val="0"/>
              <w:adjustRightInd w:val="0"/>
              <w:spacing w:before="60" w:after="60" w:line="480" w:lineRule="exact"/>
              <w:jc w:val="center"/>
              <w:rPr>
                <w:rFonts w:ascii="標楷體" w:eastAsia="標楷體" w:hAnsi="標楷體"/>
                <w:kern w:val="0"/>
              </w:rPr>
            </w:pPr>
            <w:r w:rsidRPr="004D451D">
              <w:rPr>
                <w:rFonts w:ascii="標楷體" w:eastAsia="標楷體" w:hAnsi="標楷體" w:hint="eastAsia"/>
                <w:kern w:val="0"/>
              </w:rPr>
              <w:t>104年度</w:t>
            </w:r>
          </w:p>
        </w:tc>
        <w:tc>
          <w:tcPr>
            <w:tcW w:w="2128" w:type="pct"/>
            <w:vAlign w:val="center"/>
          </w:tcPr>
          <w:p w:rsidR="00A36047" w:rsidRPr="004D451D" w:rsidRDefault="00A36047" w:rsidP="00A36047">
            <w:pPr>
              <w:jc w:val="center"/>
              <w:rPr>
                <w:rFonts w:ascii="Arial" w:hAnsi="Arial" w:cs="Arial"/>
              </w:rPr>
            </w:pPr>
            <w:r w:rsidRPr="004D451D">
              <w:rPr>
                <w:rFonts w:ascii="Arial" w:hAnsi="Arial" w:cs="Arial" w:hint="eastAsia"/>
              </w:rPr>
              <w:t>6,643,296</w:t>
            </w:r>
          </w:p>
        </w:tc>
        <w:tc>
          <w:tcPr>
            <w:tcW w:w="2127" w:type="pct"/>
            <w:vMerge w:val="restart"/>
            <w:shd w:val="clear" w:color="auto" w:fill="B3B3B3"/>
          </w:tcPr>
          <w:p w:rsidR="00A36047" w:rsidRPr="004D451D" w:rsidRDefault="00A36047" w:rsidP="004B75EF">
            <w:pPr>
              <w:spacing w:before="60" w:after="60" w:line="480" w:lineRule="exact"/>
              <w:jc w:val="right"/>
              <w:rPr>
                <w:rFonts w:ascii="標楷體" w:eastAsia="標楷體" w:hAnsi="標楷體"/>
              </w:rPr>
            </w:pPr>
          </w:p>
        </w:tc>
      </w:tr>
      <w:tr w:rsidR="004D451D" w:rsidRPr="004D451D" w:rsidTr="00A36047">
        <w:trPr>
          <w:cantSplit/>
          <w:trHeight w:val="309"/>
          <w:jc w:val="center"/>
        </w:trPr>
        <w:tc>
          <w:tcPr>
            <w:tcW w:w="745" w:type="pct"/>
          </w:tcPr>
          <w:p w:rsidR="00A36047" w:rsidRPr="004D451D" w:rsidRDefault="00A36047" w:rsidP="00A36047">
            <w:pPr>
              <w:autoSpaceDE w:val="0"/>
              <w:autoSpaceDN w:val="0"/>
              <w:adjustRightInd w:val="0"/>
              <w:spacing w:before="60" w:after="60" w:line="480" w:lineRule="exact"/>
              <w:jc w:val="center"/>
              <w:rPr>
                <w:rFonts w:ascii="標楷體" w:eastAsia="標楷體" w:hAnsi="標楷體"/>
                <w:kern w:val="0"/>
              </w:rPr>
            </w:pPr>
            <w:r w:rsidRPr="004D451D">
              <w:rPr>
                <w:rFonts w:ascii="標楷體" w:eastAsia="標楷體" w:hAnsi="標楷體" w:hint="eastAsia"/>
                <w:kern w:val="0"/>
              </w:rPr>
              <w:t>105年度</w:t>
            </w:r>
          </w:p>
        </w:tc>
        <w:tc>
          <w:tcPr>
            <w:tcW w:w="2128" w:type="pct"/>
            <w:vAlign w:val="center"/>
          </w:tcPr>
          <w:p w:rsidR="00A36047" w:rsidRPr="004D451D" w:rsidRDefault="00A36047" w:rsidP="00A36047">
            <w:pPr>
              <w:jc w:val="center"/>
              <w:rPr>
                <w:rFonts w:ascii="Arial" w:hAnsi="Arial" w:cs="Arial"/>
              </w:rPr>
            </w:pPr>
            <w:r w:rsidRPr="004D451D">
              <w:rPr>
                <w:rFonts w:ascii="Arial" w:hAnsi="Arial" w:cs="Arial" w:hint="eastAsia"/>
              </w:rPr>
              <w:t>7,085,220</w:t>
            </w:r>
          </w:p>
        </w:tc>
        <w:tc>
          <w:tcPr>
            <w:tcW w:w="2127" w:type="pct"/>
            <w:vMerge/>
            <w:shd w:val="clear" w:color="auto" w:fill="B3B3B3"/>
          </w:tcPr>
          <w:p w:rsidR="00A36047" w:rsidRPr="004D451D" w:rsidRDefault="00A36047" w:rsidP="004B75EF">
            <w:pPr>
              <w:spacing w:before="60" w:after="60" w:line="480" w:lineRule="exact"/>
              <w:jc w:val="right"/>
              <w:rPr>
                <w:rFonts w:ascii="標楷體" w:eastAsia="標楷體" w:hAnsi="標楷體"/>
              </w:rPr>
            </w:pPr>
          </w:p>
        </w:tc>
      </w:tr>
      <w:tr w:rsidR="004D451D" w:rsidRPr="004D451D" w:rsidTr="00A36047">
        <w:trPr>
          <w:cantSplit/>
          <w:trHeight w:val="309"/>
          <w:jc w:val="center"/>
        </w:trPr>
        <w:tc>
          <w:tcPr>
            <w:tcW w:w="745" w:type="pct"/>
          </w:tcPr>
          <w:p w:rsidR="00A36047" w:rsidRPr="004D451D" w:rsidRDefault="00A36047" w:rsidP="00A36047">
            <w:pPr>
              <w:autoSpaceDE w:val="0"/>
              <w:autoSpaceDN w:val="0"/>
              <w:adjustRightInd w:val="0"/>
              <w:spacing w:before="60" w:after="60" w:line="480" w:lineRule="exact"/>
              <w:jc w:val="center"/>
              <w:rPr>
                <w:rFonts w:ascii="標楷體" w:eastAsia="標楷體" w:hAnsi="標楷體"/>
                <w:kern w:val="0"/>
              </w:rPr>
            </w:pPr>
            <w:r w:rsidRPr="004D451D">
              <w:rPr>
                <w:rFonts w:ascii="標楷體" w:eastAsia="標楷體" w:hAnsi="標楷體" w:hint="eastAsia"/>
                <w:kern w:val="0"/>
              </w:rPr>
              <w:t>106年度</w:t>
            </w:r>
          </w:p>
        </w:tc>
        <w:tc>
          <w:tcPr>
            <w:tcW w:w="2128" w:type="pct"/>
            <w:vAlign w:val="center"/>
          </w:tcPr>
          <w:p w:rsidR="00A36047" w:rsidRPr="004D451D" w:rsidRDefault="00A36047" w:rsidP="00A36047">
            <w:pPr>
              <w:jc w:val="center"/>
              <w:rPr>
                <w:rFonts w:ascii="Arial" w:hAnsi="Arial" w:cs="Arial"/>
              </w:rPr>
            </w:pPr>
            <w:r w:rsidRPr="004D451D">
              <w:rPr>
                <w:rFonts w:ascii="Arial" w:hAnsi="Arial" w:cs="Arial" w:hint="eastAsia"/>
              </w:rPr>
              <w:t>7,771,530</w:t>
            </w:r>
          </w:p>
        </w:tc>
        <w:tc>
          <w:tcPr>
            <w:tcW w:w="2127" w:type="pct"/>
            <w:vMerge/>
            <w:shd w:val="clear" w:color="auto" w:fill="B3B3B3"/>
          </w:tcPr>
          <w:p w:rsidR="00A36047" w:rsidRPr="004D451D" w:rsidRDefault="00A36047" w:rsidP="004B75EF">
            <w:pPr>
              <w:spacing w:before="60" w:after="60" w:line="480" w:lineRule="exact"/>
              <w:jc w:val="right"/>
              <w:rPr>
                <w:rFonts w:ascii="標楷體" w:eastAsia="標楷體" w:hAnsi="標楷體"/>
              </w:rPr>
            </w:pPr>
          </w:p>
        </w:tc>
      </w:tr>
      <w:tr w:rsidR="00A36047" w:rsidRPr="004D451D" w:rsidTr="00A36047">
        <w:trPr>
          <w:cantSplit/>
          <w:trHeight w:val="309"/>
          <w:jc w:val="center"/>
        </w:trPr>
        <w:tc>
          <w:tcPr>
            <w:tcW w:w="745" w:type="pct"/>
          </w:tcPr>
          <w:p w:rsidR="00A36047" w:rsidRPr="004D451D" w:rsidRDefault="00A36047" w:rsidP="004B75EF">
            <w:pPr>
              <w:autoSpaceDE w:val="0"/>
              <w:autoSpaceDN w:val="0"/>
              <w:adjustRightInd w:val="0"/>
              <w:spacing w:before="60" w:after="60" w:line="480" w:lineRule="exact"/>
              <w:jc w:val="center"/>
              <w:rPr>
                <w:rFonts w:ascii="標楷體" w:eastAsia="標楷體" w:hAnsi="標楷體"/>
                <w:kern w:val="0"/>
              </w:rPr>
            </w:pPr>
            <w:r w:rsidRPr="004D451D">
              <w:rPr>
                <w:rFonts w:ascii="標楷體" w:eastAsia="標楷體" w:hAnsi="標楷體" w:hint="eastAsia"/>
                <w:kern w:val="0"/>
              </w:rPr>
              <w:t>合計</w:t>
            </w:r>
          </w:p>
        </w:tc>
        <w:tc>
          <w:tcPr>
            <w:tcW w:w="2128" w:type="pct"/>
            <w:vAlign w:val="center"/>
          </w:tcPr>
          <w:p w:rsidR="00A36047" w:rsidRPr="004D451D" w:rsidRDefault="00A36047" w:rsidP="00A36047">
            <w:pPr>
              <w:jc w:val="center"/>
              <w:rPr>
                <w:rFonts w:ascii="Arial" w:hAnsi="Arial" w:cs="Arial"/>
              </w:rPr>
            </w:pPr>
            <w:r w:rsidRPr="004D451D">
              <w:rPr>
                <w:rFonts w:ascii="Arial" w:hAnsi="Arial" w:cs="Arial" w:hint="eastAsia"/>
              </w:rPr>
              <w:t>21,500,046</w:t>
            </w:r>
          </w:p>
        </w:tc>
        <w:tc>
          <w:tcPr>
            <w:tcW w:w="2127" w:type="pct"/>
            <w:vAlign w:val="center"/>
          </w:tcPr>
          <w:p w:rsidR="00A36047" w:rsidRPr="004D451D" w:rsidRDefault="00A36047" w:rsidP="00A36047">
            <w:pPr>
              <w:jc w:val="center"/>
              <w:rPr>
                <w:rFonts w:ascii="Arial" w:hAnsi="Arial" w:cs="Arial"/>
              </w:rPr>
            </w:pPr>
            <w:r w:rsidRPr="004D451D">
              <w:rPr>
                <w:rFonts w:ascii="Arial" w:hAnsi="Arial" w:cs="Arial"/>
              </w:rPr>
              <w:t>1,075,002</w:t>
            </w:r>
          </w:p>
        </w:tc>
      </w:tr>
    </w:tbl>
    <w:p w:rsidR="00641EFA" w:rsidRPr="004D451D" w:rsidRDefault="00641EFA" w:rsidP="00641EFA">
      <w:pPr>
        <w:pStyle w:val="ad"/>
        <w:jc w:val="center"/>
        <w:rPr>
          <w:b/>
        </w:rPr>
      </w:pPr>
    </w:p>
    <w:p w:rsidR="00641EFA" w:rsidRPr="004D451D" w:rsidRDefault="00641EFA" w:rsidP="00641EFA">
      <w:pPr>
        <w:pStyle w:val="ad"/>
        <w:jc w:val="center"/>
        <w:rPr>
          <w:b/>
        </w:rPr>
      </w:pPr>
      <w:r w:rsidRPr="004D451D">
        <w:rPr>
          <w:rFonts w:hint="eastAsia"/>
          <w:b/>
        </w:rPr>
        <w:t>作業風險應計提資本─進階衡量法</w:t>
      </w:r>
      <w:r w:rsidR="00A36047" w:rsidRPr="004D451D">
        <w:rPr>
          <w:rFonts w:hint="eastAsia"/>
          <w:b/>
        </w:rPr>
        <w:t>-不適用</w:t>
      </w:r>
    </w:p>
    <w:p w:rsidR="00641EFA" w:rsidRPr="004D451D" w:rsidRDefault="00A36047" w:rsidP="00641EFA">
      <w:pPr>
        <w:pStyle w:val="ad"/>
        <w:spacing w:before="120" w:after="120"/>
        <w:jc w:val="center"/>
        <w:rPr>
          <w:b/>
        </w:rPr>
      </w:pPr>
      <w:r w:rsidRPr="004D451D">
        <w:rPr>
          <w:szCs w:val="32"/>
        </w:rPr>
        <w:t xml:space="preserve">                    </w:t>
      </w:r>
      <w:r w:rsidRPr="004D451D">
        <w:rPr>
          <w:rFonts w:hint="eastAsia"/>
          <w:szCs w:val="32"/>
        </w:rPr>
        <w:t>10</w:t>
      </w:r>
      <w:r w:rsidR="009C31D6" w:rsidRPr="004D451D">
        <w:rPr>
          <w:rFonts w:hint="eastAsia"/>
          <w:szCs w:val="32"/>
        </w:rPr>
        <w:t>7</w:t>
      </w:r>
      <w:r w:rsidR="00641EFA" w:rsidRPr="004D451D">
        <w:rPr>
          <w:rFonts w:hint="eastAsia"/>
          <w:szCs w:val="32"/>
        </w:rPr>
        <w:t>年</w:t>
      </w:r>
      <w:r w:rsidR="009C31D6" w:rsidRPr="004D451D">
        <w:rPr>
          <w:rFonts w:hint="eastAsia"/>
          <w:szCs w:val="32"/>
        </w:rPr>
        <w:t>06</w:t>
      </w:r>
      <w:r w:rsidR="00641EFA" w:rsidRPr="004D451D">
        <w:rPr>
          <w:rFonts w:hint="eastAsia"/>
          <w:szCs w:val="32"/>
        </w:rPr>
        <w:t>月</w:t>
      </w:r>
      <w:r w:rsidRPr="004D451D">
        <w:rPr>
          <w:rFonts w:hint="eastAsia"/>
          <w:szCs w:val="32"/>
        </w:rPr>
        <w:t>3</w:t>
      </w:r>
      <w:r w:rsidR="009C31D6" w:rsidRPr="004D451D">
        <w:rPr>
          <w:rFonts w:hint="eastAsia"/>
          <w:szCs w:val="32"/>
        </w:rPr>
        <w:t>0</w:t>
      </w:r>
      <w:r w:rsidR="00641EFA" w:rsidRPr="004D451D">
        <w:rPr>
          <w:rFonts w:hint="eastAsia"/>
          <w:szCs w:val="32"/>
        </w:rPr>
        <w:t>日</w:t>
      </w:r>
      <w:r w:rsidR="00641EFA" w:rsidRPr="004D451D">
        <w:rPr>
          <w:szCs w:val="32"/>
        </w:rPr>
        <w:t xml:space="preserve">          </w:t>
      </w:r>
      <w:r w:rsidR="00641EFA" w:rsidRPr="004D451D">
        <w:rPr>
          <w:rFonts w:hint="eastAsia"/>
          <w:sz w:val="24"/>
        </w:rPr>
        <w:t>（單位：新臺幣千元）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1"/>
        <w:gridCol w:w="4056"/>
        <w:gridCol w:w="4054"/>
      </w:tblGrid>
      <w:tr w:rsidR="004D451D" w:rsidRPr="004D451D" w:rsidTr="004B75EF">
        <w:trPr>
          <w:trHeight w:val="229"/>
          <w:tblHeader/>
          <w:jc w:val="center"/>
        </w:trPr>
        <w:tc>
          <w:tcPr>
            <w:tcW w:w="745" w:type="pct"/>
          </w:tcPr>
          <w:p w:rsidR="00641EFA" w:rsidRPr="004D451D" w:rsidRDefault="00641EFA" w:rsidP="004B75EF">
            <w:pPr>
              <w:spacing w:before="60" w:after="60" w:line="480" w:lineRule="exact"/>
              <w:jc w:val="center"/>
              <w:rPr>
                <w:rFonts w:ascii="標楷體" w:eastAsia="標楷體" w:hAnsi="標楷體"/>
              </w:rPr>
            </w:pPr>
            <w:r w:rsidRPr="004D451D">
              <w:rPr>
                <w:rFonts w:ascii="標楷體" w:eastAsia="標楷體" w:hAnsi="標楷體" w:hint="eastAsia"/>
              </w:rPr>
              <w:t>年度</w:t>
            </w:r>
          </w:p>
        </w:tc>
        <w:tc>
          <w:tcPr>
            <w:tcW w:w="2128" w:type="pct"/>
          </w:tcPr>
          <w:p w:rsidR="00641EFA" w:rsidRPr="004D451D" w:rsidRDefault="00641EFA" w:rsidP="004B75EF">
            <w:pPr>
              <w:autoSpaceDE w:val="0"/>
              <w:autoSpaceDN w:val="0"/>
              <w:adjustRightInd w:val="0"/>
              <w:spacing w:before="60" w:after="60" w:line="480" w:lineRule="exact"/>
              <w:jc w:val="center"/>
              <w:rPr>
                <w:rFonts w:ascii="標楷體" w:eastAsia="標楷體" w:hAnsi="標楷體"/>
              </w:rPr>
            </w:pPr>
            <w:r w:rsidRPr="004D451D">
              <w:rPr>
                <w:rFonts w:ascii="標楷體" w:eastAsia="標楷體" w:hAnsi="標楷體" w:hint="eastAsia"/>
              </w:rPr>
              <w:t>加權風險性資產</w:t>
            </w:r>
          </w:p>
        </w:tc>
        <w:tc>
          <w:tcPr>
            <w:tcW w:w="2128" w:type="pct"/>
            <w:vAlign w:val="center"/>
          </w:tcPr>
          <w:p w:rsidR="00641EFA" w:rsidRPr="004D451D" w:rsidRDefault="00641EFA" w:rsidP="004B75EF">
            <w:pPr>
              <w:autoSpaceDE w:val="0"/>
              <w:autoSpaceDN w:val="0"/>
              <w:adjustRightInd w:val="0"/>
              <w:spacing w:before="60" w:after="60" w:line="480" w:lineRule="exact"/>
              <w:jc w:val="center"/>
              <w:rPr>
                <w:rFonts w:ascii="標楷體" w:eastAsia="標楷體" w:hAnsi="標楷體"/>
              </w:rPr>
            </w:pPr>
            <w:r w:rsidRPr="004D451D">
              <w:rPr>
                <w:rFonts w:ascii="標楷體" w:eastAsia="標楷體" w:hAnsi="標楷體" w:hint="eastAsia"/>
              </w:rPr>
              <w:t>應計提資本</w:t>
            </w:r>
          </w:p>
        </w:tc>
      </w:tr>
      <w:tr w:rsidR="00641EFA" w:rsidRPr="004D451D" w:rsidTr="004B75EF">
        <w:trPr>
          <w:cantSplit/>
          <w:trHeight w:val="357"/>
          <w:jc w:val="center"/>
        </w:trPr>
        <w:tc>
          <w:tcPr>
            <w:tcW w:w="745" w:type="pct"/>
          </w:tcPr>
          <w:p w:rsidR="00641EFA" w:rsidRPr="004D451D" w:rsidRDefault="00641EFA" w:rsidP="004B75EF">
            <w:pPr>
              <w:autoSpaceDE w:val="0"/>
              <w:autoSpaceDN w:val="0"/>
              <w:adjustRightInd w:val="0"/>
              <w:spacing w:before="60" w:after="60" w:line="480" w:lineRule="exact"/>
              <w:jc w:val="center"/>
              <w:rPr>
                <w:rFonts w:ascii="標楷體" w:eastAsia="標楷體" w:hAnsi="標楷體"/>
                <w:kern w:val="0"/>
              </w:rPr>
            </w:pPr>
            <w:r w:rsidRPr="004D451D">
              <w:rPr>
                <w:rFonts w:ascii="標楷體" w:eastAsia="標楷體" w:hAnsi="標楷體" w:hint="eastAsia"/>
                <w:kern w:val="0"/>
              </w:rPr>
              <w:t>○○年度</w:t>
            </w:r>
          </w:p>
        </w:tc>
        <w:tc>
          <w:tcPr>
            <w:tcW w:w="2128" w:type="pct"/>
          </w:tcPr>
          <w:p w:rsidR="00641EFA" w:rsidRPr="004D451D" w:rsidRDefault="00641EFA" w:rsidP="004B75EF">
            <w:pPr>
              <w:spacing w:before="60" w:after="60" w:line="480" w:lineRule="exact"/>
              <w:jc w:val="right"/>
              <w:rPr>
                <w:rFonts w:ascii="標楷體" w:eastAsia="標楷體" w:hAnsi="標楷體"/>
              </w:rPr>
            </w:pPr>
          </w:p>
        </w:tc>
        <w:tc>
          <w:tcPr>
            <w:tcW w:w="2128" w:type="pct"/>
          </w:tcPr>
          <w:p w:rsidR="00641EFA" w:rsidRPr="004D451D" w:rsidRDefault="00641EFA" w:rsidP="004B75EF">
            <w:pPr>
              <w:spacing w:before="60" w:after="60" w:line="480" w:lineRule="exact"/>
              <w:jc w:val="right"/>
              <w:rPr>
                <w:rFonts w:ascii="標楷體" w:eastAsia="標楷體" w:hAnsi="標楷體"/>
              </w:rPr>
            </w:pPr>
          </w:p>
        </w:tc>
      </w:tr>
    </w:tbl>
    <w:p w:rsidR="00641EFA" w:rsidRPr="004D451D" w:rsidRDefault="00641EFA" w:rsidP="00641EFA">
      <w:pPr>
        <w:rPr>
          <w:rFonts w:ascii="標楷體" w:eastAsia="標楷體" w:hAnsi="標楷體"/>
          <w:sz w:val="28"/>
          <w:szCs w:val="28"/>
        </w:rPr>
      </w:pPr>
    </w:p>
    <w:p w:rsidR="00787E69" w:rsidRPr="004D451D" w:rsidRDefault="00787E69" w:rsidP="00641EFA">
      <w:pPr>
        <w:rPr>
          <w:rFonts w:eastAsia="標楷體" w:hAnsi="標楷體"/>
          <w:b/>
        </w:rPr>
      </w:pPr>
      <w:r w:rsidRPr="004D451D">
        <w:rPr>
          <w:rFonts w:eastAsia="標楷體" w:hAnsi="標楷體" w:hint="eastAsia"/>
          <w:b/>
        </w:rPr>
        <w:t>填表說明：</w:t>
      </w:r>
    </w:p>
    <w:p w:rsidR="00787E69" w:rsidRPr="004D451D" w:rsidRDefault="00787E69" w:rsidP="009F53B0">
      <w:pPr>
        <w:pStyle w:val="affb"/>
        <w:numPr>
          <w:ilvl w:val="0"/>
          <w:numId w:val="103"/>
        </w:numPr>
        <w:ind w:leftChars="150" w:left="720" w:hangingChars="150"/>
        <w:rPr>
          <w:rFonts w:eastAsia="標楷體"/>
        </w:rPr>
      </w:pPr>
      <w:r w:rsidRPr="004D451D">
        <w:rPr>
          <w:rFonts w:eastAsia="標楷體"/>
        </w:rPr>
        <w:t>本表更新頻率：半年。</w:t>
      </w:r>
    </w:p>
    <w:p w:rsidR="00641EFA" w:rsidRPr="004D451D" w:rsidRDefault="00787E69" w:rsidP="009F53B0">
      <w:pPr>
        <w:pStyle w:val="affb"/>
        <w:numPr>
          <w:ilvl w:val="0"/>
          <w:numId w:val="103"/>
        </w:numPr>
        <w:ind w:leftChars="150" w:left="720" w:hangingChars="150"/>
        <w:rPr>
          <w:rFonts w:eastAsia="標楷體"/>
        </w:rPr>
      </w:pPr>
      <w:r w:rsidRPr="004D451D">
        <w:rPr>
          <w:rFonts w:eastAsia="標楷體"/>
        </w:rPr>
        <w:t>本表採</w:t>
      </w:r>
      <w:r w:rsidR="00641EFA" w:rsidRPr="004D451D">
        <w:rPr>
          <w:rFonts w:eastAsia="標楷體"/>
        </w:rPr>
        <w:t>個體</w:t>
      </w:r>
      <w:r w:rsidRPr="004D451D">
        <w:rPr>
          <w:rFonts w:eastAsia="標楷體"/>
        </w:rPr>
        <w:t>基礎填報</w:t>
      </w:r>
      <w:r w:rsidR="00641EFA" w:rsidRPr="004D451D">
        <w:rPr>
          <w:rFonts w:eastAsia="標楷體"/>
        </w:rPr>
        <w:t>。</w:t>
      </w:r>
    </w:p>
    <w:p w:rsidR="00641EFA" w:rsidRPr="004D451D" w:rsidRDefault="00641EFA" w:rsidP="00641EFA">
      <w:pPr>
        <w:autoSpaceDE w:val="0"/>
        <w:autoSpaceDN w:val="0"/>
        <w:adjustRightInd w:val="0"/>
        <w:rPr>
          <w:rFonts w:ascii="標楷體" w:eastAsia="標楷體" w:hAnsi="標楷體" w:cs="Arial"/>
          <w:kern w:val="0"/>
        </w:rPr>
      </w:pPr>
    </w:p>
    <w:p w:rsidR="00BF3B7A" w:rsidRPr="004D451D" w:rsidRDefault="00641EFA" w:rsidP="00641EFA">
      <w:pPr>
        <w:rPr>
          <w:rFonts w:eastAsia="標楷體"/>
          <w:sz w:val="32"/>
          <w:szCs w:val="32"/>
        </w:rPr>
      </w:pPr>
      <w:r w:rsidRPr="004D451D">
        <w:rPr>
          <w:lang w:val="it-IT"/>
        </w:rPr>
        <w:br w:type="page"/>
      </w:r>
      <w:r w:rsidR="00BF3B7A" w:rsidRPr="004D451D">
        <w:rPr>
          <w:rFonts w:eastAsia="標楷體"/>
          <w:b/>
          <w:sz w:val="32"/>
          <w:szCs w:val="32"/>
        </w:rPr>
        <w:t>【附表三十</w:t>
      </w:r>
      <w:r w:rsidR="00787E69" w:rsidRPr="004D451D">
        <w:rPr>
          <w:rFonts w:eastAsia="標楷體" w:hint="eastAsia"/>
          <w:b/>
          <w:sz w:val="32"/>
          <w:szCs w:val="32"/>
        </w:rPr>
        <w:t>八</w:t>
      </w:r>
      <w:r w:rsidR="00BF3B7A" w:rsidRPr="004D451D">
        <w:rPr>
          <w:rFonts w:eastAsia="標楷體"/>
          <w:b/>
          <w:sz w:val="32"/>
          <w:szCs w:val="32"/>
        </w:rPr>
        <w:t>】</w:t>
      </w:r>
    </w:p>
    <w:p w:rsidR="00BF3B7A" w:rsidRPr="004D451D" w:rsidRDefault="00D86FD5" w:rsidP="00BF3B7A">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b/>
          <w:szCs w:val="32"/>
        </w:rPr>
        <w:t>市場風險管理制度</w:t>
      </w:r>
      <w:r w:rsidR="00641EFA" w:rsidRPr="004D451D">
        <w:rPr>
          <w:rFonts w:hint="eastAsia"/>
          <w:b/>
        </w:rPr>
        <w:t>─</w:t>
      </w:r>
      <w:r w:rsidR="00641EFA" w:rsidRPr="004D451D">
        <w:rPr>
          <w:rFonts w:ascii="Times New Roman" w:hAnsi="Times New Roman"/>
          <w:b/>
          <w:szCs w:val="32"/>
        </w:rPr>
        <w:t>標準法</w:t>
      </w:r>
    </w:p>
    <w:p w:rsidR="00BF3B7A" w:rsidRPr="004D451D" w:rsidRDefault="00A450F7" w:rsidP="00A450F7">
      <w:pPr>
        <w:pStyle w:val="ad"/>
        <w:spacing w:before="120" w:after="120" w:line="240" w:lineRule="auto"/>
        <w:ind w:leftChars="50" w:left="120" w:right="-54" w:firstLineChars="1100" w:firstLine="3520"/>
        <w:rPr>
          <w:rFonts w:ascii="Times New Roman" w:hAnsi="Times New Roman"/>
          <w:szCs w:val="32"/>
        </w:rPr>
      </w:pPr>
      <w:r w:rsidRPr="004D451D">
        <w:rPr>
          <w:rFonts w:ascii="Times New Roman" w:hAnsi="Times New Roman" w:hint="eastAsia"/>
          <w:szCs w:val="32"/>
        </w:rPr>
        <w:t>10</w:t>
      </w:r>
      <w:r w:rsidR="006F18D1" w:rsidRPr="004D451D">
        <w:rPr>
          <w:rFonts w:ascii="Times New Roman" w:hAnsi="Times New Roman" w:hint="eastAsia"/>
          <w:szCs w:val="32"/>
        </w:rPr>
        <w:t>7</w:t>
      </w:r>
      <w:r w:rsidR="006F18D1" w:rsidRPr="004D451D">
        <w:rPr>
          <w:rFonts w:ascii="Times New Roman" w:hAnsi="Times New Roman" w:hint="eastAsia"/>
          <w:szCs w:val="32"/>
        </w:rPr>
        <w:t>年</w:t>
      </w:r>
      <w:r w:rsidR="007C1674" w:rsidRPr="004D451D">
        <w:rPr>
          <w:rFonts w:ascii="Times New Roman" w:hAnsi="Times New Roman" w:hint="eastAsia"/>
          <w:szCs w:val="32"/>
        </w:rPr>
        <w:t>06</w:t>
      </w:r>
      <w:r w:rsidR="007C1674" w:rsidRPr="004D451D">
        <w:rPr>
          <w:rFonts w:ascii="Times New Roman" w:hAnsi="Times New Roman" w:hint="eastAsia"/>
          <w:szCs w:val="32"/>
        </w:rPr>
        <w:t>月</w:t>
      </w:r>
      <w:r w:rsidR="007C1674" w:rsidRPr="004D451D">
        <w:rPr>
          <w:rFonts w:ascii="Times New Roman" w:hAnsi="Times New Roman" w:hint="eastAsia"/>
          <w:szCs w:val="32"/>
        </w:rPr>
        <w:t>30</w:t>
      </w:r>
      <w:r w:rsidR="007C1674" w:rsidRPr="004D451D">
        <w:rPr>
          <w:rFonts w:ascii="Times New Roman" w:hAnsi="Times New Roman" w:hint="eastAsia"/>
          <w:szCs w:val="32"/>
        </w:rPr>
        <w:t>日</w:t>
      </w:r>
    </w:p>
    <w:tbl>
      <w:tblPr>
        <w:tblW w:w="9350" w:type="dxa"/>
        <w:tblInd w:w="13" w:type="dxa"/>
        <w:tblLayout w:type="fixed"/>
        <w:tblCellMar>
          <w:left w:w="28" w:type="dxa"/>
          <w:right w:w="28" w:type="dxa"/>
        </w:tblCellMar>
        <w:tblLook w:val="0000" w:firstRow="0" w:lastRow="0" w:firstColumn="0" w:lastColumn="0" w:noHBand="0" w:noVBand="0"/>
      </w:tblPr>
      <w:tblGrid>
        <w:gridCol w:w="582"/>
        <w:gridCol w:w="2835"/>
        <w:gridCol w:w="5933"/>
      </w:tblGrid>
      <w:tr w:rsidR="004D451D" w:rsidRPr="004D451D" w:rsidTr="00A450F7">
        <w:trPr>
          <w:trHeight w:val="624"/>
        </w:trPr>
        <w:tc>
          <w:tcPr>
            <w:tcW w:w="3417" w:type="dxa"/>
            <w:gridSpan w:val="2"/>
            <w:tcBorders>
              <w:top w:val="single" w:sz="4" w:space="0" w:color="auto"/>
              <w:left w:val="single" w:sz="4" w:space="0" w:color="auto"/>
              <w:bottom w:val="single" w:sz="4" w:space="0" w:color="auto"/>
              <w:right w:val="single" w:sz="4" w:space="0" w:color="auto"/>
            </w:tcBorders>
            <w:noWrap/>
            <w:vAlign w:val="center"/>
          </w:tcPr>
          <w:p w:rsidR="00F12BDE" w:rsidRPr="004D451D" w:rsidRDefault="00F12BDE" w:rsidP="00220F43">
            <w:pPr>
              <w:widowControl/>
              <w:jc w:val="center"/>
              <w:rPr>
                <w:rFonts w:eastAsia="標楷體"/>
                <w:kern w:val="0"/>
              </w:rPr>
            </w:pPr>
            <w:r w:rsidRPr="004D451D">
              <w:rPr>
                <w:rFonts w:eastAsia="標楷體"/>
                <w:kern w:val="0"/>
              </w:rPr>
              <w:t>項目</w:t>
            </w:r>
          </w:p>
        </w:tc>
        <w:tc>
          <w:tcPr>
            <w:tcW w:w="5933" w:type="dxa"/>
            <w:tcBorders>
              <w:top w:val="single" w:sz="4" w:space="0" w:color="auto"/>
              <w:left w:val="nil"/>
              <w:bottom w:val="single" w:sz="4" w:space="0" w:color="auto"/>
              <w:right w:val="single" w:sz="4" w:space="0" w:color="auto"/>
            </w:tcBorders>
            <w:noWrap/>
            <w:vAlign w:val="center"/>
          </w:tcPr>
          <w:p w:rsidR="00F12BDE" w:rsidRPr="004D451D" w:rsidRDefault="00F12BDE" w:rsidP="00220F43">
            <w:pPr>
              <w:widowControl/>
              <w:jc w:val="center"/>
              <w:rPr>
                <w:rFonts w:eastAsia="標楷體"/>
                <w:kern w:val="0"/>
              </w:rPr>
            </w:pPr>
            <w:r w:rsidRPr="004D451D">
              <w:rPr>
                <w:rFonts w:eastAsia="標楷體"/>
                <w:kern w:val="0"/>
              </w:rPr>
              <w:t>內容</w:t>
            </w:r>
          </w:p>
        </w:tc>
      </w:tr>
      <w:tr w:rsidR="004D451D" w:rsidRPr="004D451D" w:rsidTr="00A450F7">
        <w:trPr>
          <w:trHeight w:val="1413"/>
        </w:trPr>
        <w:tc>
          <w:tcPr>
            <w:tcW w:w="582" w:type="dxa"/>
            <w:tcBorders>
              <w:top w:val="nil"/>
              <w:left w:val="single" w:sz="4" w:space="0" w:color="auto"/>
              <w:bottom w:val="single" w:sz="4" w:space="0" w:color="auto"/>
              <w:right w:val="single" w:sz="4" w:space="0" w:color="auto"/>
            </w:tcBorders>
            <w:noWrap/>
            <w:vAlign w:val="center"/>
          </w:tcPr>
          <w:p w:rsidR="00A450F7" w:rsidRPr="004D451D" w:rsidRDefault="00A450F7" w:rsidP="00220F43">
            <w:pPr>
              <w:widowControl/>
              <w:jc w:val="center"/>
              <w:rPr>
                <w:rFonts w:eastAsia="標楷體"/>
                <w:kern w:val="0"/>
              </w:rPr>
            </w:pPr>
            <w:r w:rsidRPr="004D451D">
              <w:rPr>
                <w:rFonts w:eastAsia="標楷體"/>
                <w:kern w:val="0"/>
              </w:rPr>
              <w:t>1</w:t>
            </w:r>
          </w:p>
        </w:tc>
        <w:tc>
          <w:tcPr>
            <w:tcW w:w="2835" w:type="dxa"/>
            <w:tcBorders>
              <w:top w:val="single" w:sz="4" w:space="0" w:color="auto"/>
              <w:left w:val="nil"/>
              <w:bottom w:val="single" w:sz="4" w:space="0" w:color="auto"/>
              <w:right w:val="single" w:sz="4" w:space="0" w:color="000000"/>
            </w:tcBorders>
            <w:vAlign w:val="center"/>
          </w:tcPr>
          <w:p w:rsidR="00A450F7" w:rsidRPr="004D451D" w:rsidRDefault="00A450F7" w:rsidP="00220F43">
            <w:pPr>
              <w:widowControl/>
              <w:rPr>
                <w:rFonts w:eastAsia="標楷體"/>
                <w:kern w:val="0"/>
              </w:rPr>
            </w:pPr>
            <w:r w:rsidRPr="004D451D">
              <w:rPr>
                <w:rFonts w:eastAsia="標楷體"/>
                <w:kern w:val="0"/>
              </w:rPr>
              <w:t>市場風險管理策略與流程</w:t>
            </w:r>
          </w:p>
        </w:tc>
        <w:tc>
          <w:tcPr>
            <w:tcW w:w="5933" w:type="dxa"/>
            <w:tcBorders>
              <w:top w:val="single" w:sz="4" w:space="0" w:color="auto"/>
              <w:left w:val="nil"/>
              <w:bottom w:val="single" w:sz="4" w:space="0" w:color="auto"/>
              <w:right w:val="single" w:sz="4" w:space="0" w:color="auto"/>
            </w:tcBorders>
            <w:noWrap/>
            <w:vAlign w:val="center"/>
          </w:tcPr>
          <w:p w:rsidR="00A450F7" w:rsidRPr="004D451D" w:rsidRDefault="00A450F7" w:rsidP="00FB03BE">
            <w:pPr>
              <w:widowControl/>
              <w:spacing w:line="280" w:lineRule="exact"/>
              <w:rPr>
                <w:rFonts w:eastAsia="標楷體"/>
                <w:kern w:val="0"/>
              </w:rPr>
            </w:pPr>
            <w:r w:rsidRPr="004D451D">
              <w:rPr>
                <w:rFonts w:eastAsia="標楷體" w:hint="eastAsia"/>
                <w:kern w:val="0"/>
              </w:rPr>
              <w:t>1.</w:t>
            </w:r>
            <w:r w:rsidRPr="004D451D">
              <w:rPr>
                <w:rFonts w:eastAsia="標楷體" w:hint="eastAsia"/>
                <w:kern w:val="0"/>
              </w:rPr>
              <w:t>市場風險管理策略</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因應本行經營環境及面臨風險之變化作適當調整，維持與本行經營策略及目標之一致性，並涵蓋與業務相關之所有重要市場風險。投資有價證券等金融商品，應以穩健為原則，重視商品基本分析與景氣循環，避免風險過度集中，並符合投資限額法規限制。</w:t>
            </w:r>
          </w:p>
          <w:p w:rsidR="00A450F7" w:rsidRPr="004D451D" w:rsidRDefault="00A450F7" w:rsidP="00FB03BE">
            <w:pPr>
              <w:widowControl/>
              <w:spacing w:line="280" w:lineRule="exact"/>
              <w:rPr>
                <w:rFonts w:eastAsia="標楷體"/>
                <w:kern w:val="0"/>
              </w:rPr>
            </w:pPr>
            <w:r w:rsidRPr="004D451D">
              <w:rPr>
                <w:rFonts w:eastAsia="標楷體" w:hint="eastAsia"/>
                <w:kern w:val="0"/>
              </w:rPr>
              <w:t>2.</w:t>
            </w:r>
            <w:r w:rsidRPr="004D451D">
              <w:rPr>
                <w:rFonts w:eastAsia="標楷體" w:hint="eastAsia"/>
                <w:kern w:val="0"/>
              </w:rPr>
              <w:t>市場風險管理流程</w:t>
            </w:r>
            <w:r w:rsidRPr="004D451D">
              <w:rPr>
                <w:rFonts w:eastAsia="標楷體" w:hint="eastAsia"/>
                <w:kern w:val="0"/>
              </w:rPr>
              <w:tab/>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建立市場風險管理機制，有效辨識、</w:t>
            </w:r>
            <w:r w:rsidRPr="004D451D">
              <w:rPr>
                <w:rFonts w:eastAsia="標楷體" w:hint="eastAsia"/>
                <w:kern w:val="0"/>
              </w:rPr>
              <w:t xml:space="preserve">  </w:t>
            </w:r>
            <w:r w:rsidRPr="004D451D">
              <w:rPr>
                <w:rFonts w:eastAsia="標楷體" w:hint="eastAsia"/>
                <w:kern w:val="0"/>
              </w:rPr>
              <w:t>衡量、溝通、監控所有主要交易產品、交易活動相關之市場風險。</w:t>
            </w:r>
          </w:p>
        </w:tc>
      </w:tr>
      <w:tr w:rsidR="004D451D" w:rsidRPr="004D451D" w:rsidTr="00A450F7">
        <w:trPr>
          <w:trHeight w:val="1405"/>
        </w:trPr>
        <w:tc>
          <w:tcPr>
            <w:tcW w:w="582" w:type="dxa"/>
            <w:tcBorders>
              <w:top w:val="nil"/>
              <w:left w:val="single" w:sz="4" w:space="0" w:color="auto"/>
              <w:bottom w:val="single" w:sz="4" w:space="0" w:color="auto"/>
              <w:right w:val="single" w:sz="4" w:space="0" w:color="auto"/>
            </w:tcBorders>
            <w:noWrap/>
            <w:vAlign w:val="center"/>
          </w:tcPr>
          <w:p w:rsidR="00A450F7" w:rsidRPr="004D451D" w:rsidRDefault="00A450F7" w:rsidP="00220F43">
            <w:pPr>
              <w:widowControl/>
              <w:jc w:val="center"/>
              <w:rPr>
                <w:rFonts w:eastAsia="標楷體"/>
                <w:kern w:val="0"/>
              </w:rPr>
            </w:pPr>
            <w:r w:rsidRPr="004D451D">
              <w:rPr>
                <w:rFonts w:eastAsia="標楷體"/>
                <w:kern w:val="0"/>
              </w:rPr>
              <w:t>2</w:t>
            </w:r>
          </w:p>
        </w:tc>
        <w:tc>
          <w:tcPr>
            <w:tcW w:w="2835" w:type="dxa"/>
            <w:tcBorders>
              <w:top w:val="single" w:sz="4" w:space="0" w:color="auto"/>
              <w:left w:val="nil"/>
              <w:bottom w:val="single" w:sz="4" w:space="0" w:color="auto"/>
              <w:right w:val="single" w:sz="4" w:space="0" w:color="000000"/>
            </w:tcBorders>
            <w:noWrap/>
            <w:vAlign w:val="center"/>
          </w:tcPr>
          <w:p w:rsidR="00A450F7" w:rsidRPr="004D451D" w:rsidRDefault="00A450F7" w:rsidP="00220F43">
            <w:pPr>
              <w:widowControl/>
              <w:rPr>
                <w:rFonts w:eastAsia="標楷體"/>
                <w:kern w:val="0"/>
              </w:rPr>
            </w:pPr>
            <w:r w:rsidRPr="004D451D">
              <w:rPr>
                <w:rFonts w:eastAsia="標楷體"/>
                <w:kern w:val="0"/>
              </w:rPr>
              <w:t>市場風險管理組織與架構</w:t>
            </w:r>
          </w:p>
        </w:tc>
        <w:tc>
          <w:tcPr>
            <w:tcW w:w="5933" w:type="dxa"/>
            <w:tcBorders>
              <w:top w:val="single" w:sz="4" w:space="0" w:color="auto"/>
              <w:left w:val="nil"/>
              <w:bottom w:val="single" w:sz="4" w:space="0" w:color="auto"/>
              <w:right w:val="single" w:sz="4" w:space="0" w:color="auto"/>
            </w:tcBorders>
            <w:noWrap/>
            <w:vAlign w:val="center"/>
          </w:tcPr>
          <w:p w:rsidR="00A450F7" w:rsidRPr="004D451D" w:rsidRDefault="00A450F7" w:rsidP="00FB03BE">
            <w:pPr>
              <w:widowControl/>
              <w:spacing w:line="280" w:lineRule="exact"/>
              <w:rPr>
                <w:rFonts w:eastAsia="標楷體"/>
                <w:kern w:val="0"/>
              </w:rPr>
            </w:pPr>
            <w:r w:rsidRPr="004D451D">
              <w:rPr>
                <w:rFonts w:eastAsia="標楷體" w:hint="eastAsia"/>
                <w:kern w:val="0"/>
              </w:rPr>
              <w:t>市場風險管理組織與架構</w:t>
            </w:r>
          </w:p>
          <w:p w:rsidR="00A450F7" w:rsidRPr="004D451D" w:rsidRDefault="00A450F7" w:rsidP="00FB03BE">
            <w:pPr>
              <w:widowControl/>
              <w:spacing w:line="280" w:lineRule="exact"/>
              <w:rPr>
                <w:rFonts w:eastAsia="標楷體"/>
                <w:kern w:val="0"/>
              </w:rPr>
            </w:pPr>
            <w:r w:rsidRPr="004D451D">
              <w:rPr>
                <w:rFonts w:eastAsia="標楷體" w:hint="eastAsia"/>
                <w:kern w:val="0"/>
              </w:rPr>
              <w:t>1.</w:t>
            </w:r>
            <w:r w:rsidRPr="004D451D">
              <w:rPr>
                <w:rFonts w:eastAsia="標楷體" w:hint="eastAsia"/>
                <w:kern w:val="0"/>
              </w:rPr>
              <w:t>董事會</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為本行市場風險管理之最高決策層級，並對本行市場風險負有最終之責任。</w:t>
            </w:r>
          </w:p>
          <w:p w:rsidR="00A450F7" w:rsidRPr="004D451D" w:rsidRDefault="00A450F7" w:rsidP="00FB03BE">
            <w:pPr>
              <w:widowControl/>
              <w:spacing w:line="280" w:lineRule="exact"/>
              <w:rPr>
                <w:rFonts w:eastAsia="標楷體"/>
                <w:kern w:val="0"/>
              </w:rPr>
            </w:pPr>
            <w:r w:rsidRPr="004D451D">
              <w:rPr>
                <w:rFonts w:eastAsia="標楷體" w:hint="eastAsia"/>
                <w:kern w:val="0"/>
              </w:rPr>
              <w:t>2.</w:t>
            </w:r>
            <w:r w:rsidRPr="004D451D">
              <w:rPr>
                <w:rFonts w:eastAsia="標楷體" w:hint="eastAsia"/>
                <w:kern w:val="0"/>
              </w:rPr>
              <w:t>投資管理委員會</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為因應國內、外金融情勢的變化，適時調整投資策略，控制投資風險，以維持全行投資部位安全性暨收益性。</w:t>
            </w:r>
          </w:p>
          <w:p w:rsidR="00A450F7" w:rsidRPr="004D451D" w:rsidRDefault="00A450F7" w:rsidP="00FB03BE">
            <w:pPr>
              <w:widowControl/>
              <w:spacing w:line="280" w:lineRule="exact"/>
              <w:rPr>
                <w:rFonts w:eastAsia="標楷體"/>
                <w:kern w:val="0"/>
              </w:rPr>
            </w:pPr>
            <w:r w:rsidRPr="004D451D">
              <w:rPr>
                <w:rFonts w:eastAsia="標楷體" w:hint="eastAsia"/>
                <w:kern w:val="0"/>
              </w:rPr>
              <w:t>3.</w:t>
            </w:r>
            <w:r w:rsidRPr="004D451D">
              <w:rPr>
                <w:rFonts w:eastAsia="標楷體" w:hint="eastAsia"/>
                <w:kern w:val="0"/>
              </w:rPr>
              <w:t>風險管理委員會</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負責執行董事會核定之市場風險管理決策，審議市場風險規章，持續監督風險管理執行的績效。</w:t>
            </w:r>
          </w:p>
          <w:p w:rsidR="00A450F7" w:rsidRPr="004D451D" w:rsidRDefault="00A450F7" w:rsidP="00FB03BE">
            <w:pPr>
              <w:widowControl/>
              <w:spacing w:line="280" w:lineRule="exact"/>
              <w:rPr>
                <w:rFonts w:eastAsia="標楷體"/>
                <w:kern w:val="0"/>
              </w:rPr>
            </w:pPr>
            <w:r w:rsidRPr="004D451D">
              <w:rPr>
                <w:rFonts w:eastAsia="標楷體" w:hint="eastAsia"/>
                <w:kern w:val="0"/>
              </w:rPr>
              <w:t>4.</w:t>
            </w:r>
            <w:r w:rsidRPr="004D451D">
              <w:rPr>
                <w:rFonts w:eastAsia="標楷體" w:hint="eastAsia"/>
                <w:kern w:val="0"/>
              </w:rPr>
              <w:t>風險管理部</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負責規劃、建置及整合本行市場風險管理作業，辦理全行資金調度、有價證券買賣等交易之清算交割帳務事宜，並以公平市價定期評估損益，控管各項投資部位、交易額度，向業務交易單位通知超限、停損、預警，定期彙總全行市場風險資訊提報風險管理委員會。</w:t>
            </w:r>
          </w:p>
          <w:p w:rsidR="00A450F7" w:rsidRPr="004D451D" w:rsidRDefault="00A450F7" w:rsidP="00FB03BE">
            <w:pPr>
              <w:widowControl/>
              <w:spacing w:line="280" w:lineRule="exact"/>
              <w:rPr>
                <w:rFonts w:eastAsia="標楷體"/>
                <w:kern w:val="0"/>
              </w:rPr>
            </w:pPr>
            <w:r w:rsidRPr="004D451D">
              <w:rPr>
                <w:rFonts w:eastAsia="標楷體" w:hint="eastAsia"/>
                <w:kern w:val="0"/>
              </w:rPr>
              <w:t>5.</w:t>
            </w:r>
            <w:r w:rsidRPr="004D451D">
              <w:rPr>
                <w:rFonts w:eastAsia="標楷體" w:hint="eastAsia"/>
                <w:kern w:val="0"/>
              </w:rPr>
              <w:t>總行各業務主管單位</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負責訂定、管理其所轄業務之市場風險規章及作業流程，並監控其執行情形，協助風險管理部完成全行市場風險之控管。</w:t>
            </w:r>
          </w:p>
          <w:p w:rsidR="00A450F7" w:rsidRPr="004D451D" w:rsidRDefault="00A450F7" w:rsidP="00FB03BE">
            <w:pPr>
              <w:widowControl/>
              <w:spacing w:line="280" w:lineRule="exact"/>
              <w:rPr>
                <w:rFonts w:eastAsia="標楷體"/>
                <w:kern w:val="0"/>
              </w:rPr>
            </w:pPr>
            <w:r w:rsidRPr="004D451D">
              <w:rPr>
                <w:rFonts w:eastAsia="標楷體" w:hint="eastAsia"/>
                <w:kern w:val="0"/>
              </w:rPr>
              <w:t>6.</w:t>
            </w:r>
            <w:r w:rsidRPr="004D451D">
              <w:rPr>
                <w:rFonts w:eastAsia="標楷體" w:hint="eastAsia"/>
                <w:kern w:val="0"/>
              </w:rPr>
              <w:t>各業務交易單位</w:t>
            </w:r>
          </w:p>
          <w:p w:rsidR="00A450F7" w:rsidRPr="004D451D" w:rsidRDefault="00A450F7" w:rsidP="00FB03BE">
            <w:pPr>
              <w:widowControl/>
              <w:spacing w:line="280" w:lineRule="exact"/>
              <w:ind w:left="240" w:hangingChars="100" w:hanging="240"/>
              <w:rPr>
                <w:rFonts w:eastAsia="標楷體"/>
                <w:kern w:val="0"/>
              </w:rPr>
            </w:pPr>
            <w:r w:rsidRPr="004D451D">
              <w:rPr>
                <w:rFonts w:eastAsia="標楷體" w:hint="eastAsia"/>
                <w:kern w:val="0"/>
              </w:rPr>
              <w:t xml:space="preserve">  </w:t>
            </w:r>
            <w:r w:rsidRPr="004D451D">
              <w:rPr>
                <w:rFonts w:eastAsia="標楷體" w:hint="eastAsia"/>
                <w:kern w:val="0"/>
              </w:rPr>
              <w:t>負責辨識、評估及衡量風險並採取適當的風險對策方式。遵循本行市場風險管理相關規定，進行日常作業與市場風險管理，其風險管理人員獨立於交易前台之外，或由不同部門科別人員擔任，對於各種限額、停損等機制積極監控，並依規定適時陳報相關單位。</w:t>
            </w:r>
            <w:r w:rsidRPr="004D451D">
              <w:rPr>
                <w:rFonts w:eastAsia="標楷體"/>
                <w:kern w:val="0"/>
              </w:rPr>
              <w:t xml:space="preserve">　</w:t>
            </w:r>
          </w:p>
        </w:tc>
      </w:tr>
      <w:tr w:rsidR="00A450F7" w:rsidRPr="004D451D" w:rsidTr="00A450F7">
        <w:trPr>
          <w:trHeight w:val="1397"/>
        </w:trPr>
        <w:tc>
          <w:tcPr>
            <w:tcW w:w="582" w:type="dxa"/>
            <w:tcBorders>
              <w:top w:val="nil"/>
              <w:left w:val="single" w:sz="4" w:space="0" w:color="auto"/>
              <w:bottom w:val="single" w:sz="4" w:space="0" w:color="auto"/>
              <w:right w:val="single" w:sz="4" w:space="0" w:color="auto"/>
            </w:tcBorders>
            <w:noWrap/>
            <w:vAlign w:val="center"/>
          </w:tcPr>
          <w:p w:rsidR="00A450F7" w:rsidRPr="004D451D" w:rsidRDefault="00A450F7" w:rsidP="00220F43">
            <w:pPr>
              <w:widowControl/>
              <w:jc w:val="center"/>
              <w:rPr>
                <w:rFonts w:eastAsia="標楷體"/>
                <w:kern w:val="0"/>
              </w:rPr>
            </w:pPr>
            <w:r w:rsidRPr="004D451D">
              <w:rPr>
                <w:rFonts w:eastAsia="標楷體"/>
                <w:kern w:val="0"/>
              </w:rPr>
              <w:t>3</w:t>
            </w:r>
          </w:p>
        </w:tc>
        <w:tc>
          <w:tcPr>
            <w:tcW w:w="2835" w:type="dxa"/>
            <w:tcBorders>
              <w:top w:val="single" w:sz="4" w:space="0" w:color="auto"/>
              <w:left w:val="nil"/>
              <w:bottom w:val="single" w:sz="4" w:space="0" w:color="auto"/>
              <w:right w:val="single" w:sz="4" w:space="0" w:color="000000"/>
            </w:tcBorders>
            <w:noWrap/>
            <w:vAlign w:val="center"/>
          </w:tcPr>
          <w:p w:rsidR="00A450F7" w:rsidRPr="004D451D" w:rsidRDefault="00A450F7" w:rsidP="00220F43">
            <w:pPr>
              <w:widowControl/>
              <w:rPr>
                <w:rFonts w:eastAsia="標楷體"/>
                <w:kern w:val="0"/>
              </w:rPr>
            </w:pPr>
            <w:r w:rsidRPr="004D451D">
              <w:rPr>
                <w:rFonts w:eastAsia="標楷體"/>
                <w:kern w:val="0"/>
              </w:rPr>
              <w:t>市場風險報告與衡量系統之範圍與特點</w:t>
            </w:r>
          </w:p>
        </w:tc>
        <w:tc>
          <w:tcPr>
            <w:tcW w:w="5933" w:type="dxa"/>
            <w:tcBorders>
              <w:top w:val="single" w:sz="4" w:space="0" w:color="auto"/>
              <w:left w:val="nil"/>
              <w:bottom w:val="single" w:sz="4" w:space="0" w:color="auto"/>
              <w:right w:val="single" w:sz="4" w:space="0" w:color="auto"/>
            </w:tcBorders>
            <w:noWrap/>
            <w:vAlign w:val="center"/>
          </w:tcPr>
          <w:p w:rsidR="00A450F7" w:rsidRPr="004D451D" w:rsidRDefault="00A450F7" w:rsidP="00FB03BE">
            <w:pPr>
              <w:widowControl/>
              <w:spacing w:line="280" w:lineRule="exact"/>
              <w:ind w:left="240" w:hangingChars="100" w:hanging="240"/>
              <w:jc w:val="both"/>
              <w:rPr>
                <w:rFonts w:eastAsia="標楷體"/>
                <w:kern w:val="0"/>
              </w:rPr>
            </w:pPr>
            <w:r w:rsidRPr="004D451D">
              <w:rPr>
                <w:rFonts w:eastAsia="標楷體" w:hint="eastAsia"/>
                <w:kern w:val="0"/>
              </w:rPr>
              <w:t xml:space="preserve">  </w:t>
            </w:r>
            <w:r w:rsidRPr="004D451D">
              <w:rPr>
                <w:rFonts w:eastAsia="標楷體" w:hint="eastAsia"/>
                <w:kern w:val="0"/>
              </w:rPr>
              <w:t>市場風險包含因利率、權益證券、外匯、商品等之風險，本行依據整體風險管理政策，訂定「市場風險管理準則」，依據「交易簿與銀行簿分類管理辦法」，將持有之部位分類為「交易簿」與「銀行簿」，以有效管理金融商品部位，各種投資交易依相關法令及本行各項規範執行各項業務之風險管理，將風險控制在可承受的範圍內，並揭露於風險控管報告每季提報董事會。</w:t>
            </w:r>
          </w:p>
          <w:p w:rsidR="00A450F7" w:rsidRPr="004D451D" w:rsidRDefault="00A450F7" w:rsidP="00FB03BE">
            <w:pPr>
              <w:widowControl/>
              <w:spacing w:line="280" w:lineRule="exact"/>
              <w:jc w:val="both"/>
              <w:rPr>
                <w:rFonts w:eastAsia="標楷體"/>
                <w:kern w:val="0"/>
              </w:rPr>
            </w:pPr>
            <w:r w:rsidRPr="004D451D">
              <w:rPr>
                <w:rFonts w:eastAsia="標楷體" w:hint="eastAsia"/>
                <w:kern w:val="0"/>
              </w:rPr>
              <w:t>內容及範圍為：</w:t>
            </w:r>
          </w:p>
          <w:p w:rsidR="00A450F7" w:rsidRPr="004D451D" w:rsidRDefault="00A450F7" w:rsidP="009F53B0">
            <w:pPr>
              <w:widowControl/>
              <w:numPr>
                <w:ilvl w:val="2"/>
                <w:numId w:val="132"/>
              </w:numPr>
              <w:spacing w:line="280" w:lineRule="exact"/>
              <w:ind w:left="408" w:hangingChars="170"/>
              <w:jc w:val="both"/>
              <w:rPr>
                <w:rFonts w:eastAsia="標楷體"/>
                <w:kern w:val="0"/>
              </w:rPr>
            </w:pPr>
            <w:r w:rsidRPr="004D451D">
              <w:rPr>
                <w:rFonts w:eastAsia="標楷體" w:hint="eastAsia"/>
                <w:kern w:val="0"/>
              </w:rPr>
              <w:t>市場風險投資限額、預警管理：</w:t>
            </w:r>
          </w:p>
          <w:p w:rsidR="00A450F7" w:rsidRPr="004D451D" w:rsidRDefault="00A450F7" w:rsidP="009F53B0">
            <w:pPr>
              <w:widowControl/>
              <w:numPr>
                <w:ilvl w:val="0"/>
                <w:numId w:val="134"/>
              </w:numPr>
              <w:spacing w:line="280" w:lineRule="exact"/>
              <w:ind w:leftChars="50" w:left="480" w:hangingChars="150"/>
              <w:jc w:val="both"/>
              <w:rPr>
                <w:rFonts w:eastAsia="標楷體"/>
                <w:kern w:val="0"/>
              </w:rPr>
            </w:pPr>
            <w:r w:rsidRPr="004D451D">
              <w:rPr>
                <w:rFonts w:eastAsia="標楷體" w:hint="eastAsia"/>
                <w:kern w:val="0"/>
              </w:rPr>
              <w:t>投資各類有價證券</w:t>
            </w:r>
          </w:p>
          <w:p w:rsidR="00A450F7" w:rsidRPr="004D451D" w:rsidRDefault="00A450F7" w:rsidP="009F53B0">
            <w:pPr>
              <w:widowControl/>
              <w:numPr>
                <w:ilvl w:val="0"/>
                <w:numId w:val="135"/>
              </w:numPr>
              <w:spacing w:line="280" w:lineRule="exact"/>
              <w:ind w:leftChars="100" w:left="600" w:hangingChars="150"/>
              <w:jc w:val="both"/>
              <w:rPr>
                <w:rFonts w:eastAsia="標楷體"/>
                <w:kern w:val="0"/>
              </w:rPr>
            </w:pPr>
            <w:r w:rsidRPr="004D451D">
              <w:rPr>
                <w:rFonts w:eastAsia="標楷體" w:hint="eastAsia"/>
                <w:kern w:val="0"/>
              </w:rPr>
              <w:t>各類有價證券限額</w:t>
            </w:r>
            <w:r w:rsidRPr="004D451D">
              <w:rPr>
                <w:rFonts w:eastAsia="標楷體" w:hint="eastAsia"/>
                <w:kern w:val="0"/>
              </w:rPr>
              <w:t>(</w:t>
            </w:r>
            <w:r w:rsidRPr="004D451D">
              <w:rPr>
                <w:rFonts w:eastAsia="標楷體" w:hint="eastAsia"/>
                <w:kern w:val="0"/>
              </w:rPr>
              <w:t>主管機關規定</w:t>
            </w:r>
            <w:r w:rsidRPr="004D451D">
              <w:rPr>
                <w:rFonts w:eastAsia="標楷體" w:hint="eastAsia"/>
                <w:kern w:val="0"/>
              </w:rPr>
              <w:t>)</w:t>
            </w:r>
          </w:p>
          <w:p w:rsidR="00A450F7" w:rsidRPr="004D451D" w:rsidRDefault="00A450F7" w:rsidP="009F53B0">
            <w:pPr>
              <w:widowControl/>
              <w:numPr>
                <w:ilvl w:val="0"/>
                <w:numId w:val="135"/>
              </w:numPr>
              <w:spacing w:line="280" w:lineRule="exact"/>
              <w:ind w:leftChars="100" w:left="598" w:hangingChars="149" w:hanging="358"/>
              <w:jc w:val="both"/>
              <w:rPr>
                <w:rFonts w:eastAsia="標楷體"/>
                <w:kern w:val="0"/>
              </w:rPr>
            </w:pPr>
            <w:r w:rsidRPr="004D451D">
              <w:rPr>
                <w:rFonts w:eastAsia="標楷體" w:hint="eastAsia"/>
                <w:kern w:val="0"/>
              </w:rPr>
              <w:t>同一法人、集團企業、產業之投資限制</w:t>
            </w:r>
            <w:r w:rsidRPr="004D451D">
              <w:rPr>
                <w:rFonts w:eastAsia="標楷體" w:hint="eastAsia"/>
                <w:kern w:val="0"/>
              </w:rPr>
              <w:t>(</w:t>
            </w:r>
            <w:r w:rsidRPr="004D451D">
              <w:rPr>
                <w:rFonts w:eastAsia="標楷體" w:hint="eastAsia"/>
                <w:kern w:val="0"/>
              </w:rPr>
              <w:t>本行規定</w:t>
            </w:r>
            <w:r w:rsidRPr="004D451D">
              <w:rPr>
                <w:rFonts w:eastAsia="標楷體" w:hint="eastAsia"/>
                <w:kern w:val="0"/>
              </w:rPr>
              <w:t>)</w:t>
            </w:r>
          </w:p>
          <w:p w:rsidR="00A450F7" w:rsidRPr="004D451D" w:rsidRDefault="00A450F7" w:rsidP="009F53B0">
            <w:pPr>
              <w:widowControl/>
              <w:numPr>
                <w:ilvl w:val="0"/>
                <w:numId w:val="135"/>
              </w:numPr>
              <w:spacing w:line="280" w:lineRule="exact"/>
              <w:ind w:leftChars="100" w:left="598" w:hangingChars="149" w:hanging="358"/>
              <w:jc w:val="both"/>
              <w:rPr>
                <w:rFonts w:eastAsia="標楷體"/>
                <w:kern w:val="0"/>
              </w:rPr>
            </w:pPr>
            <w:r w:rsidRPr="004D451D">
              <w:rPr>
                <w:rFonts w:eastAsia="標楷體" w:hint="eastAsia"/>
                <w:kern w:val="0"/>
              </w:rPr>
              <w:t>「無活絡市場之債務商品」國外債券之投資限制</w:t>
            </w:r>
            <w:r w:rsidRPr="004D451D">
              <w:rPr>
                <w:rFonts w:eastAsia="標楷體" w:hint="eastAsia"/>
                <w:kern w:val="0"/>
              </w:rPr>
              <w:t>(</w:t>
            </w:r>
            <w:r w:rsidRPr="004D451D">
              <w:rPr>
                <w:rFonts w:eastAsia="標楷體" w:hint="eastAsia"/>
                <w:kern w:val="0"/>
              </w:rPr>
              <w:t>本行規定</w:t>
            </w:r>
            <w:r w:rsidRPr="004D451D">
              <w:rPr>
                <w:rFonts w:eastAsia="標楷體" w:hint="eastAsia"/>
                <w:kern w:val="0"/>
              </w:rPr>
              <w:t>)</w:t>
            </w:r>
          </w:p>
          <w:p w:rsidR="00A450F7" w:rsidRPr="004D451D" w:rsidRDefault="00A450F7" w:rsidP="009F53B0">
            <w:pPr>
              <w:widowControl/>
              <w:numPr>
                <w:ilvl w:val="0"/>
                <w:numId w:val="135"/>
              </w:numPr>
              <w:spacing w:line="280" w:lineRule="exact"/>
              <w:ind w:leftChars="100" w:left="598" w:hangingChars="149" w:hanging="358"/>
              <w:jc w:val="both"/>
              <w:rPr>
                <w:rFonts w:eastAsia="標楷體"/>
                <w:kern w:val="0"/>
              </w:rPr>
            </w:pPr>
            <w:r w:rsidRPr="004D451D">
              <w:rPr>
                <w:rFonts w:eastAsia="標楷體" w:hint="eastAsia"/>
                <w:kern w:val="0"/>
              </w:rPr>
              <w:t>非法定投資等級限額</w:t>
            </w:r>
            <w:r w:rsidRPr="004D451D">
              <w:rPr>
                <w:rFonts w:eastAsia="標楷體" w:hint="eastAsia"/>
                <w:kern w:val="0"/>
              </w:rPr>
              <w:t>(</w:t>
            </w:r>
            <w:r w:rsidRPr="004D451D">
              <w:rPr>
                <w:rFonts w:eastAsia="標楷體" w:hint="eastAsia"/>
                <w:kern w:val="0"/>
              </w:rPr>
              <w:t>主管機關規定</w:t>
            </w:r>
            <w:r w:rsidRPr="004D451D">
              <w:rPr>
                <w:rFonts w:eastAsia="標楷體" w:hint="eastAsia"/>
                <w:kern w:val="0"/>
              </w:rPr>
              <w:t>)</w:t>
            </w:r>
          </w:p>
          <w:p w:rsidR="00A450F7" w:rsidRPr="004D451D" w:rsidRDefault="00A450F7" w:rsidP="00FB03BE">
            <w:pPr>
              <w:widowControl/>
              <w:spacing w:line="280" w:lineRule="exact"/>
              <w:ind w:left="598"/>
              <w:jc w:val="both"/>
              <w:rPr>
                <w:rFonts w:eastAsia="標楷體"/>
                <w:kern w:val="0"/>
              </w:rPr>
            </w:pPr>
            <w:r w:rsidRPr="004D451D">
              <w:rPr>
                <w:rFonts w:eastAsia="標楷體" w:hint="eastAsia"/>
                <w:kern w:val="0"/>
              </w:rPr>
              <w:t>非法定投資等級債票券投資申請規定及單一標的之投資餘額</w:t>
            </w:r>
            <w:r w:rsidRPr="004D451D">
              <w:rPr>
                <w:rFonts w:eastAsia="標楷體" w:hint="eastAsia"/>
                <w:kern w:val="0"/>
              </w:rPr>
              <w:t>(</w:t>
            </w:r>
            <w:r w:rsidRPr="004D451D">
              <w:rPr>
                <w:rFonts w:eastAsia="標楷體" w:hint="eastAsia"/>
                <w:kern w:val="0"/>
              </w:rPr>
              <w:t>本行規定</w:t>
            </w:r>
            <w:r w:rsidRPr="004D451D">
              <w:rPr>
                <w:rFonts w:eastAsia="標楷體" w:hint="eastAsia"/>
                <w:kern w:val="0"/>
              </w:rPr>
              <w:t>)</w:t>
            </w:r>
          </w:p>
          <w:p w:rsidR="00A450F7" w:rsidRPr="004D451D" w:rsidRDefault="00A450F7" w:rsidP="009F53B0">
            <w:pPr>
              <w:widowControl/>
              <w:numPr>
                <w:ilvl w:val="0"/>
                <w:numId w:val="135"/>
              </w:numPr>
              <w:spacing w:line="280" w:lineRule="exact"/>
              <w:ind w:leftChars="100" w:left="598" w:hangingChars="149" w:hanging="358"/>
              <w:jc w:val="both"/>
              <w:rPr>
                <w:rFonts w:eastAsia="標楷體"/>
                <w:kern w:val="0"/>
              </w:rPr>
            </w:pPr>
            <w:r w:rsidRPr="004D451D">
              <w:rPr>
                <w:rFonts w:eastAsia="標楷體" w:hint="eastAsia"/>
                <w:kern w:val="0"/>
              </w:rPr>
              <w:t>應予注意債票券單一標的之投資餘額</w:t>
            </w:r>
            <w:r w:rsidRPr="004D451D">
              <w:rPr>
                <w:rFonts w:eastAsia="標楷體" w:hint="eastAsia"/>
                <w:kern w:val="0"/>
              </w:rPr>
              <w:t>(</w:t>
            </w:r>
            <w:r w:rsidRPr="004D451D">
              <w:rPr>
                <w:rFonts w:eastAsia="標楷體" w:hint="eastAsia"/>
                <w:kern w:val="0"/>
              </w:rPr>
              <w:t>本行規定</w:t>
            </w:r>
            <w:r w:rsidRPr="004D451D">
              <w:rPr>
                <w:rFonts w:eastAsia="標楷體" w:hint="eastAsia"/>
                <w:kern w:val="0"/>
              </w:rPr>
              <w:t>)</w:t>
            </w:r>
          </w:p>
          <w:p w:rsidR="00A450F7" w:rsidRPr="004D451D" w:rsidRDefault="00A450F7" w:rsidP="00FB03BE">
            <w:pPr>
              <w:widowControl/>
              <w:spacing w:line="280" w:lineRule="exact"/>
              <w:ind w:left="598"/>
              <w:jc w:val="both"/>
              <w:rPr>
                <w:rFonts w:eastAsia="標楷體"/>
                <w:kern w:val="0"/>
              </w:rPr>
            </w:pPr>
            <w:r w:rsidRPr="004D451D">
              <w:rPr>
                <w:rFonts w:eastAsia="標楷體" w:hint="eastAsia"/>
                <w:kern w:val="0"/>
              </w:rPr>
              <w:t>非法定投資等級加計應予注意債票券之限額</w:t>
            </w:r>
            <w:r w:rsidRPr="004D451D">
              <w:rPr>
                <w:rFonts w:eastAsia="標楷體" w:hint="eastAsia"/>
                <w:kern w:val="0"/>
              </w:rPr>
              <w:t>(</w:t>
            </w:r>
            <w:r w:rsidRPr="004D451D">
              <w:rPr>
                <w:rFonts w:eastAsia="標楷體" w:hint="eastAsia"/>
                <w:kern w:val="0"/>
              </w:rPr>
              <w:t>本行規定</w:t>
            </w:r>
            <w:r w:rsidRPr="004D451D">
              <w:rPr>
                <w:rFonts w:eastAsia="標楷體" w:hint="eastAsia"/>
                <w:kern w:val="0"/>
              </w:rPr>
              <w:t>)</w:t>
            </w:r>
          </w:p>
          <w:p w:rsidR="00A450F7" w:rsidRPr="004D451D" w:rsidRDefault="00A450F7" w:rsidP="009F53B0">
            <w:pPr>
              <w:widowControl/>
              <w:numPr>
                <w:ilvl w:val="0"/>
                <w:numId w:val="135"/>
              </w:numPr>
              <w:spacing w:line="280" w:lineRule="exact"/>
              <w:ind w:leftChars="100" w:left="598" w:hangingChars="149" w:hanging="358"/>
              <w:jc w:val="both"/>
              <w:rPr>
                <w:rFonts w:eastAsia="標楷體"/>
                <w:kern w:val="0"/>
              </w:rPr>
            </w:pPr>
            <w:r w:rsidRPr="004D451D">
              <w:rPr>
                <w:rFonts w:eastAsia="標楷體" w:hint="eastAsia"/>
                <w:kern w:val="0"/>
              </w:rPr>
              <w:t>信用評等皆為「</w:t>
            </w:r>
            <w:r w:rsidRPr="004D451D">
              <w:rPr>
                <w:rFonts w:eastAsia="標楷體"/>
                <w:kern w:val="0"/>
              </w:rPr>
              <w:t>BBB-/Baa3</w:t>
            </w:r>
            <w:r w:rsidRPr="004D451D">
              <w:rPr>
                <w:rFonts w:eastAsia="標楷體" w:hint="eastAsia"/>
                <w:kern w:val="0"/>
              </w:rPr>
              <w:t>、</w:t>
            </w:r>
            <w:r w:rsidRPr="004D451D">
              <w:rPr>
                <w:rFonts w:eastAsia="標楷體"/>
                <w:kern w:val="0"/>
              </w:rPr>
              <w:t>twBBB-</w:t>
            </w:r>
            <w:r w:rsidRPr="004D451D">
              <w:rPr>
                <w:rFonts w:eastAsia="標楷體" w:hint="eastAsia"/>
                <w:kern w:val="0"/>
              </w:rPr>
              <w:t>及相當者」債票劵加計應予注意債券及非法定投資等級債券投資限額</w:t>
            </w:r>
            <w:r w:rsidRPr="004D451D">
              <w:rPr>
                <w:rFonts w:eastAsia="標楷體"/>
                <w:kern w:val="0"/>
              </w:rPr>
              <w:t>(</w:t>
            </w:r>
            <w:r w:rsidRPr="004D451D">
              <w:rPr>
                <w:rFonts w:eastAsia="標楷體" w:hint="eastAsia"/>
                <w:kern w:val="0"/>
              </w:rPr>
              <w:t>本行規定</w:t>
            </w:r>
            <w:r w:rsidRPr="004D451D">
              <w:rPr>
                <w:rFonts w:eastAsia="標楷體"/>
                <w:kern w:val="0"/>
              </w:rPr>
              <w:t>)</w:t>
            </w:r>
          </w:p>
          <w:p w:rsidR="00A450F7" w:rsidRPr="004D451D" w:rsidRDefault="00A450F7" w:rsidP="009F53B0">
            <w:pPr>
              <w:widowControl/>
              <w:numPr>
                <w:ilvl w:val="0"/>
                <w:numId w:val="135"/>
              </w:numPr>
              <w:spacing w:line="280" w:lineRule="exact"/>
              <w:ind w:leftChars="100" w:left="598" w:hangingChars="149" w:hanging="358"/>
              <w:jc w:val="both"/>
              <w:rPr>
                <w:rFonts w:eastAsia="標楷體"/>
                <w:kern w:val="0"/>
              </w:rPr>
            </w:pPr>
            <w:r w:rsidRPr="004D451D">
              <w:rPr>
                <w:rFonts w:eastAsia="標楷體" w:hint="eastAsia"/>
                <w:kern w:val="0"/>
              </w:rPr>
              <w:t>除依循本行「國家風險管理準則」規定辦理外，對主權信評為</w:t>
            </w:r>
            <w:r w:rsidRPr="004D451D">
              <w:rPr>
                <w:rFonts w:eastAsia="標楷體" w:hint="eastAsia"/>
                <w:kern w:val="0"/>
              </w:rPr>
              <w:t>Baa1~Baa3/BBB+~BBB-</w:t>
            </w:r>
            <w:r w:rsidRPr="004D451D">
              <w:rPr>
                <w:rFonts w:eastAsia="標楷體" w:hint="eastAsia"/>
                <w:kern w:val="0"/>
              </w:rPr>
              <w:t>級之單一國家投資上限</w:t>
            </w:r>
            <w:r w:rsidRPr="004D451D">
              <w:rPr>
                <w:rFonts w:eastAsia="標楷體" w:hint="eastAsia"/>
                <w:kern w:val="0"/>
              </w:rPr>
              <w:t>(</w:t>
            </w:r>
            <w:r w:rsidRPr="004D451D">
              <w:rPr>
                <w:rFonts w:eastAsia="標楷體" w:hint="eastAsia"/>
                <w:kern w:val="0"/>
              </w:rPr>
              <w:t>本行規定</w:t>
            </w:r>
            <w:r w:rsidRPr="004D451D">
              <w:rPr>
                <w:rFonts w:eastAsia="標楷體" w:hint="eastAsia"/>
                <w:kern w:val="0"/>
              </w:rPr>
              <w:t>)</w:t>
            </w:r>
          </w:p>
          <w:p w:rsidR="00A450F7" w:rsidRPr="004D451D" w:rsidRDefault="00A450F7" w:rsidP="009F53B0">
            <w:pPr>
              <w:widowControl/>
              <w:numPr>
                <w:ilvl w:val="0"/>
                <w:numId w:val="134"/>
              </w:numPr>
              <w:spacing w:line="280" w:lineRule="exact"/>
              <w:ind w:leftChars="50" w:left="478" w:hangingChars="149" w:hanging="358"/>
              <w:jc w:val="both"/>
              <w:rPr>
                <w:rFonts w:eastAsia="標楷體"/>
                <w:kern w:val="0"/>
              </w:rPr>
            </w:pPr>
            <w:r w:rsidRPr="004D451D">
              <w:rPr>
                <w:rFonts w:eastAsia="標楷體" w:hint="eastAsia"/>
                <w:kern w:val="0"/>
              </w:rPr>
              <w:t>投資衍生性金融商品</w:t>
            </w:r>
          </w:p>
          <w:p w:rsidR="00A450F7" w:rsidRPr="004D451D" w:rsidRDefault="00A450F7" w:rsidP="009F53B0">
            <w:pPr>
              <w:widowControl/>
              <w:numPr>
                <w:ilvl w:val="0"/>
                <w:numId w:val="136"/>
              </w:numPr>
              <w:spacing w:line="280" w:lineRule="exact"/>
              <w:ind w:leftChars="100" w:left="598" w:hangingChars="149" w:hanging="358"/>
              <w:jc w:val="both"/>
              <w:rPr>
                <w:rFonts w:eastAsia="標楷體"/>
                <w:kern w:val="0"/>
              </w:rPr>
            </w:pPr>
            <w:r w:rsidRPr="004D451D">
              <w:rPr>
                <w:rFonts w:eastAsia="標楷體" w:hint="eastAsia"/>
                <w:kern w:val="0"/>
              </w:rPr>
              <w:t>名目本金總部位上限與損失上限</w:t>
            </w:r>
          </w:p>
          <w:p w:rsidR="00A450F7" w:rsidRPr="004D451D" w:rsidRDefault="00A450F7" w:rsidP="009F53B0">
            <w:pPr>
              <w:widowControl/>
              <w:numPr>
                <w:ilvl w:val="0"/>
                <w:numId w:val="136"/>
              </w:numPr>
              <w:spacing w:line="280" w:lineRule="exact"/>
              <w:ind w:leftChars="100" w:left="598" w:hangingChars="149" w:hanging="358"/>
              <w:jc w:val="both"/>
              <w:rPr>
                <w:rFonts w:eastAsia="標楷體"/>
                <w:kern w:val="0"/>
              </w:rPr>
            </w:pPr>
            <w:r w:rsidRPr="004D451D">
              <w:rPr>
                <w:rFonts w:eastAsia="標楷體" w:hint="eastAsia"/>
                <w:kern w:val="0"/>
              </w:rPr>
              <w:t>各類別契約之名目本金控管</w:t>
            </w:r>
          </w:p>
          <w:p w:rsidR="00A450F7" w:rsidRPr="004D451D" w:rsidRDefault="00A450F7" w:rsidP="009F53B0">
            <w:pPr>
              <w:widowControl/>
              <w:numPr>
                <w:ilvl w:val="0"/>
                <w:numId w:val="136"/>
              </w:numPr>
              <w:spacing w:line="280" w:lineRule="exact"/>
              <w:ind w:leftChars="100" w:left="598" w:hangingChars="149" w:hanging="358"/>
              <w:jc w:val="both"/>
              <w:rPr>
                <w:rFonts w:eastAsia="標楷體"/>
                <w:kern w:val="0"/>
              </w:rPr>
            </w:pPr>
            <w:r w:rsidRPr="004D451D">
              <w:rPr>
                <w:rFonts w:eastAsia="標楷體" w:hint="eastAsia"/>
                <w:kern w:val="0"/>
              </w:rPr>
              <w:t>交易對手之信用風險額度上限、各交易對手之市價評估利益預警</w:t>
            </w:r>
          </w:p>
          <w:p w:rsidR="00A450F7" w:rsidRPr="004D451D" w:rsidRDefault="00A450F7" w:rsidP="009F53B0">
            <w:pPr>
              <w:widowControl/>
              <w:numPr>
                <w:ilvl w:val="0"/>
                <w:numId w:val="136"/>
              </w:numPr>
              <w:spacing w:line="280" w:lineRule="exact"/>
              <w:ind w:leftChars="100" w:left="598" w:hangingChars="149" w:hanging="358"/>
              <w:jc w:val="both"/>
              <w:rPr>
                <w:rFonts w:eastAsia="標楷體"/>
                <w:kern w:val="0"/>
              </w:rPr>
            </w:pPr>
            <w:r w:rsidRPr="004D451D">
              <w:rPr>
                <w:rFonts w:eastAsia="標楷體" w:hint="eastAsia"/>
                <w:kern w:val="0"/>
              </w:rPr>
              <w:t>交易對手額度限制</w:t>
            </w:r>
            <w:r w:rsidRPr="004D451D">
              <w:rPr>
                <w:rFonts w:eastAsia="標楷體" w:hint="eastAsia"/>
                <w:kern w:val="0"/>
              </w:rPr>
              <w:t>(</w:t>
            </w:r>
            <w:r w:rsidRPr="004D451D">
              <w:rPr>
                <w:rFonts w:eastAsia="標楷體" w:hint="eastAsia"/>
                <w:kern w:val="0"/>
              </w:rPr>
              <w:t>同一集團企業、產業</w:t>
            </w:r>
            <w:r w:rsidRPr="004D451D">
              <w:rPr>
                <w:rFonts w:eastAsia="標楷體" w:hint="eastAsia"/>
                <w:kern w:val="0"/>
              </w:rPr>
              <w:t>)</w:t>
            </w:r>
          </w:p>
          <w:p w:rsidR="00A450F7" w:rsidRPr="004D451D" w:rsidRDefault="00A450F7" w:rsidP="009F53B0">
            <w:pPr>
              <w:widowControl/>
              <w:numPr>
                <w:ilvl w:val="0"/>
                <w:numId w:val="136"/>
              </w:numPr>
              <w:spacing w:line="280" w:lineRule="exact"/>
              <w:ind w:leftChars="100" w:left="598" w:hangingChars="149" w:hanging="358"/>
              <w:jc w:val="both"/>
              <w:rPr>
                <w:rFonts w:eastAsia="標楷體"/>
                <w:kern w:val="0"/>
              </w:rPr>
            </w:pPr>
            <w:r w:rsidRPr="004D451D">
              <w:rPr>
                <w:rFonts w:eastAsia="標楷體" w:hint="eastAsia"/>
                <w:kern w:val="0"/>
              </w:rPr>
              <w:t>整體未對沖契約及個別未對沖契約之市價評估損益總和，若為損失狀況，其損失金額之限定</w:t>
            </w:r>
          </w:p>
          <w:p w:rsidR="00A450F7" w:rsidRPr="004D451D" w:rsidRDefault="00A450F7" w:rsidP="009F53B0">
            <w:pPr>
              <w:widowControl/>
              <w:numPr>
                <w:ilvl w:val="0"/>
                <w:numId w:val="134"/>
              </w:numPr>
              <w:spacing w:line="280" w:lineRule="exact"/>
              <w:ind w:leftChars="50" w:left="478" w:hangingChars="149" w:hanging="358"/>
              <w:jc w:val="both"/>
              <w:rPr>
                <w:rFonts w:eastAsia="標楷體"/>
                <w:kern w:val="0"/>
              </w:rPr>
            </w:pPr>
            <w:r w:rsidRPr="004D451D">
              <w:rPr>
                <w:rFonts w:eastAsia="標楷體" w:hint="eastAsia"/>
                <w:kern w:val="0"/>
              </w:rPr>
              <w:t>外匯交易</w:t>
            </w:r>
          </w:p>
          <w:p w:rsidR="00A450F7" w:rsidRPr="004D451D" w:rsidRDefault="00A450F7" w:rsidP="009F53B0">
            <w:pPr>
              <w:widowControl/>
              <w:numPr>
                <w:ilvl w:val="0"/>
                <w:numId w:val="137"/>
              </w:numPr>
              <w:spacing w:line="280" w:lineRule="exact"/>
              <w:ind w:leftChars="100" w:left="598" w:hangingChars="149" w:hanging="358"/>
              <w:jc w:val="both"/>
              <w:rPr>
                <w:rFonts w:eastAsia="標楷體"/>
                <w:kern w:val="0"/>
              </w:rPr>
            </w:pPr>
            <w:r w:rsidRPr="004D451D">
              <w:rPr>
                <w:rFonts w:eastAsia="標楷體" w:hint="eastAsia"/>
                <w:kern w:val="0"/>
              </w:rPr>
              <w:t>全行台幣與外幣間未軋平總部位限額</w:t>
            </w:r>
          </w:p>
          <w:p w:rsidR="00A450F7" w:rsidRPr="004D451D" w:rsidRDefault="00A450F7" w:rsidP="009F53B0">
            <w:pPr>
              <w:widowControl/>
              <w:numPr>
                <w:ilvl w:val="0"/>
                <w:numId w:val="137"/>
              </w:numPr>
              <w:spacing w:line="280" w:lineRule="exact"/>
              <w:ind w:leftChars="100" w:left="598" w:hangingChars="149" w:hanging="358"/>
              <w:jc w:val="both"/>
              <w:rPr>
                <w:rFonts w:eastAsia="標楷體"/>
                <w:kern w:val="0"/>
              </w:rPr>
            </w:pPr>
            <w:r w:rsidRPr="004D451D">
              <w:rPr>
                <w:rFonts w:eastAsia="標楷體" w:hint="eastAsia"/>
                <w:kern w:val="0"/>
              </w:rPr>
              <w:t>全行外幣與外幣間未軋平總部位</w:t>
            </w:r>
          </w:p>
          <w:p w:rsidR="00A450F7" w:rsidRPr="004D451D" w:rsidRDefault="00A450F7" w:rsidP="009F53B0">
            <w:pPr>
              <w:widowControl/>
              <w:numPr>
                <w:ilvl w:val="0"/>
                <w:numId w:val="137"/>
              </w:numPr>
              <w:spacing w:line="280" w:lineRule="exact"/>
              <w:ind w:leftChars="100" w:left="598" w:hangingChars="149" w:hanging="358"/>
              <w:jc w:val="both"/>
              <w:rPr>
                <w:rFonts w:eastAsia="標楷體"/>
                <w:kern w:val="0"/>
              </w:rPr>
            </w:pPr>
            <w:r w:rsidRPr="004D451D">
              <w:rPr>
                <w:rFonts w:eastAsia="標楷體" w:hint="eastAsia"/>
                <w:kern w:val="0"/>
              </w:rPr>
              <w:t>各幣別兌美元之部位</w:t>
            </w:r>
          </w:p>
          <w:p w:rsidR="00A450F7" w:rsidRPr="004D451D" w:rsidRDefault="00A450F7" w:rsidP="009F53B0">
            <w:pPr>
              <w:widowControl/>
              <w:numPr>
                <w:ilvl w:val="0"/>
                <w:numId w:val="134"/>
              </w:numPr>
              <w:spacing w:line="280" w:lineRule="exact"/>
              <w:ind w:leftChars="50" w:left="478" w:hangingChars="149" w:hanging="358"/>
              <w:jc w:val="both"/>
              <w:rPr>
                <w:rFonts w:eastAsia="標楷體"/>
                <w:kern w:val="0"/>
              </w:rPr>
            </w:pPr>
            <w:r w:rsidRPr="004D451D">
              <w:rPr>
                <w:rFonts w:eastAsia="標楷體" w:hint="eastAsia"/>
                <w:kern w:val="0"/>
              </w:rPr>
              <w:t>拆款業務交易對手拆出額度</w:t>
            </w:r>
            <w:r w:rsidRPr="004D451D">
              <w:rPr>
                <w:rFonts w:eastAsia="標楷體" w:hint="eastAsia"/>
                <w:kern w:val="0"/>
              </w:rPr>
              <w:t>(</w:t>
            </w:r>
            <w:r w:rsidRPr="004D451D">
              <w:rPr>
                <w:rFonts w:eastAsia="標楷體" w:hint="eastAsia"/>
                <w:kern w:val="0"/>
              </w:rPr>
              <w:t>台、外幣</w:t>
            </w:r>
            <w:r w:rsidRPr="004D451D">
              <w:rPr>
                <w:rFonts w:eastAsia="標楷體" w:hint="eastAsia"/>
                <w:kern w:val="0"/>
              </w:rPr>
              <w:t>)</w:t>
            </w:r>
          </w:p>
          <w:p w:rsidR="00A450F7" w:rsidRPr="004D451D" w:rsidRDefault="00A450F7" w:rsidP="009F53B0">
            <w:pPr>
              <w:widowControl/>
              <w:numPr>
                <w:ilvl w:val="2"/>
                <w:numId w:val="132"/>
              </w:numPr>
              <w:spacing w:line="280" w:lineRule="exact"/>
              <w:ind w:left="408" w:hangingChars="170"/>
              <w:jc w:val="both"/>
              <w:rPr>
                <w:rFonts w:eastAsia="標楷體"/>
                <w:kern w:val="0"/>
              </w:rPr>
            </w:pPr>
            <w:r w:rsidRPr="004D451D">
              <w:rPr>
                <w:rFonts w:eastAsia="標楷體" w:hint="eastAsia"/>
                <w:kern w:val="0"/>
              </w:rPr>
              <w:t>市場風險停損機制及重大暴險機制監控：</w:t>
            </w:r>
          </w:p>
          <w:p w:rsidR="00A450F7" w:rsidRPr="004D451D" w:rsidRDefault="00A450F7" w:rsidP="009F53B0">
            <w:pPr>
              <w:widowControl/>
              <w:numPr>
                <w:ilvl w:val="0"/>
                <w:numId w:val="138"/>
              </w:numPr>
              <w:spacing w:line="280" w:lineRule="exact"/>
              <w:ind w:leftChars="50" w:left="478" w:hangingChars="149" w:hanging="358"/>
              <w:jc w:val="both"/>
              <w:rPr>
                <w:rFonts w:eastAsia="標楷體"/>
                <w:kern w:val="0"/>
              </w:rPr>
            </w:pPr>
            <w:r w:rsidRPr="004D451D">
              <w:rPr>
                <w:rFonts w:eastAsia="標楷體" w:hint="eastAsia"/>
                <w:kern w:val="0"/>
              </w:rPr>
              <w:t>投資各類有價證券</w:t>
            </w:r>
          </w:p>
          <w:p w:rsidR="00A450F7" w:rsidRPr="004D451D" w:rsidRDefault="00A450F7" w:rsidP="009F53B0">
            <w:pPr>
              <w:widowControl/>
              <w:numPr>
                <w:ilvl w:val="0"/>
                <w:numId w:val="139"/>
              </w:numPr>
              <w:spacing w:line="280" w:lineRule="exact"/>
              <w:ind w:leftChars="100" w:left="598" w:hangingChars="149" w:hanging="358"/>
              <w:jc w:val="both"/>
              <w:rPr>
                <w:rFonts w:eastAsia="標楷體"/>
                <w:kern w:val="0"/>
              </w:rPr>
            </w:pPr>
            <w:r w:rsidRPr="004D451D">
              <w:rPr>
                <w:rFonts w:eastAsia="標楷體" w:hint="eastAsia"/>
                <w:kern w:val="0"/>
              </w:rPr>
              <w:t>各類有價證券之停損點、執行及重大暴險</w:t>
            </w:r>
          </w:p>
          <w:p w:rsidR="00A450F7" w:rsidRPr="004D451D" w:rsidRDefault="00A450F7" w:rsidP="009F53B0">
            <w:pPr>
              <w:widowControl/>
              <w:numPr>
                <w:ilvl w:val="0"/>
                <w:numId w:val="139"/>
              </w:numPr>
              <w:spacing w:line="280" w:lineRule="exact"/>
              <w:ind w:leftChars="100" w:left="598" w:hangingChars="149" w:hanging="358"/>
              <w:jc w:val="both"/>
              <w:rPr>
                <w:rFonts w:eastAsia="標楷體"/>
                <w:kern w:val="0"/>
              </w:rPr>
            </w:pPr>
            <w:r w:rsidRPr="004D451D">
              <w:rPr>
                <w:rFonts w:eastAsia="標楷體" w:hint="eastAsia"/>
                <w:kern w:val="0"/>
              </w:rPr>
              <w:t>各類有價證券之金融資產減損或賣出評估及重大暴險</w:t>
            </w:r>
          </w:p>
          <w:p w:rsidR="00A450F7" w:rsidRPr="004D451D" w:rsidRDefault="00A450F7" w:rsidP="009F53B0">
            <w:pPr>
              <w:widowControl/>
              <w:numPr>
                <w:ilvl w:val="0"/>
                <w:numId w:val="138"/>
              </w:numPr>
              <w:spacing w:line="280" w:lineRule="exact"/>
              <w:ind w:leftChars="50" w:left="478" w:hangingChars="149" w:hanging="358"/>
              <w:jc w:val="both"/>
              <w:rPr>
                <w:rFonts w:eastAsia="標楷體"/>
                <w:kern w:val="0"/>
              </w:rPr>
            </w:pPr>
            <w:r w:rsidRPr="004D451D">
              <w:rPr>
                <w:rFonts w:eastAsia="標楷體" w:hint="eastAsia"/>
                <w:kern w:val="0"/>
              </w:rPr>
              <w:t>投資衍生性金融商品</w:t>
            </w:r>
          </w:p>
          <w:p w:rsidR="00A450F7" w:rsidRPr="004D451D" w:rsidRDefault="00A450F7" w:rsidP="00FB03BE">
            <w:pPr>
              <w:widowControl/>
              <w:spacing w:line="280" w:lineRule="exact"/>
              <w:ind w:left="478"/>
              <w:jc w:val="both"/>
              <w:rPr>
                <w:rFonts w:eastAsia="標楷體"/>
                <w:kern w:val="0"/>
              </w:rPr>
            </w:pPr>
            <w:r w:rsidRPr="004D451D">
              <w:rPr>
                <w:rFonts w:eastAsia="標楷體" w:hint="eastAsia"/>
                <w:kern w:val="0"/>
              </w:rPr>
              <w:t>交易目的個別未對沖契約之停損</w:t>
            </w:r>
          </w:p>
          <w:p w:rsidR="00A450F7" w:rsidRPr="004D451D" w:rsidRDefault="00A450F7" w:rsidP="009F53B0">
            <w:pPr>
              <w:widowControl/>
              <w:numPr>
                <w:ilvl w:val="0"/>
                <w:numId w:val="138"/>
              </w:numPr>
              <w:spacing w:line="280" w:lineRule="exact"/>
              <w:ind w:leftChars="50" w:left="478" w:hangingChars="149" w:hanging="358"/>
              <w:jc w:val="both"/>
              <w:rPr>
                <w:rFonts w:eastAsia="標楷體"/>
                <w:kern w:val="0"/>
              </w:rPr>
            </w:pPr>
            <w:r w:rsidRPr="004D451D">
              <w:rPr>
                <w:rFonts w:eastAsia="標楷體" w:hint="eastAsia"/>
                <w:kern w:val="0"/>
              </w:rPr>
              <w:t>全行匯兌</w:t>
            </w:r>
          </w:p>
          <w:p w:rsidR="00A450F7" w:rsidRPr="004D451D" w:rsidRDefault="00A450F7" w:rsidP="00FB03BE">
            <w:pPr>
              <w:widowControl/>
              <w:spacing w:line="280" w:lineRule="exact"/>
              <w:ind w:left="478"/>
              <w:jc w:val="both"/>
              <w:rPr>
                <w:rFonts w:eastAsia="標楷體"/>
                <w:kern w:val="0"/>
              </w:rPr>
            </w:pPr>
            <w:r w:rsidRPr="004D451D">
              <w:rPr>
                <w:rFonts w:eastAsia="標楷體" w:hint="eastAsia"/>
                <w:kern w:val="0"/>
              </w:rPr>
              <w:t>全行交易員及商業性部位匯兌損失之限制及執行</w:t>
            </w:r>
          </w:p>
          <w:p w:rsidR="00A450F7" w:rsidRPr="004D451D" w:rsidRDefault="00A450F7" w:rsidP="00FB03BE">
            <w:pPr>
              <w:widowControl/>
              <w:spacing w:line="280" w:lineRule="exact"/>
              <w:ind w:left="480" w:hangingChars="200" w:hanging="480"/>
              <w:jc w:val="both"/>
              <w:rPr>
                <w:rFonts w:eastAsia="標楷體"/>
                <w:kern w:val="0"/>
              </w:rPr>
            </w:pPr>
            <w:r w:rsidRPr="004D451D">
              <w:rPr>
                <w:rFonts w:ascii="標楷體" w:eastAsia="標楷體" w:hAnsi="標楷體" w:hint="eastAsia"/>
              </w:rPr>
              <w:t>(三)市場風險壓力測試（綜合情境損益影響數/市場  風險所需最低資本計提）</w:t>
            </w:r>
          </w:p>
        </w:tc>
      </w:tr>
    </w:tbl>
    <w:p w:rsidR="00BF3B7A" w:rsidRPr="004D451D" w:rsidRDefault="00BF3B7A" w:rsidP="00BF3B7A">
      <w:pPr>
        <w:rPr>
          <w:rFonts w:eastAsia="標楷體"/>
          <w:b/>
          <w:sz w:val="22"/>
          <w:szCs w:val="22"/>
        </w:rPr>
      </w:pPr>
    </w:p>
    <w:p w:rsidR="00BF3B7A" w:rsidRPr="004D451D" w:rsidRDefault="00BF3B7A" w:rsidP="009031A6">
      <w:pPr>
        <w:spacing w:line="240" w:lineRule="atLeast"/>
        <w:ind w:left="1218" w:hangingChars="507" w:hanging="1218"/>
        <w:rPr>
          <w:rFonts w:eastAsia="標楷體"/>
          <w:b/>
        </w:rPr>
      </w:pPr>
      <w:r w:rsidRPr="004D451D">
        <w:rPr>
          <w:rFonts w:eastAsia="標楷體"/>
          <w:b/>
        </w:rPr>
        <w:t>填表說明：</w:t>
      </w:r>
    </w:p>
    <w:p w:rsidR="00BF3B7A" w:rsidRPr="004D451D" w:rsidRDefault="00BF3B7A" w:rsidP="00EF4134">
      <w:pPr>
        <w:numPr>
          <w:ilvl w:val="0"/>
          <w:numId w:val="8"/>
        </w:numPr>
        <w:spacing w:line="240" w:lineRule="atLeast"/>
        <w:ind w:leftChars="150" w:left="720" w:hangingChars="150"/>
        <w:rPr>
          <w:rFonts w:eastAsia="標楷體"/>
        </w:rPr>
      </w:pPr>
      <w:r w:rsidRPr="004D451D">
        <w:rPr>
          <w:rFonts w:eastAsia="標楷體"/>
        </w:rPr>
        <w:t>本表更新頻率：年。</w:t>
      </w:r>
    </w:p>
    <w:p w:rsidR="00324E49" w:rsidRPr="004D451D" w:rsidRDefault="00BF3B7A" w:rsidP="00EF4134">
      <w:pPr>
        <w:numPr>
          <w:ilvl w:val="0"/>
          <w:numId w:val="8"/>
        </w:numPr>
        <w:spacing w:line="240" w:lineRule="atLeast"/>
        <w:ind w:leftChars="150" w:left="720" w:hangingChars="150"/>
        <w:rPr>
          <w:rFonts w:ascii="Arial" w:eastAsia="標楷體" w:hAnsi="Arial" w:cs="Arial"/>
          <w:sz w:val="28"/>
          <w:szCs w:val="28"/>
        </w:rPr>
      </w:pPr>
      <w:r w:rsidRPr="004D451D">
        <w:rPr>
          <w:rFonts w:eastAsia="標楷體"/>
        </w:rPr>
        <w:t>本表採個體基礎填報。</w:t>
      </w:r>
    </w:p>
    <w:p w:rsidR="00BF3B7A" w:rsidRPr="004D451D" w:rsidRDefault="009031A6" w:rsidP="00BF3B7A">
      <w:pPr>
        <w:widowControl/>
        <w:rPr>
          <w:rFonts w:eastAsia="標楷體"/>
          <w:sz w:val="32"/>
          <w:szCs w:val="32"/>
        </w:rPr>
      </w:pPr>
      <w:r w:rsidRPr="004D451D">
        <w:rPr>
          <w:rFonts w:ascii="Arial" w:eastAsia="標楷體" w:hAnsi="Arial" w:cs="Arial"/>
          <w:sz w:val="32"/>
          <w:szCs w:val="32"/>
        </w:rPr>
        <w:br w:type="page"/>
      </w:r>
      <w:r w:rsidR="00BF3B7A" w:rsidRPr="004D451D">
        <w:rPr>
          <w:rFonts w:eastAsia="標楷體"/>
          <w:b/>
          <w:sz w:val="32"/>
          <w:szCs w:val="32"/>
        </w:rPr>
        <w:t>【附表三十</w:t>
      </w:r>
      <w:r w:rsidR="00787E69" w:rsidRPr="004D451D">
        <w:rPr>
          <w:rFonts w:eastAsia="標楷體" w:hint="eastAsia"/>
          <w:b/>
          <w:sz w:val="32"/>
          <w:szCs w:val="32"/>
        </w:rPr>
        <w:t>九</w:t>
      </w:r>
      <w:r w:rsidR="00BF3B7A" w:rsidRPr="004D451D">
        <w:rPr>
          <w:rFonts w:eastAsia="標楷體"/>
          <w:b/>
          <w:sz w:val="32"/>
          <w:szCs w:val="32"/>
        </w:rPr>
        <w:t>】</w:t>
      </w:r>
    </w:p>
    <w:p w:rsidR="00A450F7" w:rsidRPr="004D451D" w:rsidRDefault="00D86FD5" w:rsidP="00A450F7">
      <w:pPr>
        <w:jc w:val="center"/>
        <w:rPr>
          <w:rFonts w:eastAsia="標楷體"/>
          <w:b/>
          <w:bCs/>
          <w:sz w:val="32"/>
          <w:szCs w:val="32"/>
        </w:rPr>
      </w:pPr>
      <w:r w:rsidRPr="004D451D">
        <w:rPr>
          <w:rFonts w:eastAsia="標楷體"/>
          <w:b/>
          <w:bCs/>
          <w:sz w:val="32"/>
          <w:szCs w:val="32"/>
        </w:rPr>
        <w:t>市場風險管理制度</w:t>
      </w:r>
      <w:r w:rsidR="00F3145A" w:rsidRPr="004D451D">
        <w:rPr>
          <w:rFonts w:hint="eastAsia"/>
          <w:b/>
        </w:rPr>
        <w:t>─</w:t>
      </w:r>
      <w:r w:rsidR="00F3145A" w:rsidRPr="004D451D">
        <w:rPr>
          <w:rFonts w:eastAsia="標楷體"/>
          <w:b/>
          <w:bCs/>
          <w:sz w:val="32"/>
          <w:szCs w:val="32"/>
        </w:rPr>
        <w:t>內部模型法</w:t>
      </w:r>
      <w:r w:rsidR="00A450F7" w:rsidRPr="004D451D">
        <w:rPr>
          <w:rFonts w:eastAsia="標楷體" w:hint="eastAsia"/>
          <w:b/>
          <w:bCs/>
          <w:sz w:val="32"/>
          <w:szCs w:val="32"/>
        </w:rPr>
        <w:t>-</w:t>
      </w:r>
      <w:r w:rsidR="00A450F7" w:rsidRPr="004D451D">
        <w:rPr>
          <w:rFonts w:eastAsia="標楷體" w:hint="eastAsia"/>
          <w:b/>
          <w:bCs/>
          <w:sz w:val="32"/>
          <w:szCs w:val="32"/>
        </w:rPr>
        <w:t>不適用</w:t>
      </w:r>
    </w:p>
    <w:p w:rsidR="00BF3B7A" w:rsidRPr="004D451D" w:rsidRDefault="00A450F7" w:rsidP="00BF3B7A">
      <w:pPr>
        <w:spacing w:line="360" w:lineRule="auto"/>
        <w:jc w:val="center"/>
        <w:rPr>
          <w:rFonts w:eastAsia="標楷體"/>
          <w:bCs/>
          <w:sz w:val="32"/>
          <w:szCs w:val="32"/>
        </w:rPr>
      </w:pPr>
      <w:r w:rsidRPr="004D451D">
        <w:rPr>
          <w:rFonts w:eastAsia="標楷體" w:hint="eastAsia"/>
          <w:bCs/>
          <w:sz w:val="32"/>
          <w:szCs w:val="32"/>
        </w:rPr>
        <w:t>10</w:t>
      </w:r>
      <w:r w:rsidR="000C103E" w:rsidRPr="004D451D">
        <w:rPr>
          <w:rFonts w:eastAsia="標楷體" w:hint="eastAsia"/>
          <w:bCs/>
          <w:sz w:val="32"/>
          <w:szCs w:val="32"/>
        </w:rPr>
        <w:t>7</w:t>
      </w:r>
      <w:r w:rsidR="00BF3B7A" w:rsidRPr="004D451D">
        <w:rPr>
          <w:rFonts w:eastAsia="標楷體"/>
          <w:bCs/>
          <w:sz w:val="32"/>
          <w:szCs w:val="32"/>
        </w:rPr>
        <w:t>年</w:t>
      </w:r>
      <w:r w:rsidR="000C103E" w:rsidRPr="004D451D">
        <w:rPr>
          <w:rFonts w:eastAsia="標楷體" w:hint="eastAsia"/>
          <w:bCs/>
          <w:sz w:val="32"/>
          <w:szCs w:val="32"/>
        </w:rPr>
        <w:t>06</w:t>
      </w:r>
      <w:r w:rsidR="00BF3B7A" w:rsidRPr="004D451D">
        <w:rPr>
          <w:rFonts w:eastAsia="標楷體"/>
          <w:bCs/>
          <w:sz w:val="32"/>
          <w:szCs w:val="32"/>
        </w:rPr>
        <w:t>月</w:t>
      </w:r>
      <w:r w:rsidRPr="004D451D">
        <w:rPr>
          <w:rFonts w:eastAsia="標楷體" w:hint="eastAsia"/>
          <w:bCs/>
          <w:sz w:val="32"/>
          <w:szCs w:val="32"/>
        </w:rPr>
        <w:t>3</w:t>
      </w:r>
      <w:r w:rsidR="000C103E" w:rsidRPr="004D451D">
        <w:rPr>
          <w:rFonts w:eastAsia="標楷體" w:hint="eastAsia"/>
          <w:bCs/>
          <w:sz w:val="32"/>
          <w:szCs w:val="32"/>
        </w:rPr>
        <w:t>0</w:t>
      </w:r>
      <w:r w:rsidR="00BF3B7A" w:rsidRPr="004D451D">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4D451D" w:rsidRPr="004D451D"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F12BDE" w:rsidRPr="004D451D" w:rsidRDefault="00F12BDE" w:rsidP="00220F43">
            <w:pPr>
              <w:widowControl/>
              <w:jc w:val="center"/>
              <w:rPr>
                <w:rFonts w:eastAsia="標楷體"/>
                <w:kern w:val="0"/>
              </w:rPr>
            </w:pPr>
            <w:r w:rsidRPr="004D451D">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F12BDE" w:rsidRPr="004D451D" w:rsidRDefault="00F12BDE" w:rsidP="00220F43">
            <w:pPr>
              <w:widowControl/>
              <w:jc w:val="center"/>
              <w:rPr>
                <w:rFonts w:eastAsia="標楷體"/>
                <w:kern w:val="0"/>
              </w:rPr>
            </w:pPr>
            <w:r w:rsidRPr="004D451D">
              <w:rPr>
                <w:rFonts w:eastAsia="標楷體"/>
                <w:kern w:val="0"/>
              </w:rPr>
              <w:t>內容</w:t>
            </w:r>
          </w:p>
        </w:tc>
      </w:tr>
      <w:tr w:rsidR="004D451D" w:rsidRPr="004D451D" w:rsidTr="009031A6">
        <w:trPr>
          <w:trHeight w:val="578"/>
        </w:trPr>
        <w:tc>
          <w:tcPr>
            <w:tcW w:w="9735" w:type="dxa"/>
            <w:gridSpan w:val="3"/>
            <w:tcBorders>
              <w:top w:val="nil"/>
              <w:left w:val="single" w:sz="4" w:space="0" w:color="auto"/>
              <w:bottom w:val="single" w:sz="4" w:space="0" w:color="auto"/>
              <w:right w:val="single" w:sz="4" w:space="0" w:color="auto"/>
            </w:tcBorders>
            <w:noWrap/>
            <w:vAlign w:val="center"/>
          </w:tcPr>
          <w:p w:rsidR="00BF3B7A" w:rsidRPr="004D451D" w:rsidRDefault="00BF3B7A" w:rsidP="00B13FA1">
            <w:pPr>
              <w:widowControl/>
              <w:rPr>
                <w:rFonts w:eastAsia="標楷體"/>
                <w:kern w:val="0"/>
              </w:rPr>
            </w:pPr>
            <w:r w:rsidRPr="004D451D">
              <w:rPr>
                <w:rFonts w:eastAsia="標楷體"/>
                <w:kern w:val="0"/>
              </w:rPr>
              <w:t>(</w:t>
            </w:r>
            <w:r w:rsidRPr="004D451D">
              <w:rPr>
                <w:rFonts w:eastAsia="標楷體"/>
                <w:kern w:val="0"/>
              </w:rPr>
              <w:t>一</w:t>
            </w:r>
            <w:r w:rsidRPr="004D451D">
              <w:rPr>
                <w:rFonts w:eastAsia="標楷體"/>
                <w:kern w:val="0"/>
              </w:rPr>
              <w:t>)</w:t>
            </w:r>
            <w:r w:rsidRPr="004D451D">
              <w:rPr>
                <w:rFonts w:eastAsia="標楷體"/>
                <w:kern w:val="0"/>
              </w:rPr>
              <w:t>一般定性揭露</w:t>
            </w:r>
          </w:p>
        </w:tc>
      </w:tr>
      <w:tr w:rsidR="004D451D" w:rsidRPr="004D451D" w:rsidTr="00220F43">
        <w:trPr>
          <w:trHeight w:val="702"/>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市場風險管理策略與流程</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698"/>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市場風險管理組織與架構</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708"/>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市場風險報告與衡量系統之範圍與特點</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9031A6">
        <w:trPr>
          <w:trHeight w:val="688"/>
        </w:trPr>
        <w:tc>
          <w:tcPr>
            <w:tcW w:w="9735" w:type="dxa"/>
            <w:gridSpan w:val="3"/>
            <w:tcBorders>
              <w:top w:val="nil"/>
              <w:left w:val="single" w:sz="4" w:space="0" w:color="auto"/>
              <w:bottom w:val="single" w:sz="4" w:space="0" w:color="auto"/>
              <w:right w:val="single" w:sz="4" w:space="0" w:color="auto"/>
            </w:tcBorders>
            <w:noWrap/>
            <w:vAlign w:val="center"/>
          </w:tcPr>
          <w:p w:rsidR="00BF3B7A" w:rsidRPr="004D451D" w:rsidRDefault="00BF3B7A" w:rsidP="00B13FA1">
            <w:pPr>
              <w:widowControl/>
              <w:rPr>
                <w:rFonts w:eastAsia="標楷體"/>
                <w:kern w:val="0"/>
              </w:rPr>
            </w:pPr>
            <w:r w:rsidRPr="004D451D">
              <w:rPr>
                <w:rFonts w:eastAsia="標楷體"/>
                <w:kern w:val="0"/>
              </w:rPr>
              <w:t>(</w:t>
            </w:r>
            <w:r w:rsidRPr="004D451D">
              <w:rPr>
                <w:rFonts w:eastAsia="標楷體"/>
                <w:kern w:val="0"/>
              </w:rPr>
              <w:t>二</w:t>
            </w:r>
            <w:r w:rsidRPr="004D451D">
              <w:rPr>
                <w:rFonts w:eastAsia="標楷體"/>
                <w:kern w:val="0"/>
              </w:rPr>
              <w:t>)</w:t>
            </w:r>
            <w:r w:rsidRPr="004D451D">
              <w:rPr>
                <w:rFonts w:eastAsia="標楷體"/>
                <w:kern w:val="0"/>
              </w:rPr>
              <w:t>內部模型法風險值</w:t>
            </w:r>
            <w:r w:rsidRPr="004D451D">
              <w:rPr>
                <w:rFonts w:eastAsia="標楷體"/>
                <w:kern w:val="0"/>
              </w:rPr>
              <w:t>(VaR)</w:t>
            </w:r>
            <w:r w:rsidRPr="004D451D">
              <w:rPr>
                <w:rFonts w:eastAsia="標楷體"/>
                <w:kern w:val="0"/>
              </w:rPr>
              <w:t>模型及壓力風險值</w:t>
            </w:r>
            <w:r w:rsidRPr="004D451D">
              <w:rPr>
                <w:rFonts w:eastAsia="標楷體"/>
                <w:kern w:val="0"/>
              </w:rPr>
              <w:t>(Stress VaR)</w:t>
            </w:r>
            <w:r w:rsidRPr="004D451D">
              <w:rPr>
                <w:rFonts w:eastAsia="標楷體"/>
                <w:kern w:val="0"/>
              </w:rPr>
              <w:t>模型</w:t>
            </w:r>
          </w:p>
        </w:tc>
      </w:tr>
      <w:tr w:rsidR="004D451D" w:rsidRPr="004D451D" w:rsidTr="00220F43">
        <w:trPr>
          <w:trHeight w:val="1050"/>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風險值模型和壓力風險值之業務活動和風險範圍</w:t>
            </w:r>
            <w:r w:rsidRPr="004D451D">
              <w:rPr>
                <w:rFonts w:eastAsia="標楷體"/>
                <w:kern w:val="0"/>
              </w:rPr>
              <w:t>(</w:t>
            </w:r>
            <w:r w:rsidRPr="004D451D">
              <w:rPr>
                <w:rFonts w:eastAsia="標楷體"/>
                <w:kern w:val="0"/>
              </w:rPr>
              <w:t>若有未納入模型計算之主要活動及風險應一併揭露</w:t>
            </w:r>
            <w:r w:rsidRPr="004D451D">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904"/>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5</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說明集團內哪些機構採用哪些模型，或所有機構皆採用同一模型來衡量市場風險暴險</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9031A6">
        <w:trPr>
          <w:trHeight w:val="812"/>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6</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模型</w:t>
            </w:r>
            <w:r w:rsidRPr="004D451D">
              <w:rPr>
                <w:rFonts w:eastAsia="標楷體"/>
                <w:kern w:val="0"/>
              </w:rPr>
              <w:t>(</w:t>
            </w:r>
            <w:r w:rsidRPr="004D451D">
              <w:rPr>
                <w:rFonts w:eastAsia="標楷體"/>
                <w:kern w:val="0"/>
              </w:rPr>
              <w:t>風險值</w:t>
            </w:r>
            <w:r w:rsidRPr="004D451D">
              <w:rPr>
                <w:rFonts w:eastAsia="標楷體"/>
                <w:kern w:val="0"/>
              </w:rPr>
              <w:t>/</w:t>
            </w:r>
            <w:r w:rsidRPr="004D451D">
              <w:rPr>
                <w:rFonts w:eastAsia="標楷體"/>
                <w:kern w:val="0"/>
              </w:rPr>
              <w:t>壓力風險值</w:t>
            </w:r>
            <w:r w:rsidRPr="004D451D">
              <w:rPr>
                <w:rFonts w:eastAsia="標楷體"/>
                <w:kern w:val="0"/>
              </w:rPr>
              <w:t>)</w:t>
            </w:r>
            <w:r w:rsidRPr="004D451D">
              <w:rPr>
                <w:rFonts w:eastAsia="標楷體"/>
                <w:kern w:val="0"/>
              </w:rPr>
              <w:t>之一般說明</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1050"/>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7</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9031A6" w:rsidP="00220F43">
            <w:pPr>
              <w:widowControl/>
              <w:rPr>
                <w:rFonts w:eastAsia="標楷體"/>
                <w:kern w:val="0"/>
              </w:rPr>
            </w:pPr>
            <w:r w:rsidRPr="004D451D">
              <w:rPr>
                <w:rFonts w:eastAsia="標楷體"/>
                <w:kern w:val="0"/>
              </w:rPr>
              <w:t>模型是否使用法定風險值</w:t>
            </w:r>
            <w:r w:rsidRPr="004D451D">
              <w:rPr>
                <w:rFonts w:eastAsia="標楷體" w:hint="eastAsia"/>
                <w:kern w:val="0"/>
              </w:rPr>
              <w:t>(</w:t>
            </w:r>
            <w:r w:rsidR="00BF3B7A" w:rsidRPr="004D451D">
              <w:rPr>
                <w:rFonts w:eastAsia="標楷體"/>
                <w:kern w:val="0"/>
              </w:rPr>
              <w:t>10</w:t>
            </w:r>
            <w:r w:rsidR="00BF3B7A" w:rsidRPr="004D451D">
              <w:rPr>
                <w:rFonts w:eastAsia="標楷體"/>
                <w:kern w:val="0"/>
              </w:rPr>
              <w:t>天</w:t>
            </w:r>
            <w:r w:rsidR="00BF3B7A" w:rsidRPr="004D451D">
              <w:rPr>
                <w:rFonts w:eastAsia="標楷體"/>
                <w:kern w:val="0"/>
              </w:rPr>
              <w:t>99</w:t>
            </w:r>
            <w:r w:rsidRPr="004D451D">
              <w:rPr>
                <w:rFonts w:eastAsia="標楷體"/>
                <w:kern w:val="0"/>
              </w:rPr>
              <w:t>％</w:t>
            </w:r>
            <w:r w:rsidRPr="004D451D">
              <w:rPr>
                <w:rFonts w:eastAsia="標楷體" w:hint="eastAsia"/>
                <w:kern w:val="0"/>
              </w:rPr>
              <w:t>)</w:t>
            </w:r>
            <w:r w:rsidR="00BF3B7A" w:rsidRPr="004D451D">
              <w:rPr>
                <w:rFonts w:eastAsia="標楷體"/>
                <w:kern w:val="0"/>
              </w:rPr>
              <w:t>，若否，則應說明主要差異</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9031A6">
        <w:trPr>
          <w:trHeight w:val="626"/>
        </w:trPr>
        <w:tc>
          <w:tcPr>
            <w:tcW w:w="620" w:type="dxa"/>
            <w:vMerge w:val="restart"/>
            <w:tcBorders>
              <w:top w:val="nil"/>
              <w:left w:val="single" w:sz="4" w:space="0" w:color="auto"/>
              <w:right w:val="single" w:sz="4" w:space="0" w:color="auto"/>
            </w:tcBorders>
            <w:noWrap/>
            <w:vAlign w:val="center"/>
          </w:tcPr>
          <w:p w:rsidR="009031A6" w:rsidRPr="004D451D" w:rsidRDefault="009031A6" w:rsidP="00B13FA1">
            <w:pPr>
              <w:widowControl/>
              <w:jc w:val="center"/>
              <w:rPr>
                <w:rFonts w:eastAsia="標楷體"/>
                <w:kern w:val="0"/>
              </w:rPr>
            </w:pPr>
            <w:r w:rsidRPr="004D451D">
              <w:rPr>
                <w:rFonts w:eastAsia="標楷體"/>
                <w:kern w:val="0"/>
              </w:rPr>
              <w:t>8</w:t>
            </w:r>
          </w:p>
        </w:tc>
        <w:tc>
          <w:tcPr>
            <w:tcW w:w="9115" w:type="dxa"/>
            <w:gridSpan w:val="2"/>
            <w:tcBorders>
              <w:top w:val="single" w:sz="4" w:space="0" w:color="auto"/>
              <w:left w:val="nil"/>
              <w:bottom w:val="single" w:sz="4" w:space="0" w:color="auto"/>
              <w:right w:val="single" w:sz="4" w:space="0" w:color="auto"/>
            </w:tcBorders>
            <w:vAlign w:val="center"/>
          </w:tcPr>
          <w:p w:rsidR="009031A6" w:rsidRPr="004D451D" w:rsidRDefault="009031A6" w:rsidP="00B13FA1">
            <w:pPr>
              <w:widowControl/>
              <w:rPr>
                <w:rFonts w:eastAsia="標楷體"/>
                <w:kern w:val="0"/>
              </w:rPr>
            </w:pPr>
            <w:r w:rsidRPr="004D451D">
              <w:rPr>
                <w:rFonts w:eastAsia="標楷體"/>
                <w:kern w:val="0"/>
              </w:rPr>
              <w:t>風險值</w:t>
            </w:r>
            <w:r w:rsidRPr="004D451D">
              <w:rPr>
                <w:rFonts w:eastAsia="標楷體"/>
                <w:kern w:val="0"/>
              </w:rPr>
              <w:t>(VaR)</w:t>
            </w:r>
            <w:r w:rsidRPr="004D451D">
              <w:rPr>
                <w:rFonts w:eastAsia="標楷體"/>
                <w:kern w:val="0"/>
              </w:rPr>
              <w:t>模型說明</w:t>
            </w:r>
          </w:p>
        </w:tc>
      </w:tr>
      <w:tr w:rsidR="004D451D" w:rsidRPr="004D451D" w:rsidTr="009031A6">
        <w:trPr>
          <w:trHeight w:val="706"/>
        </w:trPr>
        <w:tc>
          <w:tcPr>
            <w:tcW w:w="620" w:type="dxa"/>
            <w:vMerge/>
            <w:tcBorders>
              <w:left w:val="single" w:sz="4" w:space="0" w:color="auto"/>
              <w:right w:val="single" w:sz="4" w:space="0" w:color="auto"/>
            </w:tcBorders>
            <w:noWrap/>
            <w:vAlign w:val="center"/>
          </w:tcPr>
          <w:p w:rsidR="009031A6" w:rsidRPr="004D451D"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4D451D" w:rsidRDefault="009031A6" w:rsidP="00482E54">
            <w:pPr>
              <w:numPr>
                <w:ilvl w:val="0"/>
                <w:numId w:val="65"/>
              </w:numPr>
              <w:jc w:val="both"/>
              <w:rPr>
                <w:rFonts w:eastAsia="標楷體"/>
                <w:kern w:val="0"/>
              </w:rPr>
            </w:pPr>
            <w:r w:rsidRPr="004D451D">
              <w:rPr>
                <w:rFonts w:eastAsia="標楷體"/>
                <w:kern w:val="0"/>
              </w:rPr>
              <w:t>資料更新頻率</w:t>
            </w:r>
          </w:p>
        </w:tc>
        <w:tc>
          <w:tcPr>
            <w:tcW w:w="3755" w:type="dxa"/>
            <w:tcBorders>
              <w:top w:val="single" w:sz="4" w:space="0" w:color="auto"/>
              <w:left w:val="nil"/>
              <w:bottom w:val="single" w:sz="4" w:space="0" w:color="auto"/>
              <w:right w:val="single" w:sz="4" w:space="0" w:color="auto"/>
            </w:tcBorders>
            <w:noWrap/>
            <w:vAlign w:val="center"/>
          </w:tcPr>
          <w:p w:rsidR="009031A6" w:rsidRPr="004D451D" w:rsidRDefault="009031A6" w:rsidP="00220F43">
            <w:pPr>
              <w:widowControl/>
              <w:jc w:val="center"/>
              <w:rPr>
                <w:rFonts w:eastAsia="標楷體"/>
                <w:kern w:val="0"/>
              </w:rPr>
            </w:pPr>
          </w:p>
        </w:tc>
      </w:tr>
      <w:tr w:rsidR="004D451D" w:rsidRPr="004D451D" w:rsidTr="009031A6">
        <w:trPr>
          <w:trHeight w:val="972"/>
        </w:trPr>
        <w:tc>
          <w:tcPr>
            <w:tcW w:w="620" w:type="dxa"/>
            <w:vMerge/>
            <w:tcBorders>
              <w:left w:val="single" w:sz="4" w:space="0" w:color="auto"/>
              <w:right w:val="single" w:sz="4" w:space="0" w:color="auto"/>
            </w:tcBorders>
            <w:noWrap/>
            <w:vAlign w:val="center"/>
          </w:tcPr>
          <w:p w:rsidR="009031A6" w:rsidRPr="004D451D"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4D451D" w:rsidRDefault="009031A6" w:rsidP="00482E54">
            <w:pPr>
              <w:numPr>
                <w:ilvl w:val="0"/>
                <w:numId w:val="65"/>
              </w:numPr>
              <w:jc w:val="both"/>
              <w:rPr>
                <w:rFonts w:eastAsia="標楷體"/>
                <w:kern w:val="0"/>
              </w:rPr>
            </w:pPr>
            <w:r w:rsidRPr="004D451D">
              <w:rPr>
                <w:rFonts w:eastAsia="標楷體"/>
                <w:kern w:val="0"/>
              </w:rPr>
              <w:t>模型校準所使用的資料期間長度以及所使用之資料權重比例</w:t>
            </w:r>
          </w:p>
        </w:tc>
        <w:tc>
          <w:tcPr>
            <w:tcW w:w="3755" w:type="dxa"/>
            <w:tcBorders>
              <w:top w:val="single" w:sz="4" w:space="0" w:color="auto"/>
              <w:left w:val="nil"/>
              <w:bottom w:val="single" w:sz="4" w:space="0" w:color="auto"/>
              <w:right w:val="single" w:sz="4" w:space="0" w:color="auto"/>
            </w:tcBorders>
            <w:noWrap/>
            <w:vAlign w:val="center"/>
          </w:tcPr>
          <w:p w:rsidR="009031A6" w:rsidRPr="004D451D" w:rsidRDefault="009031A6" w:rsidP="00220F43">
            <w:pPr>
              <w:widowControl/>
              <w:jc w:val="center"/>
              <w:rPr>
                <w:rFonts w:eastAsia="標楷體"/>
                <w:kern w:val="0"/>
              </w:rPr>
            </w:pPr>
          </w:p>
        </w:tc>
      </w:tr>
      <w:tr w:rsidR="004D451D" w:rsidRPr="004D451D" w:rsidTr="00130431">
        <w:trPr>
          <w:trHeight w:val="1282"/>
        </w:trPr>
        <w:tc>
          <w:tcPr>
            <w:tcW w:w="620" w:type="dxa"/>
            <w:vMerge/>
            <w:tcBorders>
              <w:left w:val="single" w:sz="4" w:space="0" w:color="auto"/>
              <w:right w:val="single" w:sz="4" w:space="0" w:color="auto"/>
            </w:tcBorders>
            <w:noWrap/>
            <w:vAlign w:val="center"/>
          </w:tcPr>
          <w:p w:rsidR="009031A6" w:rsidRPr="004D451D"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4D451D" w:rsidRDefault="009031A6" w:rsidP="00482E54">
            <w:pPr>
              <w:numPr>
                <w:ilvl w:val="0"/>
                <w:numId w:val="65"/>
              </w:numPr>
              <w:jc w:val="both"/>
              <w:rPr>
                <w:rFonts w:eastAsia="標楷體"/>
                <w:kern w:val="0"/>
              </w:rPr>
            </w:pPr>
            <w:r w:rsidRPr="004D451D">
              <w:rPr>
                <w:rFonts w:eastAsia="標楷體"/>
                <w:kern w:val="0"/>
              </w:rPr>
              <w:t>如何決定持有</w:t>
            </w:r>
            <w:r w:rsidRPr="004D451D">
              <w:rPr>
                <w:rFonts w:eastAsia="標楷體"/>
                <w:kern w:val="0"/>
              </w:rPr>
              <w:t>10</w:t>
            </w:r>
            <w:r w:rsidRPr="004D451D">
              <w:rPr>
                <w:rFonts w:eastAsia="標楷體"/>
                <w:kern w:val="0"/>
              </w:rPr>
              <w:t>日之風險值。例如：是採用</w:t>
            </w:r>
            <w:r w:rsidRPr="004D451D">
              <w:rPr>
                <w:rFonts w:eastAsia="標楷體"/>
                <w:kern w:val="0"/>
              </w:rPr>
              <w:t>1</w:t>
            </w:r>
            <w:r w:rsidRPr="004D451D">
              <w:rPr>
                <w:rFonts w:eastAsia="標楷體"/>
                <w:kern w:val="0"/>
              </w:rPr>
              <w:t>日風險值乘上根號</w:t>
            </w:r>
            <w:r w:rsidRPr="004D451D">
              <w:rPr>
                <w:rFonts w:eastAsia="標楷體"/>
                <w:kern w:val="0"/>
              </w:rPr>
              <w:t>10</w:t>
            </w:r>
            <w:r w:rsidRPr="004D451D">
              <w:rPr>
                <w:rFonts w:eastAsia="標楷體"/>
                <w:kern w:val="0"/>
              </w:rPr>
              <w:t>之做法，或是由模型直接導出</w:t>
            </w:r>
            <w:r w:rsidRPr="004D451D">
              <w:rPr>
                <w:rFonts w:eastAsia="標楷體"/>
                <w:kern w:val="0"/>
              </w:rPr>
              <w:t>10</w:t>
            </w:r>
            <w:r w:rsidRPr="004D451D">
              <w:rPr>
                <w:rFonts w:eastAsia="標楷體"/>
                <w:kern w:val="0"/>
              </w:rPr>
              <w:t>日風險值</w:t>
            </w:r>
          </w:p>
        </w:tc>
        <w:tc>
          <w:tcPr>
            <w:tcW w:w="3755" w:type="dxa"/>
            <w:tcBorders>
              <w:top w:val="single" w:sz="4" w:space="0" w:color="auto"/>
              <w:left w:val="nil"/>
              <w:bottom w:val="single" w:sz="4" w:space="0" w:color="auto"/>
              <w:right w:val="single" w:sz="4" w:space="0" w:color="auto"/>
            </w:tcBorders>
            <w:noWrap/>
            <w:vAlign w:val="center"/>
          </w:tcPr>
          <w:p w:rsidR="009031A6" w:rsidRPr="004D451D" w:rsidRDefault="009031A6" w:rsidP="00220F43">
            <w:pPr>
              <w:widowControl/>
              <w:jc w:val="center"/>
              <w:rPr>
                <w:rFonts w:eastAsia="標楷體"/>
                <w:kern w:val="0"/>
              </w:rPr>
            </w:pPr>
          </w:p>
        </w:tc>
      </w:tr>
      <w:tr w:rsidR="004D451D" w:rsidRPr="004D451D" w:rsidTr="008F4572">
        <w:trPr>
          <w:trHeight w:val="1704"/>
        </w:trPr>
        <w:tc>
          <w:tcPr>
            <w:tcW w:w="620" w:type="dxa"/>
            <w:vMerge/>
            <w:tcBorders>
              <w:left w:val="single" w:sz="4" w:space="0" w:color="auto"/>
              <w:right w:val="single" w:sz="4" w:space="0" w:color="auto"/>
            </w:tcBorders>
            <w:noWrap/>
            <w:vAlign w:val="center"/>
          </w:tcPr>
          <w:p w:rsidR="009031A6" w:rsidRPr="004D451D"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4D451D" w:rsidRDefault="009031A6" w:rsidP="00482E54">
            <w:pPr>
              <w:numPr>
                <w:ilvl w:val="0"/>
                <w:numId w:val="65"/>
              </w:numPr>
              <w:jc w:val="both"/>
              <w:rPr>
                <w:rFonts w:eastAsia="標楷體"/>
                <w:kern w:val="0"/>
              </w:rPr>
            </w:pPr>
            <w:r w:rsidRPr="004D451D">
              <w:rPr>
                <w:rFonts w:eastAsia="標楷體"/>
                <w:kern w:val="0"/>
              </w:rPr>
              <w:t>加總方法。例如銀行計算個別風險和一般風險時，是採用不同模型獨立計算而後加總，或是透過單一模型直接導出個別風險和一般風險加總之結果</w:t>
            </w:r>
          </w:p>
        </w:tc>
        <w:tc>
          <w:tcPr>
            <w:tcW w:w="3755" w:type="dxa"/>
            <w:tcBorders>
              <w:top w:val="single" w:sz="4" w:space="0" w:color="auto"/>
              <w:left w:val="nil"/>
              <w:bottom w:val="single" w:sz="4" w:space="0" w:color="auto"/>
              <w:right w:val="single" w:sz="4" w:space="0" w:color="auto"/>
            </w:tcBorders>
            <w:noWrap/>
            <w:vAlign w:val="center"/>
          </w:tcPr>
          <w:p w:rsidR="009031A6" w:rsidRPr="004D451D" w:rsidRDefault="009031A6" w:rsidP="00220F43">
            <w:pPr>
              <w:widowControl/>
              <w:jc w:val="center"/>
              <w:rPr>
                <w:rFonts w:eastAsia="標楷體"/>
                <w:kern w:val="0"/>
              </w:rPr>
            </w:pPr>
          </w:p>
        </w:tc>
      </w:tr>
      <w:tr w:rsidR="004D451D" w:rsidRPr="004D451D" w:rsidTr="008F4572">
        <w:trPr>
          <w:trHeight w:val="820"/>
        </w:trPr>
        <w:tc>
          <w:tcPr>
            <w:tcW w:w="620" w:type="dxa"/>
            <w:vMerge/>
            <w:tcBorders>
              <w:left w:val="single" w:sz="4" w:space="0" w:color="auto"/>
              <w:right w:val="single" w:sz="4" w:space="0" w:color="auto"/>
            </w:tcBorders>
            <w:noWrap/>
            <w:vAlign w:val="center"/>
          </w:tcPr>
          <w:p w:rsidR="009031A6" w:rsidRPr="004D451D"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4D451D" w:rsidRDefault="009031A6" w:rsidP="00482E54">
            <w:pPr>
              <w:numPr>
                <w:ilvl w:val="0"/>
                <w:numId w:val="65"/>
              </w:numPr>
              <w:jc w:val="both"/>
              <w:rPr>
                <w:rFonts w:eastAsia="標楷體"/>
                <w:kern w:val="0"/>
              </w:rPr>
            </w:pPr>
            <w:r w:rsidRPr="004D451D">
              <w:rPr>
                <w:rFonts w:eastAsia="標楷體"/>
                <w:kern w:val="0"/>
              </w:rPr>
              <w:t>估算方法</w:t>
            </w:r>
            <w:r w:rsidRPr="004D451D">
              <w:rPr>
                <w:rFonts w:eastAsia="標楷體"/>
                <w:kern w:val="0"/>
              </w:rPr>
              <w:t>(</w:t>
            </w:r>
            <w:r w:rsidRPr="004D451D">
              <w:rPr>
                <w:rFonts w:eastAsia="標楷體"/>
                <w:kern w:val="0"/>
              </w:rPr>
              <w:t>採用完整重評價或是採用近似方法計算</w:t>
            </w:r>
            <w:r w:rsidRPr="004D451D">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9031A6" w:rsidRPr="004D451D" w:rsidRDefault="009031A6" w:rsidP="00220F43">
            <w:pPr>
              <w:widowControl/>
              <w:jc w:val="center"/>
              <w:rPr>
                <w:rFonts w:eastAsia="標楷體"/>
                <w:kern w:val="0"/>
              </w:rPr>
            </w:pPr>
          </w:p>
        </w:tc>
      </w:tr>
      <w:tr w:rsidR="004D451D" w:rsidRPr="004D451D" w:rsidTr="008F4572">
        <w:trPr>
          <w:trHeight w:val="1285"/>
        </w:trPr>
        <w:tc>
          <w:tcPr>
            <w:tcW w:w="620" w:type="dxa"/>
            <w:vMerge/>
            <w:tcBorders>
              <w:left w:val="single" w:sz="4" w:space="0" w:color="auto"/>
              <w:right w:val="single" w:sz="4" w:space="0" w:color="auto"/>
            </w:tcBorders>
            <w:noWrap/>
            <w:vAlign w:val="center"/>
          </w:tcPr>
          <w:p w:rsidR="009031A6" w:rsidRPr="004D451D" w:rsidRDefault="009031A6" w:rsidP="00220F43">
            <w:pPr>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9031A6" w:rsidRPr="004D451D" w:rsidRDefault="009031A6" w:rsidP="00482E54">
            <w:pPr>
              <w:numPr>
                <w:ilvl w:val="0"/>
                <w:numId w:val="65"/>
              </w:numPr>
              <w:jc w:val="both"/>
              <w:rPr>
                <w:rFonts w:eastAsia="標楷體"/>
                <w:kern w:val="0"/>
              </w:rPr>
            </w:pPr>
            <w:r w:rsidRPr="004D451D">
              <w:rPr>
                <w:rFonts w:eastAsia="標楷體"/>
                <w:kern w:val="0"/>
              </w:rPr>
              <w:t>報酬率之計算。說明在風險因子情境模擬中，報酬率之計算基礎是絕對數值、百分比變動，或兩者同時使用</w:t>
            </w:r>
          </w:p>
        </w:tc>
        <w:tc>
          <w:tcPr>
            <w:tcW w:w="3755" w:type="dxa"/>
            <w:tcBorders>
              <w:top w:val="single" w:sz="4" w:space="0" w:color="auto"/>
              <w:left w:val="nil"/>
              <w:bottom w:val="single" w:sz="4" w:space="0" w:color="auto"/>
              <w:right w:val="single" w:sz="4" w:space="0" w:color="auto"/>
            </w:tcBorders>
            <w:noWrap/>
            <w:vAlign w:val="center"/>
          </w:tcPr>
          <w:p w:rsidR="009031A6" w:rsidRPr="004D451D" w:rsidRDefault="009031A6" w:rsidP="00220F43">
            <w:pPr>
              <w:widowControl/>
              <w:jc w:val="center"/>
              <w:rPr>
                <w:rFonts w:eastAsia="標楷體"/>
                <w:kern w:val="0"/>
              </w:rPr>
            </w:pPr>
          </w:p>
        </w:tc>
      </w:tr>
      <w:tr w:rsidR="004D451D" w:rsidRPr="004D451D" w:rsidTr="008F4572">
        <w:trPr>
          <w:trHeight w:val="688"/>
        </w:trPr>
        <w:tc>
          <w:tcPr>
            <w:tcW w:w="620" w:type="dxa"/>
            <w:vMerge w:val="restart"/>
            <w:tcBorders>
              <w:top w:val="single" w:sz="4" w:space="0" w:color="auto"/>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r w:rsidRPr="004D451D">
              <w:rPr>
                <w:rFonts w:eastAsia="標楷體"/>
                <w:kern w:val="0"/>
              </w:rPr>
              <w:t>9</w:t>
            </w:r>
          </w:p>
        </w:tc>
        <w:tc>
          <w:tcPr>
            <w:tcW w:w="9115" w:type="dxa"/>
            <w:gridSpan w:val="2"/>
            <w:tcBorders>
              <w:top w:val="single" w:sz="4" w:space="0" w:color="auto"/>
              <w:left w:val="nil"/>
              <w:bottom w:val="single" w:sz="4" w:space="0" w:color="auto"/>
              <w:right w:val="single" w:sz="4" w:space="0" w:color="auto"/>
            </w:tcBorders>
            <w:vAlign w:val="center"/>
          </w:tcPr>
          <w:p w:rsidR="008F4572" w:rsidRPr="004D451D" w:rsidRDefault="008F4572" w:rsidP="00B13FA1">
            <w:pPr>
              <w:widowControl/>
              <w:rPr>
                <w:rFonts w:eastAsia="標楷體"/>
                <w:kern w:val="0"/>
              </w:rPr>
            </w:pPr>
            <w:r w:rsidRPr="004D451D">
              <w:rPr>
                <w:rFonts w:eastAsia="標楷體"/>
                <w:kern w:val="0"/>
              </w:rPr>
              <w:t>壓力風險值</w:t>
            </w:r>
            <w:r w:rsidRPr="004D451D">
              <w:rPr>
                <w:rFonts w:eastAsia="標楷體"/>
                <w:kern w:val="0"/>
              </w:rPr>
              <w:t>(Stress VaR)</w:t>
            </w:r>
            <w:r w:rsidRPr="004D451D">
              <w:rPr>
                <w:rFonts w:eastAsia="標楷體"/>
                <w:kern w:val="0"/>
              </w:rPr>
              <w:t>模型說明</w:t>
            </w:r>
          </w:p>
        </w:tc>
      </w:tr>
      <w:tr w:rsidR="004D451D" w:rsidRPr="004D451D" w:rsidTr="008F4572">
        <w:trPr>
          <w:trHeight w:val="1555"/>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6"/>
              </w:numPr>
              <w:rPr>
                <w:rFonts w:eastAsia="標楷體"/>
                <w:kern w:val="0"/>
              </w:rPr>
            </w:pPr>
            <w:r w:rsidRPr="004D451D">
              <w:rPr>
                <w:rFonts w:eastAsia="標楷體"/>
                <w:kern w:val="0"/>
              </w:rPr>
              <w:t>如何決定持有</w:t>
            </w:r>
            <w:r w:rsidRPr="004D451D">
              <w:rPr>
                <w:rFonts w:eastAsia="標楷體"/>
                <w:kern w:val="0"/>
              </w:rPr>
              <w:t>10</w:t>
            </w:r>
            <w:r w:rsidRPr="004D451D">
              <w:rPr>
                <w:rFonts w:eastAsia="標楷體"/>
                <w:kern w:val="0"/>
              </w:rPr>
              <w:t>日之壓力風險值。例如，是採用</w:t>
            </w:r>
            <w:r w:rsidRPr="004D451D">
              <w:rPr>
                <w:rFonts w:eastAsia="標楷體"/>
                <w:kern w:val="0"/>
              </w:rPr>
              <w:t>1</w:t>
            </w:r>
            <w:r w:rsidRPr="004D451D">
              <w:rPr>
                <w:rFonts w:eastAsia="標楷體"/>
                <w:kern w:val="0"/>
              </w:rPr>
              <w:t>日風險值乘上根號</w:t>
            </w:r>
            <w:r w:rsidRPr="004D451D">
              <w:rPr>
                <w:rFonts w:eastAsia="標楷體"/>
                <w:kern w:val="0"/>
              </w:rPr>
              <w:t>10</w:t>
            </w:r>
            <w:r w:rsidRPr="004D451D">
              <w:rPr>
                <w:rFonts w:eastAsia="標楷體"/>
                <w:kern w:val="0"/>
              </w:rPr>
              <w:t>之做法，或是由模型直接導出</w:t>
            </w:r>
            <w:r w:rsidRPr="004D451D">
              <w:rPr>
                <w:rFonts w:eastAsia="標楷體"/>
                <w:kern w:val="0"/>
              </w:rPr>
              <w:t>10</w:t>
            </w:r>
            <w:r w:rsidRPr="004D451D">
              <w:rPr>
                <w:rFonts w:eastAsia="標楷體"/>
                <w:kern w:val="0"/>
              </w:rPr>
              <w:t>日風險值。</w:t>
            </w:r>
            <w:r w:rsidRPr="004D451D">
              <w:rPr>
                <w:rFonts w:eastAsia="標楷體"/>
                <w:kern w:val="0"/>
              </w:rPr>
              <w:t>(</w:t>
            </w:r>
            <w:r w:rsidRPr="004D451D">
              <w:rPr>
                <w:rFonts w:eastAsia="標楷體"/>
                <w:kern w:val="0"/>
              </w:rPr>
              <w:t>如果採用的方法同風險值模型，可以說明同</w:t>
            </w:r>
            <w:r w:rsidRPr="004D451D">
              <w:rPr>
                <w:rFonts w:eastAsia="標楷體"/>
                <w:kern w:val="0"/>
              </w:rPr>
              <w:t>9.(3)</w:t>
            </w:r>
            <w:r w:rsidRPr="004D451D">
              <w:rPr>
                <w:rFonts w:eastAsia="標楷體"/>
                <w:kern w:val="0"/>
              </w:rPr>
              <w:t>揭露之資訊</w:t>
            </w:r>
            <w:r w:rsidRPr="004D451D">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EB11E8">
        <w:trPr>
          <w:trHeight w:val="686"/>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6"/>
              </w:numPr>
              <w:rPr>
                <w:rFonts w:eastAsia="標楷體"/>
                <w:kern w:val="0"/>
              </w:rPr>
            </w:pPr>
            <w:r w:rsidRPr="004D451D">
              <w:rPr>
                <w:rFonts w:eastAsia="標楷體"/>
                <w:kern w:val="0"/>
              </w:rPr>
              <w:t>銀行所選擇之壓力期間及其理由</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850"/>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6"/>
              </w:numPr>
              <w:rPr>
                <w:rFonts w:eastAsia="標楷體"/>
                <w:kern w:val="0"/>
              </w:rPr>
            </w:pPr>
            <w:r w:rsidRPr="004D451D">
              <w:rPr>
                <w:rFonts w:eastAsia="標楷體"/>
                <w:kern w:val="0"/>
              </w:rPr>
              <w:t>估算方法</w:t>
            </w:r>
            <w:r w:rsidRPr="004D451D">
              <w:rPr>
                <w:rFonts w:eastAsia="標楷體"/>
                <w:kern w:val="0"/>
              </w:rPr>
              <w:t>(</w:t>
            </w:r>
            <w:r w:rsidRPr="004D451D">
              <w:rPr>
                <w:rFonts w:eastAsia="標楷體"/>
                <w:kern w:val="0"/>
              </w:rPr>
              <w:t>採用完整重評價或是採用近似方法計算</w:t>
            </w:r>
            <w:r w:rsidRPr="004D451D">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550"/>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6"/>
              </w:numPr>
              <w:rPr>
                <w:rFonts w:eastAsia="標楷體"/>
                <w:kern w:val="0"/>
              </w:rPr>
            </w:pPr>
            <w:r w:rsidRPr="004D451D">
              <w:rPr>
                <w:rFonts w:eastAsia="標楷體"/>
                <w:kern w:val="0"/>
              </w:rPr>
              <w:t>說明壓力測試所採用之模型參數</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1267"/>
        </w:trPr>
        <w:tc>
          <w:tcPr>
            <w:tcW w:w="620" w:type="dxa"/>
            <w:vMerge/>
            <w:tcBorders>
              <w:left w:val="single" w:sz="4" w:space="0" w:color="auto"/>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6"/>
              </w:numPr>
              <w:rPr>
                <w:rFonts w:eastAsia="標楷體"/>
                <w:kern w:val="0"/>
              </w:rPr>
            </w:pPr>
            <w:r w:rsidRPr="004D451D">
              <w:rPr>
                <w:rFonts w:eastAsia="標楷體"/>
                <w:kern w:val="0"/>
              </w:rPr>
              <w:t>說明回顧測試</w:t>
            </w:r>
            <w:r w:rsidRPr="004D451D">
              <w:rPr>
                <w:rFonts w:eastAsia="標楷體"/>
                <w:kern w:val="0"/>
              </w:rPr>
              <w:t>/</w:t>
            </w:r>
            <w:r w:rsidRPr="004D451D">
              <w:rPr>
                <w:rFonts w:eastAsia="標楷體"/>
                <w:kern w:val="0"/>
              </w:rPr>
              <w:t>模型驗證之方法，並確認內部模型及模型開發過程所使用之資料及參數具內部一致性</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220F43">
        <w:trPr>
          <w:trHeight w:val="818"/>
        </w:trPr>
        <w:tc>
          <w:tcPr>
            <w:tcW w:w="9735" w:type="dxa"/>
            <w:gridSpan w:val="3"/>
            <w:tcBorders>
              <w:top w:val="nil"/>
              <w:left w:val="single" w:sz="4" w:space="0" w:color="auto"/>
              <w:bottom w:val="single" w:sz="4" w:space="0" w:color="auto"/>
              <w:right w:val="single" w:sz="4" w:space="0" w:color="auto"/>
            </w:tcBorders>
            <w:noWrap/>
            <w:vAlign w:val="center"/>
          </w:tcPr>
          <w:p w:rsidR="00BF3B7A" w:rsidRPr="004D451D" w:rsidRDefault="00BF3B7A" w:rsidP="00B13FA1">
            <w:pPr>
              <w:widowControl/>
              <w:rPr>
                <w:rFonts w:eastAsia="標楷體"/>
                <w:kern w:val="0"/>
              </w:rPr>
            </w:pPr>
            <w:r w:rsidRPr="004D451D">
              <w:rPr>
                <w:rFonts w:eastAsia="標楷體"/>
                <w:kern w:val="0"/>
              </w:rPr>
              <w:t>(</w:t>
            </w:r>
            <w:r w:rsidRPr="004D451D">
              <w:rPr>
                <w:rFonts w:eastAsia="標楷體"/>
                <w:kern w:val="0"/>
              </w:rPr>
              <w:t>三</w:t>
            </w:r>
            <w:r w:rsidRPr="004D451D">
              <w:rPr>
                <w:rFonts w:eastAsia="標楷體"/>
                <w:kern w:val="0"/>
              </w:rPr>
              <w:t>)</w:t>
            </w:r>
            <w:r w:rsidRPr="004D451D">
              <w:rPr>
                <w:rFonts w:eastAsia="標楷體"/>
                <w:kern w:val="0"/>
              </w:rPr>
              <w:t>內部模型衡量增額風險應計提資本說明</w:t>
            </w:r>
          </w:p>
        </w:tc>
      </w:tr>
      <w:tr w:rsidR="004D451D" w:rsidRPr="004D451D" w:rsidTr="008F4572">
        <w:trPr>
          <w:trHeight w:val="716"/>
        </w:trPr>
        <w:tc>
          <w:tcPr>
            <w:tcW w:w="620" w:type="dxa"/>
            <w:vMerge w:val="restart"/>
            <w:tcBorders>
              <w:top w:val="nil"/>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r w:rsidRPr="004D451D">
              <w:rPr>
                <w:rFonts w:eastAsia="標楷體"/>
                <w:kern w:val="0"/>
              </w:rPr>
              <w:t>10</w:t>
            </w:r>
          </w:p>
        </w:tc>
        <w:tc>
          <w:tcPr>
            <w:tcW w:w="9115" w:type="dxa"/>
            <w:gridSpan w:val="2"/>
            <w:tcBorders>
              <w:top w:val="single" w:sz="4" w:space="0" w:color="auto"/>
              <w:left w:val="nil"/>
              <w:bottom w:val="single" w:sz="4" w:space="0" w:color="auto"/>
              <w:right w:val="single" w:sz="4" w:space="0" w:color="auto"/>
            </w:tcBorders>
            <w:vAlign w:val="center"/>
          </w:tcPr>
          <w:p w:rsidR="008F4572" w:rsidRPr="004D451D" w:rsidRDefault="008F4572" w:rsidP="00B13FA1">
            <w:pPr>
              <w:widowControl/>
              <w:rPr>
                <w:rFonts w:eastAsia="標楷體"/>
                <w:kern w:val="0"/>
              </w:rPr>
            </w:pPr>
            <w:r w:rsidRPr="004D451D">
              <w:rPr>
                <w:rFonts w:eastAsia="標楷體"/>
                <w:kern w:val="0"/>
              </w:rPr>
              <w:t>方法論之一般說明</w:t>
            </w:r>
          </w:p>
        </w:tc>
      </w:tr>
      <w:tr w:rsidR="004D451D" w:rsidRPr="004D451D" w:rsidTr="008F4572">
        <w:trPr>
          <w:trHeight w:val="854"/>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7"/>
              </w:numPr>
              <w:rPr>
                <w:rFonts w:eastAsia="標楷體"/>
                <w:kern w:val="0"/>
              </w:rPr>
            </w:pPr>
            <w:r w:rsidRPr="004D451D">
              <w:rPr>
                <w:rFonts w:eastAsia="標楷體"/>
                <w:kern w:val="0"/>
              </w:rPr>
              <w:t>整體模型方法之說明</w:t>
            </w:r>
            <w:r w:rsidRPr="004D451D">
              <w:rPr>
                <w:rFonts w:eastAsia="標楷體"/>
                <w:kern w:val="0"/>
              </w:rPr>
              <w:t>(</w:t>
            </w:r>
            <w:r w:rsidRPr="004D451D">
              <w:rPr>
                <w:rFonts w:eastAsia="標楷體"/>
                <w:kern w:val="0"/>
              </w:rPr>
              <w:t>使用信用價差基礎模型或轉置矩陣基礎模型</w:t>
            </w:r>
            <w:r w:rsidRPr="004D451D">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555"/>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7"/>
              </w:numPr>
              <w:rPr>
                <w:rFonts w:eastAsia="標楷體"/>
                <w:kern w:val="0"/>
              </w:rPr>
            </w:pPr>
            <w:r w:rsidRPr="004D451D">
              <w:rPr>
                <w:rFonts w:eastAsia="標楷體"/>
                <w:kern w:val="0"/>
              </w:rPr>
              <w:t>轉置矩陣校準之資訊</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549"/>
        </w:trPr>
        <w:tc>
          <w:tcPr>
            <w:tcW w:w="620" w:type="dxa"/>
            <w:vMerge/>
            <w:tcBorders>
              <w:left w:val="single" w:sz="4" w:space="0" w:color="auto"/>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7"/>
              </w:numPr>
              <w:rPr>
                <w:rFonts w:eastAsia="標楷體"/>
                <w:kern w:val="0"/>
              </w:rPr>
            </w:pPr>
            <w:r w:rsidRPr="004D451D">
              <w:rPr>
                <w:rFonts w:eastAsia="標楷體"/>
                <w:kern w:val="0"/>
              </w:rPr>
              <w:t>相關性假設之資訊</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848"/>
        </w:trPr>
        <w:tc>
          <w:tcPr>
            <w:tcW w:w="620" w:type="dxa"/>
            <w:tcBorders>
              <w:top w:val="single" w:sz="4" w:space="0" w:color="auto"/>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11</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決定變現期間之方法</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856"/>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12</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在符合穩健標準要求下，評估資本需求之方法</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790"/>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13</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驗證模型之方法</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804"/>
        </w:trPr>
        <w:tc>
          <w:tcPr>
            <w:tcW w:w="9735" w:type="dxa"/>
            <w:gridSpan w:val="3"/>
            <w:tcBorders>
              <w:top w:val="nil"/>
              <w:left w:val="single" w:sz="4" w:space="0" w:color="auto"/>
              <w:bottom w:val="single" w:sz="4" w:space="0" w:color="auto"/>
              <w:right w:val="single" w:sz="4" w:space="0" w:color="auto"/>
            </w:tcBorders>
            <w:noWrap/>
            <w:vAlign w:val="center"/>
          </w:tcPr>
          <w:p w:rsidR="00BF3B7A" w:rsidRPr="004D451D" w:rsidRDefault="00BF3B7A" w:rsidP="00546C90">
            <w:pPr>
              <w:widowControl/>
              <w:rPr>
                <w:rFonts w:eastAsia="標楷體"/>
                <w:kern w:val="0"/>
              </w:rPr>
            </w:pPr>
            <w:r w:rsidRPr="004D451D">
              <w:rPr>
                <w:rFonts w:eastAsia="標楷體"/>
                <w:kern w:val="0"/>
              </w:rPr>
              <w:t>(</w:t>
            </w:r>
            <w:r w:rsidRPr="004D451D">
              <w:rPr>
                <w:rFonts w:eastAsia="標楷體"/>
                <w:kern w:val="0"/>
              </w:rPr>
              <w:t>四</w:t>
            </w:r>
            <w:r w:rsidR="009031A6" w:rsidRPr="004D451D">
              <w:rPr>
                <w:rFonts w:eastAsia="標楷體"/>
                <w:kern w:val="0"/>
              </w:rPr>
              <w:t>)</w:t>
            </w:r>
            <w:r w:rsidRPr="004D451D">
              <w:rPr>
                <w:rFonts w:eastAsia="標楷體"/>
                <w:kern w:val="0"/>
              </w:rPr>
              <w:t>內部模型衡量全面性風險應計提資本說明</w:t>
            </w:r>
          </w:p>
        </w:tc>
      </w:tr>
      <w:tr w:rsidR="004D451D" w:rsidRPr="004D451D" w:rsidTr="00046F28">
        <w:trPr>
          <w:trHeight w:val="629"/>
        </w:trPr>
        <w:tc>
          <w:tcPr>
            <w:tcW w:w="620" w:type="dxa"/>
            <w:vMerge w:val="restart"/>
            <w:tcBorders>
              <w:top w:val="nil"/>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r w:rsidRPr="004D451D">
              <w:rPr>
                <w:rFonts w:eastAsia="標楷體"/>
                <w:kern w:val="0"/>
              </w:rPr>
              <w:t>14</w:t>
            </w:r>
          </w:p>
        </w:tc>
        <w:tc>
          <w:tcPr>
            <w:tcW w:w="9115" w:type="dxa"/>
            <w:gridSpan w:val="2"/>
            <w:tcBorders>
              <w:top w:val="single" w:sz="4" w:space="0" w:color="auto"/>
              <w:left w:val="nil"/>
              <w:bottom w:val="single" w:sz="4" w:space="0" w:color="auto"/>
              <w:right w:val="single" w:sz="4" w:space="0" w:color="auto"/>
            </w:tcBorders>
            <w:vAlign w:val="center"/>
          </w:tcPr>
          <w:p w:rsidR="008F4572" w:rsidRPr="004D451D" w:rsidRDefault="008F4572" w:rsidP="00546C90">
            <w:pPr>
              <w:widowControl/>
              <w:rPr>
                <w:rFonts w:eastAsia="標楷體"/>
                <w:kern w:val="0"/>
              </w:rPr>
            </w:pPr>
            <w:r w:rsidRPr="004D451D">
              <w:rPr>
                <w:rFonts w:eastAsia="標楷體"/>
                <w:kern w:val="0"/>
              </w:rPr>
              <w:t>方法論之一般說明</w:t>
            </w:r>
          </w:p>
        </w:tc>
      </w:tr>
      <w:tr w:rsidR="004D451D" w:rsidRPr="004D451D" w:rsidTr="008F4572">
        <w:trPr>
          <w:trHeight w:val="2257"/>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widowControl/>
              <w:numPr>
                <w:ilvl w:val="0"/>
                <w:numId w:val="68"/>
              </w:numPr>
              <w:rPr>
                <w:rFonts w:eastAsia="標楷體"/>
                <w:kern w:val="0"/>
              </w:rPr>
            </w:pPr>
            <w:r w:rsidRPr="004D451D">
              <w:rPr>
                <w:rFonts w:eastAsia="標楷體"/>
                <w:kern w:val="0"/>
              </w:rPr>
              <w:t>有關整體模型方法之資訊，特別是違約</w:t>
            </w:r>
            <w:r w:rsidRPr="004D451D">
              <w:rPr>
                <w:rFonts w:eastAsia="標楷體"/>
                <w:kern w:val="0"/>
              </w:rPr>
              <w:t>/</w:t>
            </w:r>
            <w:r w:rsidRPr="004D451D">
              <w:rPr>
                <w:rFonts w:eastAsia="標楷體"/>
                <w:kern w:val="0"/>
              </w:rPr>
              <w:t>信用變動與信用價差之模型相關性之選擇</w:t>
            </w:r>
          </w:p>
          <w:p w:rsidR="008F4572" w:rsidRPr="004D451D" w:rsidRDefault="008F4572" w:rsidP="00482E54">
            <w:pPr>
              <w:widowControl/>
              <w:numPr>
                <w:ilvl w:val="0"/>
                <w:numId w:val="69"/>
              </w:numPr>
              <w:ind w:left="998" w:hanging="397"/>
              <w:rPr>
                <w:rFonts w:eastAsia="標楷體"/>
                <w:kern w:val="0"/>
              </w:rPr>
            </w:pPr>
            <w:r w:rsidRPr="004D451D">
              <w:rPr>
                <w:rFonts w:eastAsia="標楷體"/>
                <w:kern w:val="0"/>
              </w:rPr>
              <w:t>分別但相關之隨機過程導致信用變動</w:t>
            </w:r>
            <w:r w:rsidRPr="004D451D">
              <w:rPr>
                <w:rFonts w:eastAsia="標楷體"/>
                <w:kern w:val="0"/>
              </w:rPr>
              <w:t>/</w:t>
            </w:r>
            <w:r w:rsidRPr="004D451D">
              <w:rPr>
                <w:rFonts w:eastAsia="標楷體"/>
                <w:kern w:val="0"/>
              </w:rPr>
              <w:t>違約與信用價差之變動；</w:t>
            </w:r>
          </w:p>
          <w:p w:rsidR="008F4572" w:rsidRPr="004D451D" w:rsidRDefault="008F4572" w:rsidP="00482E54">
            <w:pPr>
              <w:widowControl/>
              <w:numPr>
                <w:ilvl w:val="0"/>
                <w:numId w:val="69"/>
              </w:numPr>
              <w:ind w:left="998" w:hanging="397"/>
              <w:rPr>
                <w:rFonts w:eastAsia="標楷體"/>
                <w:kern w:val="0"/>
              </w:rPr>
            </w:pPr>
            <w:r w:rsidRPr="004D451D">
              <w:rPr>
                <w:rFonts w:eastAsia="標楷體"/>
                <w:kern w:val="0"/>
              </w:rPr>
              <w:t>信用價差變動導致信用變動</w:t>
            </w:r>
            <w:r w:rsidRPr="004D451D">
              <w:rPr>
                <w:rFonts w:eastAsia="標楷體"/>
                <w:kern w:val="0"/>
              </w:rPr>
              <w:t>/</w:t>
            </w:r>
            <w:r w:rsidRPr="004D451D">
              <w:rPr>
                <w:rFonts w:eastAsia="標楷體"/>
                <w:kern w:val="0"/>
              </w:rPr>
              <w:t>違約；或</w:t>
            </w:r>
          </w:p>
          <w:p w:rsidR="008F4572" w:rsidRPr="004D451D" w:rsidRDefault="008F4572" w:rsidP="00482E54">
            <w:pPr>
              <w:numPr>
                <w:ilvl w:val="0"/>
                <w:numId w:val="69"/>
              </w:numPr>
              <w:ind w:left="998" w:hanging="397"/>
              <w:rPr>
                <w:rFonts w:eastAsia="標楷體"/>
                <w:kern w:val="0"/>
              </w:rPr>
            </w:pPr>
            <w:r w:rsidRPr="004D451D">
              <w:rPr>
                <w:rFonts w:eastAsia="標楷體"/>
                <w:kern w:val="0"/>
              </w:rPr>
              <w:t>違約</w:t>
            </w:r>
            <w:r w:rsidRPr="004D451D">
              <w:rPr>
                <w:rFonts w:eastAsia="標楷體"/>
                <w:kern w:val="0"/>
              </w:rPr>
              <w:t>/</w:t>
            </w:r>
            <w:r w:rsidRPr="004D451D">
              <w:rPr>
                <w:rFonts w:eastAsia="標楷體"/>
                <w:kern w:val="0"/>
              </w:rPr>
              <w:t>信用變動導致信用價差變動</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r>
      <w:tr w:rsidR="004D451D" w:rsidRPr="004D451D" w:rsidTr="008F4572">
        <w:trPr>
          <w:trHeight w:val="985"/>
        </w:trPr>
        <w:tc>
          <w:tcPr>
            <w:tcW w:w="620" w:type="dxa"/>
            <w:vMerge/>
            <w:tcBorders>
              <w:left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8"/>
              </w:numPr>
              <w:rPr>
                <w:rFonts w:eastAsia="標楷體"/>
                <w:kern w:val="0"/>
              </w:rPr>
            </w:pPr>
            <w:r w:rsidRPr="004D451D">
              <w:rPr>
                <w:rFonts w:eastAsia="標楷體"/>
                <w:kern w:val="0"/>
              </w:rPr>
              <w:t>校準相關係數參數之資訊：批次之違約損失率定價</w:t>
            </w:r>
            <w:r w:rsidRPr="004D451D">
              <w:rPr>
                <w:rFonts w:eastAsia="標楷體"/>
                <w:kern w:val="0"/>
              </w:rPr>
              <w:t>(</w:t>
            </w:r>
            <w:r w:rsidRPr="004D451D">
              <w:rPr>
                <w:rFonts w:eastAsia="標楷體"/>
                <w:kern w:val="0"/>
              </w:rPr>
              <w:t>固定或隨機</w:t>
            </w:r>
            <w:r w:rsidRPr="004D451D">
              <w:rPr>
                <w:rFonts w:eastAsia="標楷體"/>
                <w:kern w:val="0"/>
              </w:rPr>
              <w:t>)</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jc w:val="center"/>
              <w:rPr>
                <w:rFonts w:eastAsia="標楷體"/>
                <w:kern w:val="0"/>
              </w:rPr>
            </w:pPr>
          </w:p>
        </w:tc>
      </w:tr>
      <w:tr w:rsidR="004D451D" w:rsidRPr="004D451D" w:rsidTr="008F4572">
        <w:trPr>
          <w:trHeight w:val="1267"/>
        </w:trPr>
        <w:tc>
          <w:tcPr>
            <w:tcW w:w="620" w:type="dxa"/>
            <w:vMerge/>
            <w:tcBorders>
              <w:left w:val="single" w:sz="4" w:space="0" w:color="auto"/>
              <w:bottom w:val="single" w:sz="4" w:space="0" w:color="auto"/>
              <w:right w:val="single" w:sz="4" w:space="0" w:color="auto"/>
            </w:tcBorders>
            <w:noWrap/>
            <w:vAlign w:val="center"/>
          </w:tcPr>
          <w:p w:rsidR="008F4572" w:rsidRPr="004D451D" w:rsidRDefault="008F4572" w:rsidP="00220F43">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8F4572" w:rsidRPr="004D451D" w:rsidRDefault="008F4572" w:rsidP="00482E54">
            <w:pPr>
              <w:numPr>
                <w:ilvl w:val="0"/>
                <w:numId w:val="68"/>
              </w:numPr>
              <w:rPr>
                <w:rFonts w:eastAsia="標楷體"/>
                <w:kern w:val="0"/>
              </w:rPr>
            </w:pPr>
            <w:r w:rsidRPr="004D451D">
              <w:rPr>
                <w:rFonts w:eastAsia="標楷體"/>
                <w:kern w:val="0"/>
              </w:rPr>
              <w:t>有關部位到期日之資訊。例如，使用模型模擬市場動態預估損益時，各部位到期日是以一年資本期間計算，或以部位之到期日計算</w:t>
            </w:r>
          </w:p>
        </w:tc>
        <w:tc>
          <w:tcPr>
            <w:tcW w:w="3755" w:type="dxa"/>
            <w:tcBorders>
              <w:top w:val="single" w:sz="4" w:space="0" w:color="auto"/>
              <w:left w:val="nil"/>
              <w:bottom w:val="single" w:sz="4" w:space="0" w:color="auto"/>
              <w:right w:val="single" w:sz="4" w:space="0" w:color="auto"/>
            </w:tcBorders>
            <w:noWrap/>
            <w:vAlign w:val="center"/>
          </w:tcPr>
          <w:p w:rsidR="008F4572" w:rsidRPr="004D451D" w:rsidRDefault="008F4572" w:rsidP="00220F43">
            <w:pPr>
              <w:jc w:val="center"/>
              <w:rPr>
                <w:rFonts w:eastAsia="標楷體"/>
                <w:kern w:val="0"/>
              </w:rPr>
            </w:pPr>
          </w:p>
        </w:tc>
      </w:tr>
      <w:tr w:rsidR="004D451D" w:rsidRPr="004D451D" w:rsidTr="008F4572">
        <w:trPr>
          <w:trHeight w:val="793"/>
        </w:trPr>
        <w:tc>
          <w:tcPr>
            <w:tcW w:w="620" w:type="dxa"/>
            <w:tcBorders>
              <w:top w:val="single" w:sz="4" w:space="0" w:color="auto"/>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15</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決定變現期間之方法</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4D451D" w:rsidRPr="004D451D" w:rsidTr="00220F43">
        <w:trPr>
          <w:trHeight w:val="839"/>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16</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在符合穩健標準要求下，評估資本需求之方法</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r w:rsidR="00BF3B7A" w:rsidRPr="004D451D" w:rsidTr="00220F43">
        <w:trPr>
          <w:trHeight w:val="794"/>
        </w:trPr>
        <w:tc>
          <w:tcPr>
            <w:tcW w:w="620" w:type="dxa"/>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r w:rsidRPr="004D451D">
              <w:rPr>
                <w:rFonts w:eastAsia="標楷體"/>
                <w:kern w:val="0"/>
              </w:rPr>
              <w:t>17</w:t>
            </w:r>
          </w:p>
        </w:tc>
        <w:tc>
          <w:tcPr>
            <w:tcW w:w="5360" w:type="dxa"/>
            <w:tcBorders>
              <w:top w:val="single" w:sz="4" w:space="0" w:color="auto"/>
              <w:left w:val="nil"/>
              <w:bottom w:val="single" w:sz="4" w:space="0" w:color="auto"/>
              <w:right w:val="single" w:sz="4" w:space="0" w:color="000000"/>
            </w:tcBorders>
            <w:vAlign w:val="center"/>
          </w:tcPr>
          <w:p w:rsidR="00BF3B7A" w:rsidRPr="004D451D" w:rsidRDefault="00BF3B7A" w:rsidP="00220F43">
            <w:pPr>
              <w:widowControl/>
              <w:rPr>
                <w:rFonts w:eastAsia="標楷體"/>
                <w:kern w:val="0"/>
              </w:rPr>
            </w:pPr>
            <w:r w:rsidRPr="004D451D">
              <w:rPr>
                <w:rFonts w:eastAsia="標楷體"/>
                <w:kern w:val="0"/>
              </w:rPr>
              <w:t>模型驗證之方法</w:t>
            </w:r>
          </w:p>
        </w:tc>
        <w:tc>
          <w:tcPr>
            <w:tcW w:w="3755" w:type="dxa"/>
            <w:tcBorders>
              <w:top w:val="single" w:sz="4" w:space="0" w:color="auto"/>
              <w:left w:val="nil"/>
              <w:bottom w:val="single" w:sz="4" w:space="0" w:color="auto"/>
              <w:right w:val="single" w:sz="4" w:space="0" w:color="auto"/>
            </w:tcBorders>
            <w:noWrap/>
            <w:vAlign w:val="center"/>
          </w:tcPr>
          <w:p w:rsidR="00BF3B7A" w:rsidRPr="004D451D" w:rsidRDefault="00BF3B7A" w:rsidP="00220F43">
            <w:pPr>
              <w:widowControl/>
              <w:jc w:val="center"/>
              <w:rPr>
                <w:rFonts w:eastAsia="標楷體"/>
                <w:kern w:val="0"/>
              </w:rPr>
            </w:pPr>
          </w:p>
        </w:tc>
      </w:tr>
    </w:tbl>
    <w:p w:rsidR="008F4572" w:rsidRPr="004D451D" w:rsidRDefault="008F4572" w:rsidP="00BF3B7A">
      <w:pPr>
        <w:spacing w:line="360" w:lineRule="auto"/>
        <w:rPr>
          <w:rFonts w:eastAsia="標楷體"/>
          <w:b/>
        </w:rPr>
      </w:pPr>
    </w:p>
    <w:p w:rsidR="00BF3B7A" w:rsidRPr="004D451D" w:rsidRDefault="00BF3B7A" w:rsidP="008F4572">
      <w:pPr>
        <w:spacing w:line="240" w:lineRule="atLeast"/>
        <w:rPr>
          <w:rFonts w:eastAsia="標楷體"/>
          <w:b/>
        </w:rPr>
      </w:pPr>
      <w:r w:rsidRPr="004D451D">
        <w:rPr>
          <w:rFonts w:eastAsia="標楷體"/>
          <w:b/>
        </w:rPr>
        <w:t>填表說明：</w:t>
      </w:r>
      <w:r w:rsidRPr="004D451D">
        <w:rPr>
          <w:rFonts w:eastAsia="標楷體"/>
          <w:b/>
        </w:rPr>
        <w:t xml:space="preserve"> </w:t>
      </w:r>
    </w:p>
    <w:p w:rsidR="00BF3B7A" w:rsidRPr="004D451D" w:rsidRDefault="00BF3B7A" w:rsidP="00EF4134">
      <w:pPr>
        <w:numPr>
          <w:ilvl w:val="0"/>
          <w:numId w:val="9"/>
        </w:numPr>
        <w:spacing w:line="240" w:lineRule="atLeast"/>
        <w:ind w:leftChars="150" w:left="720" w:hangingChars="150"/>
        <w:rPr>
          <w:rFonts w:eastAsia="標楷體"/>
        </w:rPr>
      </w:pPr>
      <w:r w:rsidRPr="004D451D">
        <w:rPr>
          <w:rFonts w:eastAsia="標楷體"/>
        </w:rPr>
        <w:t>本表更新頻率：年。</w:t>
      </w:r>
    </w:p>
    <w:p w:rsidR="00BF3B7A" w:rsidRPr="004D451D" w:rsidRDefault="00BF3B7A" w:rsidP="00EF4134">
      <w:pPr>
        <w:numPr>
          <w:ilvl w:val="0"/>
          <w:numId w:val="9"/>
        </w:numPr>
        <w:spacing w:line="240" w:lineRule="atLeast"/>
        <w:ind w:leftChars="150" w:left="720" w:hangingChars="150"/>
        <w:rPr>
          <w:rFonts w:eastAsia="標楷體"/>
        </w:rPr>
      </w:pPr>
      <w:r w:rsidRPr="004D451D">
        <w:rPr>
          <w:rFonts w:eastAsia="標楷體"/>
        </w:rPr>
        <w:t>本表採個體基礎填報。</w:t>
      </w:r>
    </w:p>
    <w:p w:rsidR="00D86FD5" w:rsidRPr="004D451D" w:rsidRDefault="00D86FD5" w:rsidP="00BF3B7A">
      <w:pPr>
        <w:rPr>
          <w:rFonts w:ascii="Arial" w:eastAsia="標楷體" w:hAnsi="Arial" w:cs="Arial"/>
          <w:sz w:val="32"/>
          <w:szCs w:val="32"/>
        </w:rPr>
      </w:pPr>
    </w:p>
    <w:p w:rsidR="00BF3B7A" w:rsidRPr="004D451D" w:rsidRDefault="008F4572" w:rsidP="00BF3B7A">
      <w:pPr>
        <w:rPr>
          <w:rFonts w:eastAsia="標楷體"/>
          <w:sz w:val="32"/>
          <w:szCs w:val="32"/>
        </w:rPr>
      </w:pPr>
      <w:r w:rsidRPr="004D451D">
        <w:rPr>
          <w:rFonts w:ascii="Arial" w:eastAsia="標楷體" w:hAnsi="Arial" w:cs="Arial"/>
          <w:sz w:val="32"/>
          <w:szCs w:val="32"/>
        </w:rPr>
        <w:br w:type="page"/>
      </w:r>
      <w:r w:rsidR="00BF3B7A" w:rsidRPr="004D451D">
        <w:rPr>
          <w:rFonts w:eastAsia="標楷體"/>
          <w:b/>
          <w:sz w:val="32"/>
          <w:szCs w:val="32"/>
        </w:rPr>
        <w:t>【附表</w:t>
      </w:r>
      <w:r w:rsidR="000176B7" w:rsidRPr="004D451D">
        <w:rPr>
          <w:rFonts w:eastAsia="標楷體" w:hint="eastAsia"/>
          <w:b/>
          <w:sz w:val="32"/>
          <w:szCs w:val="32"/>
        </w:rPr>
        <w:t>四十</w:t>
      </w:r>
      <w:r w:rsidR="00BF3B7A" w:rsidRPr="004D451D">
        <w:rPr>
          <w:rFonts w:eastAsia="標楷體"/>
          <w:b/>
          <w:sz w:val="32"/>
          <w:szCs w:val="32"/>
        </w:rPr>
        <w:t>】</w:t>
      </w:r>
    </w:p>
    <w:p w:rsidR="00BF3B7A" w:rsidRPr="004D451D" w:rsidRDefault="00D86FD5" w:rsidP="00BF3B7A">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b/>
          <w:szCs w:val="32"/>
        </w:rPr>
        <w:t>市場風險風險性資產</w:t>
      </w:r>
      <w:r w:rsidR="00F3145A" w:rsidRPr="004D451D">
        <w:rPr>
          <w:rFonts w:hint="eastAsia"/>
          <w:b/>
        </w:rPr>
        <w:t>─</w:t>
      </w:r>
      <w:r w:rsidR="00F3145A" w:rsidRPr="004D451D">
        <w:rPr>
          <w:rFonts w:ascii="Times New Roman" w:hAnsi="Times New Roman"/>
          <w:b/>
          <w:szCs w:val="32"/>
        </w:rPr>
        <w:t>標準法</w:t>
      </w:r>
    </w:p>
    <w:p w:rsidR="00BF3B7A" w:rsidRPr="004D451D" w:rsidRDefault="00A450F7" w:rsidP="00A450F7">
      <w:pPr>
        <w:pStyle w:val="ad"/>
        <w:spacing w:before="120" w:after="120" w:line="240" w:lineRule="auto"/>
        <w:ind w:right="-54"/>
        <w:jc w:val="center"/>
        <w:rPr>
          <w:rFonts w:ascii="Times New Roman" w:hAnsi="Times New Roman"/>
          <w:szCs w:val="32"/>
        </w:rPr>
      </w:pPr>
      <w:r w:rsidRPr="004D451D">
        <w:rPr>
          <w:rFonts w:ascii="Times New Roman" w:hAnsi="Times New Roman" w:hint="eastAsia"/>
          <w:szCs w:val="32"/>
        </w:rPr>
        <w:t xml:space="preserve">                 10</w:t>
      </w:r>
      <w:r w:rsidR="000C103E" w:rsidRPr="004D451D">
        <w:rPr>
          <w:rFonts w:ascii="Times New Roman" w:hAnsi="Times New Roman" w:hint="eastAsia"/>
          <w:szCs w:val="32"/>
        </w:rPr>
        <w:t>7</w:t>
      </w:r>
      <w:r w:rsidR="00BF3B7A" w:rsidRPr="004D451D">
        <w:rPr>
          <w:rFonts w:ascii="Times New Roman" w:hAnsi="Times New Roman"/>
          <w:szCs w:val="32"/>
        </w:rPr>
        <w:t>年</w:t>
      </w:r>
      <w:r w:rsidR="000C103E" w:rsidRPr="004D451D">
        <w:rPr>
          <w:rFonts w:ascii="Times New Roman" w:hAnsi="Times New Roman" w:hint="eastAsia"/>
          <w:szCs w:val="32"/>
        </w:rPr>
        <w:t>06</w:t>
      </w:r>
      <w:r w:rsidR="00BF3B7A" w:rsidRPr="004D451D">
        <w:rPr>
          <w:rFonts w:ascii="Times New Roman" w:hAnsi="Times New Roman"/>
          <w:szCs w:val="32"/>
        </w:rPr>
        <w:t>月</w:t>
      </w:r>
      <w:r w:rsidRPr="004D451D">
        <w:rPr>
          <w:rFonts w:ascii="Times New Roman" w:hAnsi="Times New Roman" w:hint="eastAsia"/>
          <w:szCs w:val="32"/>
        </w:rPr>
        <w:t>3</w:t>
      </w:r>
      <w:r w:rsidR="000C103E" w:rsidRPr="004D451D">
        <w:rPr>
          <w:rFonts w:ascii="Times New Roman" w:hAnsi="Times New Roman" w:hint="eastAsia"/>
          <w:szCs w:val="32"/>
        </w:rPr>
        <w:t>0</w:t>
      </w:r>
      <w:r w:rsidR="00BF3B7A" w:rsidRPr="004D451D">
        <w:rPr>
          <w:rFonts w:ascii="Times New Roman" w:hAnsi="Times New Roman"/>
          <w:szCs w:val="32"/>
        </w:rPr>
        <w:t>日</w:t>
      </w:r>
      <w:r w:rsidR="00BF3B7A" w:rsidRPr="004D451D">
        <w:rPr>
          <w:rFonts w:ascii="Times New Roman" w:hAnsi="Times New Roman"/>
          <w:szCs w:val="32"/>
        </w:rPr>
        <w:t xml:space="preserve"> </w:t>
      </w:r>
      <w:r w:rsidRPr="004D451D">
        <w:rPr>
          <w:rFonts w:ascii="Times New Roman" w:hAnsi="Times New Roman" w:hint="eastAsia"/>
          <w:szCs w:val="32"/>
        </w:rPr>
        <w:t xml:space="preserve"> </w:t>
      </w:r>
      <w:r w:rsidR="00BF3B7A" w:rsidRPr="004D451D">
        <w:rPr>
          <w:rFonts w:ascii="Times New Roman" w:hAnsi="Times New Roman"/>
          <w:szCs w:val="32"/>
        </w:rPr>
        <w:t xml:space="preserve">      </w:t>
      </w:r>
      <w:r w:rsidR="00BF3B7A" w:rsidRPr="004D451D">
        <w:rPr>
          <w:rFonts w:ascii="Times New Roman" w:hAnsi="Times New Roman"/>
          <w:sz w:val="24"/>
        </w:rPr>
        <w:t>單位</w:t>
      </w:r>
      <w:r w:rsidR="00256733" w:rsidRPr="004D451D">
        <w:rPr>
          <w:rFonts w:ascii="Times New Roman" w:hAnsi="Times New Roman"/>
          <w:sz w:val="24"/>
        </w:rPr>
        <w:t>：</w:t>
      </w:r>
      <w:r w:rsidR="00BF3B7A" w:rsidRPr="004D451D">
        <w:rPr>
          <w:rFonts w:ascii="Times New Roman" w:hAnsi="Times New Roman"/>
          <w:sz w:val="24"/>
        </w:rPr>
        <w:t>新臺幣千元</w:t>
      </w:r>
    </w:p>
    <w:tbl>
      <w:tblPr>
        <w:tblW w:w="9350" w:type="dxa"/>
        <w:tblInd w:w="13" w:type="dxa"/>
        <w:tblLayout w:type="fixed"/>
        <w:tblCellMar>
          <w:left w:w="28" w:type="dxa"/>
          <w:right w:w="28" w:type="dxa"/>
        </w:tblCellMar>
        <w:tblLook w:val="0000" w:firstRow="0" w:lastRow="0" w:firstColumn="0" w:lastColumn="0" w:noHBand="0" w:noVBand="0"/>
      </w:tblPr>
      <w:tblGrid>
        <w:gridCol w:w="724"/>
        <w:gridCol w:w="4111"/>
        <w:gridCol w:w="4515"/>
      </w:tblGrid>
      <w:tr w:rsidR="004D451D" w:rsidRPr="004D451D" w:rsidTr="00693508">
        <w:trPr>
          <w:trHeight w:val="496"/>
        </w:trPr>
        <w:tc>
          <w:tcPr>
            <w:tcW w:w="4835" w:type="dxa"/>
            <w:gridSpan w:val="2"/>
            <w:tcBorders>
              <w:top w:val="single" w:sz="4" w:space="0" w:color="auto"/>
              <w:left w:val="single" w:sz="4" w:space="0" w:color="auto"/>
              <w:bottom w:val="single" w:sz="4" w:space="0" w:color="auto"/>
              <w:right w:val="single" w:sz="4" w:space="0" w:color="auto"/>
            </w:tcBorders>
            <w:noWrap/>
            <w:vAlign w:val="center"/>
          </w:tcPr>
          <w:p w:rsidR="00F12BDE" w:rsidRPr="004D451D" w:rsidRDefault="00256733" w:rsidP="00220F43">
            <w:pPr>
              <w:widowControl/>
              <w:jc w:val="center"/>
              <w:rPr>
                <w:rFonts w:eastAsia="標楷體"/>
                <w:kern w:val="0"/>
              </w:rPr>
            </w:pPr>
            <w:r w:rsidRPr="004D451D">
              <w:rPr>
                <w:rFonts w:eastAsia="標楷體"/>
                <w:kern w:val="0"/>
              </w:rPr>
              <w:t>項目</w:t>
            </w:r>
          </w:p>
        </w:tc>
        <w:tc>
          <w:tcPr>
            <w:tcW w:w="4515" w:type="dxa"/>
            <w:tcBorders>
              <w:top w:val="single" w:sz="4" w:space="0" w:color="auto"/>
              <w:left w:val="nil"/>
              <w:bottom w:val="single" w:sz="4" w:space="0" w:color="auto"/>
              <w:right w:val="single" w:sz="4" w:space="0" w:color="auto"/>
            </w:tcBorders>
            <w:noWrap/>
            <w:vAlign w:val="center"/>
          </w:tcPr>
          <w:p w:rsidR="00F12BDE" w:rsidRPr="004D451D" w:rsidRDefault="00F12BDE" w:rsidP="00220F43">
            <w:pPr>
              <w:widowControl/>
              <w:jc w:val="center"/>
              <w:rPr>
                <w:rFonts w:eastAsia="標楷體"/>
                <w:kern w:val="0"/>
              </w:rPr>
            </w:pPr>
            <w:r w:rsidRPr="004D451D">
              <w:rPr>
                <w:rFonts w:eastAsia="標楷體"/>
                <w:kern w:val="0"/>
              </w:rPr>
              <w:t>風險性資產</w:t>
            </w:r>
            <w:r w:rsidR="00256733" w:rsidRPr="004D451D">
              <w:rPr>
                <w:rFonts w:eastAsia="標楷體"/>
                <w:kern w:val="0"/>
              </w:rPr>
              <w:t>A</w:t>
            </w:r>
          </w:p>
        </w:tc>
      </w:tr>
      <w:tr w:rsidR="004D451D" w:rsidRPr="004D451D" w:rsidTr="00693508">
        <w:trPr>
          <w:trHeight w:hRule="exact" w:val="566"/>
        </w:trPr>
        <w:tc>
          <w:tcPr>
            <w:tcW w:w="724" w:type="dxa"/>
            <w:tcBorders>
              <w:top w:val="nil"/>
              <w:left w:val="single" w:sz="4" w:space="0" w:color="auto"/>
              <w:bottom w:val="single" w:sz="4" w:space="0" w:color="auto"/>
              <w:right w:val="single" w:sz="4" w:space="0" w:color="auto"/>
            </w:tcBorders>
            <w:noWrap/>
            <w:vAlign w:val="center"/>
          </w:tcPr>
          <w:p w:rsidR="005F49BD" w:rsidRPr="004D451D" w:rsidRDefault="005F49BD" w:rsidP="00220F43">
            <w:pPr>
              <w:widowControl/>
              <w:jc w:val="center"/>
              <w:rPr>
                <w:rFonts w:eastAsia="標楷體"/>
                <w:kern w:val="0"/>
              </w:rPr>
            </w:pPr>
          </w:p>
        </w:tc>
        <w:tc>
          <w:tcPr>
            <w:tcW w:w="4111" w:type="dxa"/>
            <w:tcBorders>
              <w:top w:val="single" w:sz="4" w:space="0" w:color="auto"/>
              <w:left w:val="nil"/>
              <w:bottom w:val="single" w:sz="4" w:space="0" w:color="auto"/>
              <w:right w:val="single" w:sz="4" w:space="0" w:color="000000"/>
            </w:tcBorders>
            <w:noWrap/>
            <w:vAlign w:val="center"/>
          </w:tcPr>
          <w:p w:rsidR="005F49BD" w:rsidRPr="004D451D" w:rsidRDefault="005F49BD" w:rsidP="00610923">
            <w:pPr>
              <w:widowControl/>
              <w:rPr>
                <w:rFonts w:eastAsia="標楷體"/>
                <w:kern w:val="0"/>
              </w:rPr>
            </w:pPr>
            <w:r w:rsidRPr="004D451D">
              <w:rPr>
                <w:rFonts w:eastAsia="標楷體"/>
                <w:kern w:val="0"/>
              </w:rPr>
              <w:t>非選擇權及證券化商品</w:t>
            </w:r>
          </w:p>
        </w:tc>
        <w:tc>
          <w:tcPr>
            <w:tcW w:w="4515" w:type="dxa"/>
            <w:tcBorders>
              <w:top w:val="single" w:sz="4" w:space="0" w:color="auto"/>
              <w:left w:val="nil"/>
              <w:bottom w:val="single" w:sz="4" w:space="0" w:color="auto"/>
              <w:right w:val="single" w:sz="4" w:space="0" w:color="auto"/>
            </w:tcBorders>
            <w:shd w:val="clear" w:color="auto" w:fill="A6A6A6"/>
            <w:noWrap/>
            <w:vAlign w:val="center"/>
          </w:tcPr>
          <w:p w:rsidR="005F49BD" w:rsidRPr="004D451D" w:rsidRDefault="005F49BD" w:rsidP="00220F43">
            <w:pPr>
              <w:widowControl/>
              <w:jc w:val="center"/>
              <w:rPr>
                <w:rFonts w:eastAsia="標楷體"/>
                <w:kern w:val="0"/>
              </w:rPr>
            </w:pPr>
          </w:p>
        </w:tc>
      </w:tr>
      <w:tr w:rsidR="004D451D" w:rsidRPr="004D451D" w:rsidTr="000C103E">
        <w:trPr>
          <w:trHeight w:hRule="exact" w:val="574"/>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1</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利率風險</w:t>
            </w:r>
            <w:r w:rsidRPr="004D451D">
              <w:rPr>
                <w:rFonts w:eastAsia="標楷體"/>
                <w:kern w:val="0"/>
              </w:rPr>
              <w:t>(</w:t>
            </w:r>
            <w:r w:rsidRPr="004D451D">
              <w:rPr>
                <w:rFonts w:eastAsia="標楷體"/>
                <w:kern w:val="0"/>
              </w:rPr>
              <w:t>一般及個別風險</w:t>
            </w:r>
            <w:r w:rsidRPr="004D451D">
              <w:rPr>
                <w:rFonts w:eastAsia="標楷體"/>
                <w:kern w:val="0"/>
              </w:rPr>
              <w:t>)</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r w:rsidRPr="004D451D">
              <w:t>11,665,955</w:t>
            </w:r>
          </w:p>
        </w:tc>
      </w:tr>
      <w:tr w:rsidR="004D451D" w:rsidRPr="004D451D" w:rsidTr="000C103E">
        <w:trPr>
          <w:trHeight w:hRule="exact" w:val="568"/>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2</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權益證券風險</w:t>
            </w:r>
            <w:r w:rsidRPr="004D451D">
              <w:rPr>
                <w:rFonts w:eastAsia="標楷體"/>
                <w:kern w:val="0"/>
              </w:rPr>
              <w:t>(</w:t>
            </w:r>
            <w:r w:rsidRPr="004D451D">
              <w:rPr>
                <w:rFonts w:eastAsia="標楷體"/>
                <w:kern w:val="0"/>
              </w:rPr>
              <w:t>一般及個別風險</w:t>
            </w:r>
            <w:r w:rsidRPr="004D451D">
              <w:rPr>
                <w:rFonts w:eastAsia="標楷體"/>
                <w:kern w:val="0"/>
              </w:rPr>
              <w:t>)</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r w:rsidRPr="004D451D">
              <w:t>10,530,684</w:t>
            </w:r>
          </w:p>
        </w:tc>
      </w:tr>
      <w:tr w:rsidR="004D451D" w:rsidRPr="004D451D" w:rsidTr="000C103E">
        <w:trPr>
          <w:trHeight w:hRule="exact" w:val="562"/>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3</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匯率風險</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r w:rsidRPr="004D451D">
              <w:t>1,501,099</w:t>
            </w:r>
          </w:p>
        </w:tc>
      </w:tr>
      <w:tr w:rsidR="004D451D" w:rsidRPr="004D451D" w:rsidTr="000C103E">
        <w:trPr>
          <w:trHeight w:hRule="exact" w:val="570"/>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4</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商品風險</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p>
        </w:tc>
      </w:tr>
      <w:tr w:rsidR="004D451D" w:rsidRPr="004D451D" w:rsidTr="000C103E">
        <w:trPr>
          <w:trHeight w:hRule="exact" w:val="564"/>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610923">
            <w:pPr>
              <w:widowControl/>
              <w:rPr>
                <w:rFonts w:eastAsia="標楷體"/>
                <w:kern w:val="0"/>
              </w:rPr>
            </w:pPr>
            <w:r w:rsidRPr="004D451D">
              <w:rPr>
                <w:rFonts w:eastAsia="標楷體"/>
                <w:kern w:val="0"/>
              </w:rPr>
              <w:t>選擇權</w:t>
            </w:r>
          </w:p>
        </w:tc>
        <w:tc>
          <w:tcPr>
            <w:tcW w:w="4515" w:type="dxa"/>
            <w:tcBorders>
              <w:top w:val="single" w:sz="4" w:space="0" w:color="auto"/>
              <w:left w:val="nil"/>
              <w:bottom w:val="single" w:sz="4" w:space="0" w:color="auto"/>
              <w:right w:val="single" w:sz="4" w:space="0" w:color="auto"/>
            </w:tcBorders>
            <w:shd w:val="clear" w:color="auto" w:fill="A6A6A6"/>
            <w:noWrap/>
            <w:vAlign w:val="center"/>
          </w:tcPr>
          <w:p w:rsidR="000C103E" w:rsidRPr="004D451D" w:rsidRDefault="000C103E" w:rsidP="000C103E">
            <w:pPr>
              <w:jc w:val="center"/>
            </w:pPr>
          </w:p>
        </w:tc>
      </w:tr>
      <w:tr w:rsidR="004D451D" w:rsidRPr="004D451D" w:rsidTr="000C103E">
        <w:trPr>
          <w:trHeight w:hRule="exact" w:val="572"/>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5</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簡易法</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p>
        </w:tc>
      </w:tr>
      <w:tr w:rsidR="004D451D" w:rsidRPr="004D451D" w:rsidTr="000C103E">
        <w:trPr>
          <w:trHeight w:hRule="exact" w:val="566"/>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6</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敏感性分析法</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p>
        </w:tc>
      </w:tr>
      <w:tr w:rsidR="004D451D" w:rsidRPr="004D451D" w:rsidTr="000C103E">
        <w:trPr>
          <w:trHeight w:hRule="exact" w:val="560"/>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7</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56733">
            <w:pPr>
              <w:widowControl/>
              <w:ind w:leftChars="100" w:left="240"/>
              <w:rPr>
                <w:rFonts w:eastAsia="標楷體"/>
                <w:kern w:val="0"/>
              </w:rPr>
            </w:pPr>
            <w:r w:rsidRPr="004D451D">
              <w:rPr>
                <w:rFonts w:eastAsia="標楷體"/>
                <w:kern w:val="0"/>
              </w:rPr>
              <w:t>情境分析法</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p>
        </w:tc>
      </w:tr>
      <w:tr w:rsidR="004D451D" w:rsidRPr="004D451D" w:rsidTr="000C103E">
        <w:trPr>
          <w:trHeight w:hRule="exact" w:val="568"/>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8</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20F43">
            <w:pPr>
              <w:widowControl/>
              <w:rPr>
                <w:rFonts w:eastAsia="標楷體"/>
                <w:kern w:val="0"/>
              </w:rPr>
            </w:pPr>
            <w:r w:rsidRPr="004D451D">
              <w:rPr>
                <w:rFonts w:eastAsia="標楷體"/>
                <w:kern w:val="0"/>
              </w:rPr>
              <w:t>證券化商品</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p>
        </w:tc>
      </w:tr>
      <w:tr w:rsidR="004D451D" w:rsidRPr="004D451D" w:rsidTr="000C103E">
        <w:trPr>
          <w:trHeight w:hRule="exact" w:val="576"/>
        </w:trPr>
        <w:tc>
          <w:tcPr>
            <w:tcW w:w="724" w:type="dxa"/>
            <w:tcBorders>
              <w:top w:val="nil"/>
              <w:left w:val="single" w:sz="4" w:space="0" w:color="auto"/>
              <w:bottom w:val="single" w:sz="4" w:space="0" w:color="auto"/>
              <w:right w:val="single" w:sz="4" w:space="0" w:color="auto"/>
            </w:tcBorders>
            <w:noWrap/>
            <w:vAlign w:val="center"/>
          </w:tcPr>
          <w:p w:rsidR="000C103E" w:rsidRPr="004D451D" w:rsidRDefault="000C103E" w:rsidP="00220F43">
            <w:pPr>
              <w:widowControl/>
              <w:jc w:val="center"/>
              <w:rPr>
                <w:rFonts w:eastAsia="標楷體"/>
                <w:kern w:val="0"/>
              </w:rPr>
            </w:pPr>
            <w:r w:rsidRPr="004D451D">
              <w:rPr>
                <w:rFonts w:eastAsia="標楷體"/>
                <w:kern w:val="0"/>
              </w:rPr>
              <w:t>9</w:t>
            </w:r>
          </w:p>
        </w:tc>
        <w:tc>
          <w:tcPr>
            <w:tcW w:w="4111" w:type="dxa"/>
            <w:tcBorders>
              <w:top w:val="single" w:sz="4" w:space="0" w:color="auto"/>
              <w:left w:val="nil"/>
              <w:bottom w:val="single" w:sz="4" w:space="0" w:color="auto"/>
              <w:right w:val="single" w:sz="4" w:space="0" w:color="000000"/>
            </w:tcBorders>
            <w:noWrap/>
            <w:vAlign w:val="center"/>
          </w:tcPr>
          <w:p w:rsidR="000C103E" w:rsidRPr="004D451D" w:rsidRDefault="000C103E" w:rsidP="00220F43">
            <w:pPr>
              <w:widowControl/>
              <w:rPr>
                <w:rFonts w:eastAsia="標楷體"/>
                <w:kern w:val="0"/>
              </w:rPr>
            </w:pPr>
            <w:r w:rsidRPr="004D451D">
              <w:rPr>
                <w:rFonts w:eastAsia="標楷體"/>
                <w:kern w:val="0"/>
              </w:rPr>
              <w:t>總計</w:t>
            </w:r>
          </w:p>
        </w:tc>
        <w:tc>
          <w:tcPr>
            <w:tcW w:w="4515" w:type="dxa"/>
            <w:tcBorders>
              <w:top w:val="single" w:sz="4" w:space="0" w:color="auto"/>
              <w:left w:val="nil"/>
              <w:bottom w:val="single" w:sz="4" w:space="0" w:color="auto"/>
              <w:right w:val="single" w:sz="4" w:space="0" w:color="auto"/>
            </w:tcBorders>
            <w:noWrap/>
            <w:vAlign w:val="center"/>
          </w:tcPr>
          <w:p w:rsidR="000C103E" w:rsidRPr="004D451D" w:rsidRDefault="000C103E" w:rsidP="000C103E">
            <w:pPr>
              <w:jc w:val="center"/>
            </w:pPr>
            <w:r w:rsidRPr="004D451D">
              <w:t>23,697,738</w:t>
            </w:r>
          </w:p>
        </w:tc>
      </w:tr>
      <w:tr w:rsidR="00BF3B7A" w:rsidRPr="004D451D" w:rsidTr="00220F43">
        <w:trPr>
          <w:trHeight w:val="611"/>
        </w:trPr>
        <w:tc>
          <w:tcPr>
            <w:tcW w:w="9350" w:type="dxa"/>
            <w:gridSpan w:val="3"/>
            <w:tcBorders>
              <w:top w:val="nil"/>
              <w:left w:val="single" w:sz="4" w:space="0" w:color="auto"/>
              <w:bottom w:val="single" w:sz="4" w:space="0" w:color="auto"/>
              <w:right w:val="single" w:sz="4" w:space="0" w:color="auto"/>
            </w:tcBorders>
            <w:noWrap/>
            <w:vAlign w:val="center"/>
          </w:tcPr>
          <w:p w:rsidR="00BF3B7A" w:rsidRPr="004D451D" w:rsidRDefault="00BF3B7A" w:rsidP="00220F43">
            <w:pPr>
              <w:widowControl/>
              <w:rPr>
                <w:rFonts w:eastAsia="標楷體"/>
                <w:kern w:val="0"/>
              </w:rPr>
            </w:pPr>
            <w:r w:rsidRPr="004D451D">
              <w:rPr>
                <w:rFonts w:eastAsia="標楷體"/>
              </w:rPr>
              <w:t>重大變動原因及說明</w:t>
            </w:r>
            <w:r w:rsidR="00256733" w:rsidRPr="004D451D">
              <w:rPr>
                <w:rFonts w:eastAsia="標楷體" w:hint="eastAsia"/>
              </w:rPr>
              <w:t>：</w:t>
            </w:r>
          </w:p>
        </w:tc>
      </w:tr>
    </w:tbl>
    <w:p w:rsidR="00256733" w:rsidRPr="004D451D" w:rsidRDefault="00256733" w:rsidP="00256733">
      <w:pPr>
        <w:spacing w:line="240" w:lineRule="atLeast"/>
        <w:rPr>
          <w:rFonts w:eastAsia="標楷體"/>
          <w:b/>
        </w:rPr>
      </w:pPr>
    </w:p>
    <w:p w:rsidR="00BF3B7A" w:rsidRPr="004D451D" w:rsidRDefault="00BF3B7A" w:rsidP="00256733">
      <w:pPr>
        <w:spacing w:line="240" w:lineRule="atLeast"/>
        <w:rPr>
          <w:rFonts w:eastAsia="標楷體"/>
          <w:b/>
        </w:rPr>
      </w:pPr>
      <w:r w:rsidRPr="004D451D">
        <w:rPr>
          <w:rFonts w:eastAsia="標楷體"/>
          <w:b/>
        </w:rPr>
        <w:t>填表說明：</w:t>
      </w:r>
    </w:p>
    <w:p w:rsidR="00BF3B7A" w:rsidRPr="004D451D" w:rsidRDefault="00BF3B7A" w:rsidP="00EF4134">
      <w:pPr>
        <w:numPr>
          <w:ilvl w:val="0"/>
          <w:numId w:val="10"/>
        </w:numPr>
        <w:spacing w:line="240" w:lineRule="atLeast"/>
        <w:ind w:leftChars="150" w:left="720" w:hangingChars="150"/>
        <w:jc w:val="both"/>
        <w:rPr>
          <w:rFonts w:eastAsia="標楷體"/>
        </w:rPr>
      </w:pPr>
      <w:r w:rsidRPr="004D451D">
        <w:rPr>
          <w:rFonts w:eastAsia="標楷體"/>
        </w:rPr>
        <w:t>本表更新頻率：半年。</w:t>
      </w:r>
    </w:p>
    <w:p w:rsidR="00BF3B7A" w:rsidRPr="004D451D" w:rsidRDefault="00BF3B7A" w:rsidP="00EF4134">
      <w:pPr>
        <w:numPr>
          <w:ilvl w:val="0"/>
          <w:numId w:val="10"/>
        </w:numPr>
        <w:spacing w:line="240" w:lineRule="atLeast"/>
        <w:ind w:leftChars="150" w:left="720" w:hangingChars="150"/>
        <w:jc w:val="both"/>
        <w:rPr>
          <w:rFonts w:eastAsia="標楷體"/>
        </w:rPr>
      </w:pPr>
      <w:r w:rsidRPr="004D451D">
        <w:rPr>
          <w:rFonts w:eastAsia="標楷體"/>
        </w:rPr>
        <w:t>本表採個體基礎填報。</w:t>
      </w:r>
    </w:p>
    <w:p w:rsidR="00BF3B7A" w:rsidRPr="004D451D" w:rsidRDefault="00BF3B7A" w:rsidP="00EF4134">
      <w:pPr>
        <w:numPr>
          <w:ilvl w:val="0"/>
          <w:numId w:val="10"/>
        </w:numPr>
        <w:spacing w:line="240" w:lineRule="atLeast"/>
        <w:ind w:leftChars="150" w:left="720" w:hangingChars="150"/>
        <w:jc w:val="both"/>
        <w:rPr>
          <w:rFonts w:eastAsia="標楷體"/>
        </w:rPr>
      </w:pPr>
      <w:r w:rsidRPr="004D451D">
        <w:rPr>
          <w:rFonts w:eastAsia="標楷體"/>
        </w:rPr>
        <w:t>銀行須以應計提資本乘以</w:t>
      </w:r>
      <w:r w:rsidRPr="004D451D">
        <w:rPr>
          <w:rFonts w:eastAsia="標楷體"/>
        </w:rPr>
        <w:t>12.5</w:t>
      </w:r>
      <w:r w:rsidRPr="004D451D">
        <w:rPr>
          <w:rFonts w:eastAsia="標楷體"/>
        </w:rPr>
        <w:t>倍，得出市場風險風險性資產。</w:t>
      </w:r>
    </w:p>
    <w:p w:rsidR="001608C1" w:rsidRPr="004D451D" w:rsidRDefault="001608C1" w:rsidP="00EF4134">
      <w:pPr>
        <w:numPr>
          <w:ilvl w:val="0"/>
          <w:numId w:val="10"/>
        </w:numPr>
        <w:spacing w:line="240" w:lineRule="atLeast"/>
        <w:ind w:leftChars="150" w:left="720" w:hangingChars="150"/>
        <w:jc w:val="both"/>
        <w:rPr>
          <w:rFonts w:eastAsia="標楷體"/>
        </w:rPr>
      </w:pPr>
      <w:r w:rsidRPr="004D451D">
        <w:rPr>
          <w:rFonts w:eastAsia="標楷體" w:hint="eastAsia"/>
        </w:rPr>
        <w:t>選擇權若採用</w:t>
      </w:r>
      <w:r w:rsidRPr="004D451D">
        <w:rPr>
          <w:rFonts w:eastAsia="標楷體" w:hint="eastAsia"/>
        </w:rPr>
        <w:t>delta-plus</w:t>
      </w:r>
      <w:r w:rsidRPr="004D451D">
        <w:rPr>
          <w:rFonts w:eastAsia="標楷體" w:hint="eastAsia"/>
        </w:rPr>
        <w:t>法，</w:t>
      </w:r>
      <w:r w:rsidRPr="004D451D">
        <w:rPr>
          <w:rFonts w:eastAsia="標楷體" w:hint="eastAsia"/>
        </w:rPr>
        <w:t>delta</w:t>
      </w:r>
      <w:r w:rsidRPr="004D451D">
        <w:rPr>
          <w:rFonts w:eastAsia="標楷體" w:hint="eastAsia"/>
        </w:rPr>
        <w:t>部位應併入各風險計算，選擇權部分僅填寫</w:t>
      </w:r>
      <w:r w:rsidRPr="004D451D">
        <w:rPr>
          <w:rFonts w:eastAsia="標楷體" w:hint="eastAsia"/>
        </w:rPr>
        <w:t>Gamma</w:t>
      </w:r>
      <w:r w:rsidRPr="004D451D">
        <w:rPr>
          <w:rFonts w:eastAsia="標楷體" w:hint="eastAsia"/>
        </w:rPr>
        <w:t>及</w:t>
      </w:r>
      <w:r w:rsidRPr="004D451D">
        <w:rPr>
          <w:rFonts w:eastAsia="標楷體" w:hint="eastAsia"/>
        </w:rPr>
        <w:t>Vega</w:t>
      </w:r>
      <w:r w:rsidRPr="004D451D">
        <w:rPr>
          <w:rFonts w:eastAsia="標楷體" w:hint="eastAsia"/>
        </w:rPr>
        <w:t>之應計提資本</w:t>
      </w:r>
      <w:r w:rsidRPr="004D451D">
        <w:rPr>
          <w:rFonts w:eastAsia="標楷體" w:hint="eastAsia"/>
        </w:rPr>
        <w:t>(</w:t>
      </w:r>
      <w:r w:rsidRPr="004D451D">
        <w:rPr>
          <w:rFonts w:eastAsia="標楷體" w:hint="eastAsia"/>
        </w:rPr>
        <w:t>需轉化為風險性資產</w:t>
      </w:r>
      <w:r w:rsidRPr="004D451D">
        <w:rPr>
          <w:rFonts w:eastAsia="標楷體" w:hint="eastAsia"/>
        </w:rPr>
        <w:t>)</w:t>
      </w:r>
      <w:r w:rsidRPr="004D451D">
        <w:rPr>
          <w:rFonts w:eastAsia="標楷體" w:hint="eastAsia"/>
        </w:rPr>
        <w:t>。</w:t>
      </w:r>
    </w:p>
    <w:p w:rsidR="001608C1" w:rsidRPr="004D451D" w:rsidRDefault="001608C1" w:rsidP="00EF4134">
      <w:pPr>
        <w:numPr>
          <w:ilvl w:val="0"/>
          <w:numId w:val="10"/>
        </w:numPr>
        <w:spacing w:line="240" w:lineRule="atLeast"/>
        <w:ind w:leftChars="150" w:left="720" w:hangingChars="150"/>
        <w:jc w:val="both"/>
        <w:rPr>
          <w:rFonts w:eastAsia="標楷體"/>
        </w:rPr>
      </w:pPr>
      <w:r w:rsidRPr="004D451D">
        <w:rPr>
          <w:rFonts w:eastAsia="標楷體" w:hint="eastAsia"/>
        </w:rPr>
        <w:t>證券化商品之一般市場風險仍併入利率風險計算，</w:t>
      </w:r>
      <w:r w:rsidRPr="004D451D">
        <w:rPr>
          <w:rFonts w:eastAsia="標楷體" w:hint="eastAsia"/>
        </w:rPr>
        <w:t>8A</w:t>
      </w:r>
      <w:r w:rsidRPr="004D451D">
        <w:rPr>
          <w:rFonts w:eastAsia="標楷體" w:hint="eastAsia"/>
        </w:rPr>
        <w:t>僅填寫個別風險之資本計提</w:t>
      </w:r>
      <w:r w:rsidRPr="004D451D">
        <w:rPr>
          <w:rFonts w:eastAsia="標楷體" w:hint="eastAsia"/>
        </w:rPr>
        <w:t>(</w:t>
      </w:r>
      <w:r w:rsidRPr="004D451D">
        <w:rPr>
          <w:rFonts w:eastAsia="標楷體" w:hint="eastAsia"/>
        </w:rPr>
        <w:t>需轉換為風險性資產</w:t>
      </w:r>
      <w:r w:rsidRPr="004D451D">
        <w:rPr>
          <w:rFonts w:eastAsia="標楷體" w:hint="eastAsia"/>
        </w:rPr>
        <w:t>)</w:t>
      </w:r>
      <w:r w:rsidRPr="004D451D">
        <w:rPr>
          <w:rFonts w:eastAsia="標楷體" w:hint="eastAsia"/>
        </w:rPr>
        <w:t>。</w:t>
      </w:r>
    </w:p>
    <w:p w:rsidR="00D26406" w:rsidRPr="004D451D" w:rsidRDefault="00D26406" w:rsidP="00477B09">
      <w:pPr>
        <w:spacing w:before="240" w:line="360" w:lineRule="auto"/>
        <w:rPr>
          <w:rFonts w:eastAsia="標楷體"/>
          <w:b/>
        </w:rPr>
      </w:pPr>
      <w:r w:rsidRPr="004D451D">
        <w:rPr>
          <w:rFonts w:eastAsia="標楷體"/>
          <w:b/>
        </w:rPr>
        <w:t>本表檢核條件：</w:t>
      </w:r>
    </w:p>
    <w:p w:rsidR="00826390" w:rsidRPr="004D451D" w:rsidRDefault="00546C90" w:rsidP="00EF4134">
      <w:pPr>
        <w:numPr>
          <w:ilvl w:val="0"/>
          <w:numId w:val="70"/>
        </w:numPr>
        <w:ind w:leftChars="150" w:left="720" w:hangingChars="150"/>
        <w:rPr>
          <w:rFonts w:eastAsia="標楷體"/>
        </w:rPr>
      </w:pPr>
      <w:r w:rsidRPr="004D451D">
        <w:rPr>
          <w:rFonts w:eastAsia="標楷體"/>
        </w:rPr>
        <w:t>【附表</w:t>
      </w:r>
      <w:r w:rsidR="000176B7" w:rsidRPr="004D451D">
        <w:rPr>
          <w:rFonts w:eastAsia="標楷體" w:hint="eastAsia"/>
        </w:rPr>
        <w:t>四十</w:t>
      </w:r>
      <w:r w:rsidRPr="004D451D">
        <w:rPr>
          <w:rFonts w:eastAsia="標楷體"/>
        </w:rPr>
        <w:t>】</w:t>
      </w:r>
      <w:r w:rsidRPr="004D451D">
        <w:rPr>
          <w:rFonts w:eastAsia="標楷體"/>
        </w:rPr>
        <w:t>9A=</w:t>
      </w:r>
      <w:r w:rsidRPr="004D451D">
        <w:rPr>
          <w:rFonts w:eastAsia="標楷體"/>
        </w:rPr>
        <w:t>【附表</w:t>
      </w:r>
      <w:r w:rsidR="000176B7" w:rsidRPr="004D451D">
        <w:rPr>
          <w:rFonts w:eastAsia="標楷體" w:hint="eastAsia"/>
        </w:rPr>
        <w:t>四十</w:t>
      </w:r>
      <w:r w:rsidRPr="004D451D">
        <w:rPr>
          <w:rFonts w:eastAsia="標楷體"/>
        </w:rPr>
        <w:t>】</w:t>
      </w:r>
      <w:r w:rsidRPr="004D451D">
        <w:rPr>
          <w:rFonts w:eastAsia="標楷體"/>
        </w:rPr>
        <w:t>(1+2+3+4+5+6+7+8)A</w:t>
      </w:r>
    </w:p>
    <w:p w:rsidR="00826390" w:rsidRPr="004D451D" w:rsidRDefault="00826390" w:rsidP="00477B09">
      <w:pPr>
        <w:rPr>
          <w:rFonts w:eastAsia="標楷體"/>
          <w:sz w:val="32"/>
          <w:szCs w:val="32"/>
        </w:rPr>
        <w:sectPr w:rsidR="00826390" w:rsidRPr="004D451D" w:rsidSect="00EF42CC">
          <w:pgSz w:w="11906" w:h="16838" w:code="9"/>
          <w:pgMar w:top="1079" w:right="991" w:bottom="1440" w:left="1440" w:header="851" w:footer="352" w:gutter="0"/>
          <w:cols w:space="425"/>
          <w:docGrid w:type="lines" w:linePitch="360"/>
        </w:sectPr>
      </w:pPr>
    </w:p>
    <w:p w:rsidR="00BF3B7A" w:rsidRPr="004D451D" w:rsidRDefault="00BF3B7A" w:rsidP="00BF3B7A">
      <w:pPr>
        <w:rPr>
          <w:rFonts w:eastAsia="標楷體"/>
          <w:sz w:val="32"/>
          <w:szCs w:val="32"/>
        </w:rPr>
      </w:pPr>
      <w:r w:rsidRPr="004D451D">
        <w:rPr>
          <w:rFonts w:eastAsia="標楷體"/>
          <w:b/>
          <w:sz w:val="32"/>
          <w:szCs w:val="32"/>
        </w:rPr>
        <w:t>【附表四十</w:t>
      </w:r>
      <w:r w:rsidR="000176B7" w:rsidRPr="004D451D">
        <w:rPr>
          <w:rFonts w:eastAsia="標楷體" w:hint="eastAsia"/>
          <w:b/>
          <w:sz w:val="32"/>
          <w:szCs w:val="32"/>
        </w:rPr>
        <w:t>一</w:t>
      </w:r>
      <w:r w:rsidRPr="004D451D">
        <w:rPr>
          <w:rFonts w:eastAsia="標楷體"/>
          <w:b/>
          <w:sz w:val="32"/>
          <w:szCs w:val="32"/>
        </w:rPr>
        <w:t>】</w:t>
      </w:r>
    </w:p>
    <w:p w:rsidR="00BF3B7A" w:rsidRPr="004D451D" w:rsidRDefault="00D36684" w:rsidP="00BF3B7A">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b/>
          <w:szCs w:val="32"/>
        </w:rPr>
        <w:t>市場風險風險性資產變動</w:t>
      </w:r>
      <w:r w:rsidR="00BF3B7A" w:rsidRPr="004D451D">
        <w:rPr>
          <w:rFonts w:ascii="Times New Roman" w:hAnsi="Times New Roman"/>
          <w:b/>
          <w:szCs w:val="32"/>
        </w:rPr>
        <w:t>表</w:t>
      </w:r>
      <w:r w:rsidR="00F3145A" w:rsidRPr="004D451D">
        <w:rPr>
          <w:rFonts w:hint="eastAsia"/>
          <w:b/>
        </w:rPr>
        <w:t>─</w:t>
      </w:r>
      <w:r w:rsidR="00F3145A" w:rsidRPr="004D451D">
        <w:rPr>
          <w:rFonts w:ascii="Times New Roman" w:hAnsi="Times New Roman"/>
          <w:b/>
          <w:szCs w:val="32"/>
        </w:rPr>
        <w:t>內部模型法</w:t>
      </w:r>
      <w:r w:rsidR="00F3145A" w:rsidRPr="004D451D">
        <w:rPr>
          <w:rFonts w:ascii="Times New Roman" w:hAnsi="Times New Roman"/>
          <w:b/>
          <w:szCs w:val="32"/>
        </w:rPr>
        <w:t>(IMA)</w:t>
      </w:r>
      <w:r w:rsidR="00A450F7" w:rsidRPr="004D451D">
        <w:rPr>
          <w:rFonts w:ascii="Times New Roman" w:hAnsi="Times New Roman" w:hint="eastAsia"/>
          <w:b/>
          <w:szCs w:val="32"/>
        </w:rPr>
        <w:t xml:space="preserve"> -</w:t>
      </w:r>
      <w:r w:rsidR="00A450F7" w:rsidRPr="004D451D">
        <w:rPr>
          <w:rFonts w:hint="eastAsia"/>
          <w:b/>
          <w:bCs/>
          <w:szCs w:val="32"/>
        </w:rPr>
        <w:t>不適用</w:t>
      </w:r>
    </w:p>
    <w:p w:rsidR="00BF3B7A" w:rsidRPr="004D451D" w:rsidRDefault="00A450F7" w:rsidP="00FA3C4A">
      <w:pPr>
        <w:pStyle w:val="ad"/>
        <w:wordWrap w:val="0"/>
        <w:spacing w:before="120" w:after="120" w:line="240" w:lineRule="auto"/>
        <w:ind w:left="3360" w:right="-54" w:firstLine="480"/>
        <w:jc w:val="right"/>
        <w:rPr>
          <w:rFonts w:ascii="Times New Roman" w:hAnsi="Times New Roman"/>
          <w:szCs w:val="32"/>
        </w:rPr>
      </w:pPr>
      <w:r w:rsidRPr="004D451D">
        <w:rPr>
          <w:rFonts w:ascii="Times New Roman" w:hAnsi="Times New Roman" w:hint="eastAsia"/>
          <w:szCs w:val="32"/>
        </w:rPr>
        <w:t>10</w:t>
      </w:r>
      <w:r w:rsidR="00A837D8" w:rsidRPr="004D451D">
        <w:rPr>
          <w:rFonts w:ascii="Times New Roman" w:hAnsi="Times New Roman" w:hint="eastAsia"/>
          <w:szCs w:val="32"/>
        </w:rPr>
        <w:t>7</w:t>
      </w:r>
      <w:r w:rsidR="00BF3B7A" w:rsidRPr="004D451D">
        <w:rPr>
          <w:rFonts w:ascii="Times New Roman" w:hAnsi="Times New Roman"/>
          <w:szCs w:val="32"/>
        </w:rPr>
        <w:t>年</w:t>
      </w:r>
      <w:r w:rsidR="00A837D8" w:rsidRPr="004D451D">
        <w:rPr>
          <w:rFonts w:ascii="Times New Roman" w:hAnsi="Times New Roman" w:hint="eastAsia"/>
          <w:szCs w:val="32"/>
        </w:rPr>
        <w:t>06</w:t>
      </w:r>
      <w:r w:rsidR="00BF3B7A" w:rsidRPr="004D451D">
        <w:rPr>
          <w:rFonts w:ascii="Times New Roman" w:hAnsi="Times New Roman"/>
          <w:szCs w:val="32"/>
        </w:rPr>
        <w:t>月</w:t>
      </w:r>
      <w:r w:rsidRPr="004D451D">
        <w:rPr>
          <w:rFonts w:ascii="Times New Roman" w:hAnsi="Times New Roman" w:hint="eastAsia"/>
          <w:szCs w:val="32"/>
        </w:rPr>
        <w:t>3</w:t>
      </w:r>
      <w:r w:rsidR="00A837D8" w:rsidRPr="004D451D">
        <w:rPr>
          <w:rFonts w:ascii="Times New Roman" w:hAnsi="Times New Roman" w:hint="eastAsia"/>
          <w:szCs w:val="32"/>
        </w:rPr>
        <w:t>0</w:t>
      </w:r>
      <w:r w:rsidR="00BF3B7A" w:rsidRPr="004D451D">
        <w:rPr>
          <w:rFonts w:ascii="Times New Roman" w:hAnsi="Times New Roman"/>
          <w:szCs w:val="32"/>
        </w:rPr>
        <w:t>日</w:t>
      </w:r>
      <w:r w:rsidR="00FA3C4A" w:rsidRPr="004D451D">
        <w:rPr>
          <w:rFonts w:ascii="Times New Roman" w:hAnsi="Times New Roman" w:hint="eastAsia"/>
          <w:szCs w:val="32"/>
        </w:rPr>
        <w:t xml:space="preserve">　　　　　　　　　　　　</w:t>
      </w:r>
      <w:r w:rsidR="00D82B93" w:rsidRPr="004D451D">
        <w:rPr>
          <w:rFonts w:ascii="Times New Roman" w:hAnsi="Times New Roman" w:hint="eastAsia"/>
          <w:sz w:val="24"/>
          <w:szCs w:val="32"/>
        </w:rPr>
        <w:t>（</w:t>
      </w:r>
      <w:r w:rsidR="00BF3B7A" w:rsidRPr="004D451D">
        <w:rPr>
          <w:rFonts w:ascii="Times New Roman" w:hAnsi="Times New Roman"/>
          <w:sz w:val="24"/>
        </w:rPr>
        <w:t>單位</w:t>
      </w:r>
      <w:r w:rsidR="00FA3C4A" w:rsidRPr="004D451D">
        <w:rPr>
          <w:rFonts w:ascii="Times New Roman" w:hAnsi="Times New Roman" w:hint="eastAsia"/>
          <w:sz w:val="24"/>
        </w:rPr>
        <w:t>：</w:t>
      </w:r>
      <w:r w:rsidR="00BF3B7A" w:rsidRPr="004D451D">
        <w:rPr>
          <w:rFonts w:ascii="Times New Roman" w:hAnsi="Times New Roman"/>
          <w:sz w:val="24"/>
        </w:rPr>
        <w:t>新臺幣千元</w:t>
      </w:r>
      <w:r w:rsidR="00D82B93" w:rsidRPr="004D451D">
        <w:rPr>
          <w:rFonts w:ascii="Times New Roman" w:hAnsi="Times New Roman" w:hint="eastAsia"/>
          <w:sz w:val="24"/>
        </w:rPr>
        <w:t>）</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2409"/>
        <w:gridCol w:w="961"/>
        <w:gridCol w:w="961"/>
        <w:gridCol w:w="961"/>
        <w:gridCol w:w="961"/>
        <w:gridCol w:w="961"/>
        <w:gridCol w:w="961"/>
        <w:gridCol w:w="961"/>
        <w:gridCol w:w="961"/>
        <w:gridCol w:w="961"/>
        <w:gridCol w:w="961"/>
        <w:gridCol w:w="961"/>
        <w:gridCol w:w="962"/>
      </w:tblGrid>
      <w:tr w:rsidR="004D451D" w:rsidRPr="004D451D" w:rsidTr="00FA3C4A">
        <w:trPr>
          <w:trHeight w:val="484"/>
          <w:jc w:val="center"/>
        </w:trPr>
        <w:tc>
          <w:tcPr>
            <w:tcW w:w="2885" w:type="dxa"/>
            <w:gridSpan w:val="2"/>
            <w:vMerge w:val="restart"/>
            <w:tcBorders>
              <w:left w:val="single" w:sz="4" w:space="0" w:color="auto"/>
            </w:tcBorders>
            <w:vAlign w:val="center"/>
          </w:tcPr>
          <w:p w:rsidR="008F173F" w:rsidRPr="004D451D" w:rsidRDefault="00826390" w:rsidP="00826390">
            <w:pPr>
              <w:jc w:val="center"/>
              <w:rPr>
                <w:rFonts w:eastAsia="標楷體"/>
              </w:rPr>
            </w:pPr>
            <w:r w:rsidRPr="004D451D">
              <w:rPr>
                <w:rFonts w:eastAsia="標楷體" w:hint="eastAsia"/>
              </w:rPr>
              <w:t>項目</w:t>
            </w:r>
          </w:p>
        </w:tc>
        <w:tc>
          <w:tcPr>
            <w:tcW w:w="5766" w:type="dxa"/>
            <w:gridSpan w:val="6"/>
            <w:shd w:val="clear" w:color="auto" w:fill="auto"/>
          </w:tcPr>
          <w:p w:rsidR="008F173F" w:rsidRPr="004D451D" w:rsidRDefault="008F173F" w:rsidP="00220F43">
            <w:pPr>
              <w:jc w:val="center"/>
              <w:rPr>
                <w:rFonts w:eastAsia="標楷體"/>
              </w:rPr>
            </w:pPr>
            <w:r w:rsidRPr="004D451D">
              <w:rPr>
                <w:rFonts w:eastAsia="標楷體"/>
              </w:rPr>
              <w:t>本季</w:t>
            </w:r>
          </w:p>
        </w:tc>
        <w:tc>
          <w:tcPr>
            <w:tcW w:w="5767" w:type="dxa"/>
            <w:gridSpan w:val="6"/>
            <w:shd w:val="clear" w:color="auto" w:fill="auto"/>
          </w:tcPr>
          <w:p w:rsidR="008F173F" w:rsidRPr="004D451D" w:rsidRDefault="008F173F" w:rsidP="00220F43">
            <w:pPr>
              <w:jc w:val="center"/>
              <w:rPr>
                <w:rFonts w:eastAsia="標楷體"/>
              </w:rPr>
            </w:pPr>
            <w:r w:rsidRPr="004D451D">
              <w:rPr>
                <w:rFonts w:eastAsia="標楷體"/>
              </w:rPr>
              <w:t>前一季</w:t>
            </w:r>
          </w:p>
        </w:tc>
      </w:tr>
      <w:tr w:rsidR="004D451D" w:rsidRPr="004D451D" w:rsidTr="00FA3C4A">
        <w:trPr>
          <w:trHeight w:val="1413"/>
          <w:jc w:val="center"/>
        </w:trPr>
        <w:tc>
          <w:tcPr>
            <w:tcW w:w="2885" w:type="dxa"/>
            <w:gridSpan w:val="2"/>
            <w:vMerge/>
            <w:tcBorders>
              <w:left w:val="single" w:sz="4" w:space="0" w:color="auto"/>
              <w:bottom w:val="single" w:sz="4" w:space="0" w:color="auto"/>
            </w:tcBorders>
          </w:tcPr>
          <w:p w:rsidR="008F173F" w:rsidRPr="004D451D" w:rsidRDefault="008F173F" w:rsidP="00220F43">
            <w:pPr>
              <w:rPr>
                <w:rFonts w:eastAsia="標楷體"/>
              </w:rPr>
            </w:pP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風險值</w:t>
            </w:r>
            <w:r w:rsidR="00826390" w:rsidRPr="004D451D">
              <w:rPr>
                <w:rFonts w:eastAsia="標楷體" w:hint="eastAsia"/>
              </w:rPr>
              <w:t>A</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壓力風險值</w:t>
            </w:r>
            <w:r w:rsidR="00826390" w:rsidRPr="004D451D">
              <w:rPr>
                <w:rFonts w:eastAsia="標楷體" w:hint="eastAsia"/>
              </w:rPr>
              <w:t>B</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增額風險計提</w:t>
            </w:r>
            <w:r w:rsidR="00826390" w:rsidRPr="004D451D">
              <w:rPr>
                <w:rFonts w:eastAsia="標楷體" w:hint="eastAsia"/>
              </w:rPr>
              <w:t>C</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全面性風險衡量</w:t>
            </w:r>
            <w:r w:rsidR="00826390" w:rsidRPr="004D451D">
              <w:rPr>
                <w:rFonts w:eastAsia="標楷體" w:hint="eastAsia"/>
              </w:rPr>
              <w:t>D</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其他</w:t>
            </w:r>
            <w:r w:rsidR="00826390" w:rsidRPr="004D451D">
              <w:rPr>
                <w:rFonts w:eastAsia="標楷體" w:hint="eastAsia"/>
              </w:rPr>
              <w:t>E</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風險性資產合計</w:t>
            </w:r>
            <w:r w:rsidR="00826390" w:rsidRPr="004D451D">
              <w:rPr>
                <w:rFonts w:eastAsia="標楷體" w:hint="eastAsia"/>
              </w:rPr>
              <w:t>F</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風險值</w:t>
            </w:r>
            <w:r w:rsidR="00826390" w:rsidRPr="004D451D">
              <w:rPr>
                <w:rFonts w:eastAsia="標楷體" w:hint="eastAsia"/>
              </w:rPr>
              <w:t>G</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壓力風險值</w:t>
            </w:r>
            <w:r w:rsidR="00826390" w:rsidRPr="004D451D">
              <w:rPr>
                <w:rFonts w:eastAsia="標楷體" w:hint="eastAsia"/>
              </w:rPr>
              <w:t>H</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增額風險計提</w:t>
            </w:r>
            <w:r w:rsidR="00826390" w:rsidRPr="004D451D">
              <w:rPr>
                <w:rFonts w:eastAsia="標楷體" w:hint="eastAsia"/>
              </w:rPr>
              <w:t>I</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全面性風險衡量</w:t>
            </w:r>
            <w:r w:rsidR="00826390" w:rsidRPr="004D451D">
              <w:rPr>
                <w:rFonts w:eastAsia="標楷體" w:hint="eastAsia"/>
              </w:rPr>
              <w:t>J</w:t>
            </w:r>
          </w:p>
        </w:tc>
        <w:tc>
          <w:tcPr>
            <w:tcW w:w="961"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其他</w:t>
            </w:r>
            <w:r w:rsidR="00826390" w:rsidRPr="004D451D">
              <w:rPr>
                <w:rFonts w:eastAsia="標楷體" w:hint="eastAsia"/>
              </w:rPr>
              <w:t>K</w:t>
            </w:r>
          </w:p>
        </w:tc>
        <w:tc>
          <w:tcPr>
            <w:tcW w:w="962" w:type="dxa"/>
            <w:tcBorders>
              <w:bottom w:val="single" w:sz="4" w:space="0" w:color="auto"/>
            </w:tcBorders>
            <w:shd w:val="clear" w:color="auto" w:fill="auto"/>
          </w:tcPr>
          <w:p w:rsidR="008F173F" w:rsidRPr="004D451D" w:rsidRDefault="008F173F" w:rsidP="00220F43">
            <w:pPr>
              <w:rPr>
                <w:rFonts w:eastAsia="標楷體"/>
              </w:rPr>
            </w:pPr>
            <w:r w:rsidRPr="004D451D">
              <w:rPr>
                <w:rFonts w:eastAsia="標楷體"/>
              </w:rPr>
              <w:t>風險性資產合計</w:t>
            </w:r>
            <w:r w:rsidR="00826390" w:rsidRPr="004D451D">
              <w:rPr>
                <w:rFonts w:eastAsia="標楷體" w:hint="eastAsia"/>
              </w:rPr>
              <w:t>L</w:t>
            </w: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1</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期初風險性資產</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2</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風險水準之變動</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3</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模型升級／變動</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4</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方法論及政策</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5</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取得及處分</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6</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匯率變動</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7</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其他</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FA3C4A">
        <w:trPr>
          <w:trHeight w:val="502"/>
          <w:jc w:val="center"/>
        </w:trPr>
        <w:tc>
          <w:tcPr>
            <w:tcW w:w="476" w:type="dxa"/>
            <w:vAlign w:val="center"/>
          </w:tcPr>
          <w:p w:rsidR="008F173F" w:rsidRPr="004D451D" w:rsidRDefault="008F173F" w:rsidP="00826390">
            <w:pPr>
              <w:jc w:val="center"/>
              <w:rPr>
                <w:rFonts w:eastAsia="標楷體"/>
              </w:rPr>
            </w:pPr>
            <w:r w:rsidRPr="004D451D">
              <w:rPr>
                <w:rFonts w:eastAsia="標楷體"/>
              </w:rPr>
              <w:t>8</w:t>
            </w:r>
          </w:p>
        </w:tc>
        <w:tc>
          <w:tcPr>
            <w:tcW w:w="2409" w:type="dxa"/>
            <w:shd w:val="clear" w:color="auto" w:fill="auto"/>
            <w:vAlign w:val="center"/>
          </w:tcPr>
          <w:p w:rsidR="008F173F" w:rsidRPr="004D451D" w:rsidRDefault="008F173F" w:rsidP="00826390">
            <w:pPr>
              <w:jc w:val="both"/>
              <w:rPr>
                <w:rFonts w:eastAsia="標楷體"/>
              </w:rPr>
            </w:pPr>
            <w:r w:rsidRPr="004D451D">
              <w:rPr>
                <w:rFonts w:eastAsia="標楷體"/>
              </w:rPr>
              <w:t>期末風險性資產</w:t>
            </w: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1" w:type="dxa"/>
            <w:shd w:val="clear" w:color="auto" w:fill="auto"/>
            <w:vAlign w:val="center"/>
          </w:tcPr>
          <w:p w:rsidR="008F173F" w:rsidRPr="004D451D" w:rsidRDefault="008F173F" w:rsidP="00826390">
            <w:pPr>
              <w:jc w:val="both"/>
              <w:rPr>
                <w:rFonts w:eastAsia="標楷體"/>
              </w:rPr>
            </w:pPr>
          </w:p>
        </w:tc>
        <w:tc>
          <w:tcPr>
            <w:tcW w:w="962" w:type="dxa"/>
            <w:shd w:val="clear" w:color="auto" w:fill="auto"/>
            <w:vAlign w:val="center"/>
          </w:tcPr>
          <w:p w:rsidR="008F173F" w:rsidRPr="004D451D" w:rsidRDefault="008F173F" w:rsidP="00826390">
            <w:pPr>
              <w:jc w:val="both"/>
              <w:rPr>
                <w:rFonts w:eastAsia="標楷體"/>
              </w:rPr>
            </w:pPr>
          </w:p>
        </w:tc>
      </w:tr>
      <w:tr w:rsidR="004D451D" w:rsidRPr="004D451D" w:rsidTr="00826390">
        <w:trPr>
          <w:trHeight w:val="848"/>
          <w:jc w:val="center"/>
        </w:trPr>
        <w:tc>
          <w:tcPr>
            <w:tcW w:w="14418" w:type="dxa"/>
            <w:gridSpan w:val="14"/>
          </w:tcPr>
          <w:p w:rsidR="008F173F" w:rsidRPr="004D451D" w:rsidRDefault="008F173F" w:rsidP="00220F43">
            <w:pPr>
              <w:spacing w:line="480" w:lineRule="auto"/>
              <w:rPr>
                <w:rFonts w:eastAsia="標楷體"/>
              </w:rPr>
            </w:pPr>
            <w:r w:rsidRPr="004D451D">
              <w:rPr>
                <w:rFonts w:eastAsia="標楷體"/>
              </w:rPr>
              <w:t>重大變動原因及說明</w:t>
            </w:r>
            <w:r w:rsidR="00826390" w:rsidRPr="004D451D">
              <w:rPr>
                <w:rFonts w:eastAsia="標楷體" w:hint="eastAsia"/>
              </w:rPr>
              <w:t>：</w:t>
            </w:r>
          </w:p>
        </w:tc>
      </w:tr>
    </w:tbl>
    <w:p w:rsidR="00BF3B7A" w:rsidRPr="004D451D" w:rsidRDefault="00BF3B7A" w:rsidP="00BF3B7A">
      <w:pPr>
        <w:rPr>
          <w:rFonts w:eastAsia="標楷體"/>
          <w:b/>
          <w:sz w:val="22"/>
          <w:szCs w:val="22"/>
        </w:rPr>
      </w:pPr>
    </w:p>
    <w:p w:rsidR="00BF3B7A" w:rsidRPr="004D451D" w:rsidRDefault="00BF3B7A" w:rsidP="00FA3C4A">
      <w:pPr>
        <w:spacing w:line="240" w:lineRule="atLeast"/>
        <w:rPr>
          <w:rFonts w:eastAsia="標楷體"/>
          <w:b/>
        </w:rPr>
      </w:pPr>
      <w:r w:rsidRPr="004D451D">
        <w:rPr>
          <w:rFonts w:eastAsia="標楷體"/>
          <w:b/>
        </w:rPr>
        <w:t>填表說明：</w:t>
      </w:r>
      <w:r w:rsidRPr="004D451D">
        <w:rPr>
          <w:rFonts w:eastAsia="標楷體"/>
          <w:b/>
        </w:rPr>
        <w:t xml:space="preserve"> </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本表更新頻率：半年</w:t>
      </w:r>
      <w:r w:rsidRPr="004D451D">
        <w:rPr>
          <w:rFonts w:eastAsia="標楷體"/>
        </w:rPr>
        <w:t>(</w:t>
      </w:r>
      <w:r w:rsidRPr="004D451D">
        <w:rPr>
          <w:rFonts w:eastAsia="標楷體"/>
        </w:rPr>
        <w:t>每半年揭露近兩季資料，第一季與第三季資料得免經會計師複核</w:t>
      </w:r>
      <w:r w:rsidRPr="004D451D">
        <w:rPr>
          <w:rFonts w:eastAsia="標楷體"/>
        </w:rPr>
        <w:t>)</w:t>
      </w:r>
      <w:r w:rsidRPr="004D451D">
        <w:rPr>
          <w:rFonts w:eastAsia="標楷體"/>
        </w:rPr>
        <w:t>。</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本表採個體基礎填報。</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風險水準之變動：指部位變動造成之變動。</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模型升級</w:t>
      </w:r>
      <w:r w:rsidRPr="004D451D">
        <w:rPr>
          <w:rFonts w:eastAsia="標楷體"/>
        </w:rPr>
        <w:t>/</w:t>
      </w:r>
      <w:r w:rsidRPr="004D451D">
        <w:rPr>
          <w:rFonts w:eastAsia="標楷體"/>
        </w:rPr>
        <w:t>變動：指反映近期更新</w:t>
      </w:r>
      <w:r w:rsidRPr="004D451D">
        <w:rPr>
          <w:rFonts w:eastAsia="標楷體"/>
        </w:rPr>
        <w:t>(</w:t>
      </w:r>
      <w:r w:rsidRPr="004D451D">
        <w:rPr>
          <w:rFonts w:eastAsia="標楷體"/>
        </w:rPr>
        <w:t>如：重新校準</w:t>
      </w:r>
      <w:r w:rsidRPr="004D451D">
        <w:rPr>
          <w:rFonts w:eastAsia="標楷體"/>
        </w:rPr>
        <w:t>)</w:t>
      </w:r>
      <w:r w:rsidRPr="004D451D">
        <w:rPr>
          <w:rFonts w:eastAsia="標楷體"/>
        </w:rPr>
        <w:t>之重大模型變動及模型範圍之重大改變。若超過一種模型被更新，需增加一列解釋。</w:t>
      </w:r>
    </w:p>
    <w:p w:rsidR="00101BDE"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方法論及政策：監理政策之改變導致計算方法變動。</w:t>
      </w:r>
      <w:r w:rsidR="00101BDE" w:rsidRPr="004D451D">
        <w:rPr>
          <w:rFonts w:eastAsia="標楷體"/>
        </w:rPr>
        <w:t>因為法定政策之改變導致計算方法論的改變而引起之變化，包含現行法規的新修訂與新法規之實施。</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取得及處分：</w:t>
      </w:r>
      <w:r w:rsidR="00101BDE" w:rsidRPr="004D451D">
        <w:rPr>
          <w:rFonts w:eastAsia="標楷體"/>
        </w:rPr>
        <w:t>因為取得或處分事業體所造成帳面規模的變動。</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匯率：由匯率變動造成之變動。</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其他：</w:t>
      </w:r>
      <w:r w:rsidR="007E48F0" w:rsidRPr="004D451D">
        <w:rPr>
          <w:rFonts w:eastAsia="標楷體"/>
        </w:rPr>
        <w:t>無法歸於任何其他種類之變動，惟銀行應該在第</w:t>
      </w:r>
      <w:r w:rsidR="00B41CFA" w:rsidRPr="004D451D">
        <w:rPr>
          <w:rFonts w:eastAsia="標楷體" w:hint="eastAsia"/>
        </w:rPr>
        <w:t>六</w:t>
      </w:r>
      <w:r w:rsidR="007E48F0" w:rsidRPr="004D451D">
        <w:rPr>
          <w:rFonts w:eastAsia="標楷體"/>
        </w:rPr>
        <w:t>列和第</w:t>
      </w:r>
      <w:r w:rsidR="00B41CFA" w:rsidRPr="004D451D">
        <w:rPr>
          <w:rFonts w:eastAsia="標楷體" w:hint="eastAsia"/>
        </w:rPr>
        <w:t>七</w:t>
      </w:r>
      <w:r w:rsidR="007E48F0" w:rsidRPr="004D451D">
        <w:rPr>
          <w:rFonts w:eastAsia="標楷體"/>
        </w:rPr>
        <w:t>列中間增加額外列，以揭露其他造成報表期間風險性資產變動的實質重大原因。</w:t>
      </w:r>
    </w:p>
    <w:p w:rsidR="00BF3B7A" w:rsidRPr="004D451D" w:rsidRDefault="00BF3B7A" w:rsidP="00EF4134">
      <w:pPr>
        <w:numPr>
          <w:ilvl w:val="0"/>
          <w:numId w:val="11"/>
        </w:numPr>
        <w:spacing w:line="240" w:lineRule="atLeast"/>
        <w:ind w:leftChars="150" w:left="720" w:hangingChars="150"/>
        <w:jc w:val="both"/>
        <w:rPr>
          <w:rFonts w:eastAsia="標楷體"/>
        </w:rPr>
      </w:pPr>
      <w:r w:rsidRPr="004D451D">
        <w:rPr>
          <w:rFonts w:eastAsia="標楷體"/>
        </w:rPr>
        <w:t>期末風險性資產之風險值：由</w:t>
      </w:r>
      <w:r w:rsidRPr="004D451D">
        <w:rPr>
          <w:rFonts w:eastAsia="標楷體"/>
        </w:rPr>
        <w:t>[</w:t>
      </w:r>
      <w:r w:rsidRPr="004D451D">
        <w:rPr>
          <w:rFonts w:eastAsia="標楷體"/>
        </w:rPr>
        <w:t>法定風險值</w:t>
      </w:r>
      <w:r w:rsidRPr="004D451D">
        <w:rPr>
          <w:rFonts w:eastAsia="標楷體"/>
        </w:rPr>
        <w:t>(10</w:t>
      </w:r>
      <w:r w:rsidRPr="004D451D">
        <w:rPr>
          <w:rFonts w:eastAsia="標楷體"/>
        </w:rPr>
        <w:t>天</w:t>
      </w:r>
      <w:r w:rsidRPr="004D451D">
        <w:rPr>
          <w:rFonts w:eastAsia="標楷體"/>
        </w:rPr>
        <w:t>99%)</w:t>
      </w:r>
      <w:r w:rsidR="008537EB" w:rsidRPr="004D451D">
        <w:rPr>
          <w:rFonts w:eastAsia="標楷體"/>
        </w:rPr>
        <w:t>得出之應計提資本，加計主管機關</w:t>
      </w:r>
      <w:r w:rsidRPr="004D451D">
        <w:rPr>
          <w:rFonts w:eastAsia="標楷體"/>
        </w:rPr>
        <w:t>裁量之風險值模型增額資本計提</w:t>
      </w:r>
      <w:r w:rsidR="00FA3C4A" w:rsidRPr="004D451D">
        <w:rPr>
          <w:rFonts w:eastAsia="標楷體"/>
        </w:rPr>
        <w:t>]x</w:t>
      </w:r>
      <w:r w:rsidRPr="004D451D">
        <w:rPr>
          <w:rFonts w:eastAsia="標楷體"/>
        </w:rPr>
        <w:t>12.5</w:t>
      </w:r>
      <w:r w:rsidRPr="004D451D">
        <w:rPr>
          <w:rFonts w:eastAsia="標楷體"/>
        </w:rPr>
        <w:t>所得出之風險性資產。</w:t>
      </w:r>
    </w:p>
    <w:p w:rsidR="00FA3C4A" w:rsidRPr="004D451D" w:rsidRDefault="00FA3C4A" w:rsidP="00EF4134">
      <w:pPr>
        <w:numPr>
          <w:ilvl w:val="0"/>
          <w:numId w:val="11"/>
        </w:numPr>
        <w:spacing w:line="240" w:lineRule="atLeast"/>
        <w:ind w:leftChars="150" w:left="720" w:hangingChars="150"/>
        <w:jc w:val="both"/>
        <w:rPr>
          <w:rFonts w:eastAsia="標楷體"/>
        </w:rPr>
      </w:pPr>
      <w:r w:rsidRPr="004D451D">
        <w:rPr>
          <w:rFonts w:eastAsia="標楷體"/>
        </w:rPr>
        <w:t>期末風險性資產之壓力風險值：由</w:t>
      </w:r>
      <w:r w:rsidRPr="004D451D">
        <w:rPr>
          <w:rFonts w:eastAsia="標楷體"/>
        </w:rPr>
        <w:t>[</w:t>
      </w:r>
      <w:r w:rsidRPr="004D451D">
        <w:rPr>
          <w:rFonts w:eastAsia="標楷體"/>
        </w:rPr>
        <w:t>法定壓力風險值</w:t>
      </w:r>
      <w:r w:rsidRPr="004D451D">
        <w:rPr>
          <w:rFonts w:eastAsia="標楷體"/>
        </w:rPr>
        <w:t>(10</w:t>
      </w:r>
      <w:r w:rsidRPr="004D451D">
        <w:rPr>
          <w:rFonts w:eastAsia="標楷體"/>
        </w:rPr>
        <w:t>天</w:t>
      </w:r>
      <w:r w:rsidRPr="004D451D">
        <w:rPr>
          <w:rFonts w:eastAsia="標楷體"/>
        </w:rPr>
        <w:t>99%)</w:t>
      </w:r>
      <w:r w:rsidRPr="004D451D">
        <w:rPr>
          <w:rFonts w:eastAsia="標楷體"/>
        </w:rPr>
        <w:t>得出之應計提資本，加計主管機關裁量之風險值模型增額資本計提</w:t>
      </w:r>
      <w:r w:rsidRPr="004D451D">
        <w:rPr>
          <w:rFonts w:eastAsia="標楷體"/>
        </w:rPr>
        <w:t>] x 12.5</w:t>
      </w:r>
      <w:r w:rsidRPr="004D451D">
        <w:rPr>
          <w:rFonts w:eastAsia="標楷體"/>
        </w:rPr>
        <w:t>所得出之風險性資產。</w:t>
      </w:r>
    </w:p>
    <w:p w:rsidR="00FA3C4A" w:rsidRPr="004D451D" w:rsidRDefault="00FA3C4A" w:rsidP="00EF4134">
      <w:pPr>
        <w:numPr>
          <w:ilvl w:val="0"/>
          <w:numId w:val="11"/>
        </w:numPr>
        <w:spacing w:line="240" w:lineRule="atLeast"/>
        <w:ind w:leftChars="150" w:left="720" w:hangingChars="150"/>
        <w:jc w:val="both"/>
        <w:rPr>
          <w:rFonts w:eastAsia="標楷體"/>
        </w:rPr>
      </w:pPr>
      <w:r w:rsidRPr="004D451D">
        <w:rPr>
          <w:rFonts w:eastAsia="標楷體"/>
        </w:rPr>
        <w:t>期末風險性資產之增額風險計提：由</w:t>
      </w:r>
      <w:r w:rsidRPr="004D451D">
        <w:rPr>
          <w:rFonts w:eastAsia="標楷體"/>
        </w:rPr>
        <w:t>[</w:t>
      </w:r>
      <w:r w:rsidRPr="004D451D">
        <w:rPr>
          <w:rFonts w:eastAsia="標楷體"/>
        </w:rPr>
        <w:t>增額風險計提得出之應計提資本，加計主管機關裁量之風險值模型增額資本計提</w:t>
      </w:r>
      <w:r w:rsidRPr="004D451D">
        <w:rPr>
          <w:rFonts w:eastAsia="標楷體"/>
        </w:rPr>
        <w:t>]x12.5</w:t>
      </w:r>
      <w:r w:rsidRPr="004D451D">
        <w:rPr>
          <w:rFonts w:eastAsia="標楷體"/>
        </w:rPr>
        <w:t>所得出之風險性資產。</w:t>
      </w:r>
    </w:p>
    <w:p w:rsidR="00FA3C4A" w:rsidRPr="004D451D" w:rsidRDefault="00FA3C4A" w:rsidP="00EF4134">
      <w:pPr>
        <w:numPr>
          <w:ilvl w:val="0"/>
          <w:numId w:val="11"/>
        </w:numPr>
        <w:spacing w:line="240" w:lineRule="atLeast"/>
        <w:ind w:leftChars="150" w:left="720" w:hangingChars="150"/>
        <w:jc w:val="both"/>
        <w:rPr>
          <w:rFonts w:eastAsia="標楷體"/>
        </w:rPr>
      </w:pPr>
      <w:r w:rsidRPr="004D451D">
        <w:rPr>
          <w:rFonts w:eastAsia="標楷體"/>
        </w:rPr>
        <w:t>期末風險性資產之全面性風險衡量：由</w:t>
      </w:r>
      <w:r w:rsidRPr="004D451D">
        <w:rPr>
          <w:rFonts w:eastAsia="標楷體"/>
        </w:rPr>
        <w:t>[</w:t>
      </w:r>
      <w:r w:rsidRPr="004D451D">
        <w:rPr>
          <w:rFonts w:eastAsia="標楷體"/>
        </w:rPr>
        <w:t>全面性風險應計提資本，加計主管機關裁量之風險值模型增額資本計提</w:t>
      </w:r>
      <w:r w:rsidR="00A633F2" w:rsidRPr="004D451D">
        <w:rPr>
          <w:rFonts w:eastAsia="標楷體"/>
        </w:rPr>
        <w:t>]x</w:t>
      </w:r>
      <w:r w:rsidRPr="004D451D">
        <w:rPr>
          <w:rFonts w:eastAsia="標楷體"/>
        </w:rPr>
        <w:t>12.5</w:t>
      </w:r>
      <w:r w:rsidRPr="004D451D">
        <w:rPr>
          <w:rFonts w:eastAsia="標楷體"/>
        </w:rPr>
        <w:t>所得出之風險性資產。</w:t>
      </w:r>
    </w:p>
    <w:p w:rsidR="00FA3C4A" w:rsidRPr="004D451D" w:rsidRDefault="00FA3C4A" w:rsidP="00EF4134">
      <w:pPr>
        <w:numPr>
          <w:ilvl w:val="0"/>
          <w:numId w:val="11"/>
        </w:numPr>
        <w:spacing w:line="240" w:lineRule="atLeast"/>
        <w:ind w:leftChars="150" w:left="720" w:hangingChars="150"/>
        <w:jc w:val="both"/>
        <w:rPr>
          <w:rFonts w:eastAsia="標楷體"/>
        </w:rPr>
      </w:pPr>
      <w:r w:rsidRPr="004D451D">
        <w:rPr>
          <w:rFonts w:eastAsia="標楷體"/>
        </w:rPr>
        <w:t>期末風險性資產之其他：由風險值</w:t>
      </w:r>
      <w:r w:rsidRPr="004D451D">
        <w:rPr>
          <w:rFonts w:eastAsia="標楷體"/>
        </w:rPr>
        <w:t>/</w:t>
      </w:r>
      <w:r w:rsidRPr="004D451D">
        <w:rPr>
          <w:rFonts w:eastAsia="標楷體"/>
        </w:rPr>
        <w:t>壓力風險值</w:t>
      </w:r>
      <w:r w:rsidRPr="004D451D">
        <w:rPr>
          <w:rFonts w:eastAsia="標楷體"/>
        </w:rPr>
        <w:t>/</w:t>
      </w:r>
      <w:r w:rsidRPr="004D451D">
        <w:rPr>
          <w:rFonts w:eastAsia="標楷體"/>
        </w:rPr>
        <w:t>增額風險計提</w:t>
      </w:r>
      <w:r w:rsidRPr="004D451D">
        <w:rPr>
          <w:rFonts w:eastAsia="標楷體"/>
        </w:rPr>
        <w:t>/</w:t>
      </w:r>
      <w:r w:rsidRPr="004D451D">
        <w:rPr>
          <w:rFonts w:eastAsia="標楷體"/>
        </w:rPr>
        <w:t>全面性風險衡量等模型以外之特別應計提資本</w:t>
      </w:r>
      <w:r w:rsidRPr="004D451D">
        <w:rPr>
          <w:rFonts w:eastAsia="標楷體"/>
        </w:rPr>
        <w:t>(</w:t>
      </w:r>
      <w:r w:rsidRPr="004D451D">
        <w:rPr>
          <w:rFonts w:eastAsia="標楷體"/>
        </w:rPr>
        <w:t>依我國規範或公司特性</w:t>
      </w:r>
      <w:r w:rsidRPr="004D451D">
        <w:rPr>
          <w:rFonts w:eastAsia="標楷體"/>
        </w:rPr>
        <w:t>)</w:t>
      </w:r>
      <w:r w:rsidRPr="004D451D">
        <w:rPr>
          <w:rFonts w:eastAsia="標楷體"/>
        </w:rPr>
        <w:t>所得出之風險性資產。若主管機關規範之特別應計提資本項目不只一項，可增加行位揭露。</w:t>
      </w:r>
    </w:p>
    <w:p w:rsidR="00FA3C4A" w:rsidRPr="004D451D" w:rsidRDefault="00FA3C4A" w:rsidP="00EF4134">
      <w:pPr>
        <w:numPr>
          <w:ilvl w:val="0"/>
          <w:numId w:val="11"/>
        </w:numPr>
        <w:spacing w:line="240" w:lineRule="atLeast"/>
        <w:ind w:leftChars="150" w:left="720" w:hangingChars="150"/>
        <w:jc w:val="both"/>
        <w:rPr>
          <w:rFonts w:eastAsia="標楷體"/>
        </w:rPr>
      </w:pPr>
      <w:r w:rsidRPr="004D451D">
        <w:rPr>
          <w:rFonts w:eastAsia="標楷體"/>
        </w:rPr>
        <w:t>期末風險性資產總計：由</w:t>
      </w:r>
      <w:r w:rsidRPr="004D451D">
        <w:rPr>
          <w:rFonts w:eastAsia="標楷體"/>
        </w:rPr>
        <w:t>[</w:t>
      </w:r>
      <w:r w:rsidRPr="004D451D">
        <w:rPr>
          <w:rFonts w:eastAsia="標楷體"/>
        </w:rPr>
        <w:t>市場風險內部模型法之總資本計提</w:t>
      </w:r>
      <w:r w:rsidR="00A633F2" w:rsidRPr="004D451D">
        <w:rPr>
          <w:rFonts w:eastAsia="標楷體"/>
        </w:rPr>
        <w:t>x</w:t>
      </w:r>
      <w:r w:rsidRPr="004D451D">
        <w:rPr>
          <w:rFonts w:eastAsia="標楷體"/>
        </w:rPr>
        <w:t>12.5]</w:t>
      </w:r>
      <w:r w:rsidRPr="004D451D">
        <w:rPr>
          <w:rFonts w:eastAsia="標楷體"/>
        </w:rPr>
        <w:t>所得出之風險性資產，該數額應與【附表</w:t>
      </w:r>
      <w:r w:rsidR="000176B7" w:rsidRPr="004D451D">
        <w:rPr>
          <w:rFonts w:eastAsia="標楷體" w:hint="eastAsia"/>
        </w:rPr>
        <w:t>九</w:t>
      </w:r>
      <w:r w:rsidRPr="004D451D">
        <w:rPr>
          <w:rFonts w:eastAsia="標楷體"/>
        </w:rPr>
        <w:t>】項次</w:t>
      </w:r>
      <w:r w:rsidRPr="004D451D">
        <w:rPr>
          <w:rFonts w:eastAsia="標楷體"/>
        </w:rPr>
        <w:t>18</w:t>
      </w:r>
      <w:r w:rsidRPr="004D451D">
        <w:rPr>
          <w:rFonts w:eastAsia="標楷體"/>
        </w:rPr>
        <w:t>之數值一致。</w:t>
      </w:r>
    </w:p>
    <w:p w:rsidR="009D360E" w:rsidRPr="004D451D" w:rsidRDefault="009D360E" w:rsidP="00BF3B7A">
      <w:pPr>
        <w:rPr>
          <w:rFonts w:ascii="Arial" w:eastAsia="標楷體" w:hAnsi="Arial" w:cs="Arial"/>
          <w:sz w:val="32"/>
          <w:szCs w:val="32"/>
        </w:rPr>
      </w:pPr>
    </w:p>
    <w:p w:rsidR="00826390" w:rsidRPr="004D451D" w:rsidRDefault="00826390" w:rsidP="00BF3B7A">
      <w:pPr>
        <w:rPr>
          <w:rFonts w:ascii="Arial" w:eastAsia="標楷體" w:hAnsi="Arial" w:cs="Arial"/>
          <w:sz w:val="32"/>
          <w:szCs w:val="32"/>
        </w:rPr>
        <w:sectPr w:rsidR="00826390" w:rsidRPr="004D451D" w:rsidSect="00826390">
          <w:pgSz w:w="16838" w:h="11906" w:orient="landscape" w:code="9"/>
          <w:pgMar w:top="1440" w:right="1079" w:bottom="991" w:left="1440" w:header="851" w:footer="352" w:gutter="0"/>
          <w:cols w:space="425"/>
          <w:docGrid w:type="lines" w:linePitch="360"/>
        </w:sectPr>
      </w:pPr>
    </w:p>
    <w:p w:rsidR="00BF3B7A" w:rsidRPr="004D451D" w:rsidRDefault="00BF3B7A" w:rsidP="00BF3B7A">
      <w:pPr>
        <w:rPr>
          <w:rFonts w:eastAsia="標楷體"/>
          <w:sz w:val="32"/>
          <w:szCs w:val="32"/>
        </w:rPr>
      </w:pPr>
      <w:r w:rsidRPr="004D451D">
        <w:rPr>
          <w:rFonts w:eastAsia="標楷體"/>
          <w:b/>
          <w:sz w:val="32"/>
          <w:szCs w:val="32"/>
        </w:rPr>
        <w:t>【附表四十</w:t>
      </w:r>
      <w:r w:rsidR="000176B7" w:rsidRPr="004D451D">
        <w:rPr>
          <w:rFonts w:eastAsia="標楷體" w:hint="eastAsia"/>
          <w:b/>
          <w:sz w:val="32"/>
          <w:szCs w:val="32"/>
        </w:rPr>
        <w:t>二</w:t>
      </w:r>
      <w:r w:rsidRPr="004D451D">
        <w:rPr>
          <w:rFonts w:eastAsia="標楷體"/>
          <w:b/>
          <w:sz w:val="32"/>
          <w:szCs w:val="32"/>
        </w:rPr>
        <w:t>】</w:t>
      </w:r>
    </w:p>
    <w:p w:rsidR="00BF3B7A" w:rsidRPr="004D451D" w:rsidRDefault="001F4C02" w:rsidP="00BF3B7A">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b/>
          <w:szCs w:val="32"/>
        </w:rPr>
        <w:t>市場風險值</w:t>
      </w:r>
      <w:r w:rsidR="00F3145A" w:rsidRPr="004D451D">
        <w:rPr>
          <w:rFonts w:hint="eastAsia"/>
          <w:b/>
        </w:rPr>
        <w:t>─</w:t>
      </w:r>
      <w:r w:rsidR="00F3145A" w:rsidRPr="004D451D">
        <w:rPr>
          <w:rFonts w:ascii="Times New Roman" w:hAnsi="Times New Roman"/>
          <w:b/>
          <w:szCs w:val="32"/>
        </w:rPr>
        <w:t>內部模型法</w:t>
      </w:r>
      <w:r w:rsidR="00F3145A" w:rsidRPr="004D451D">
        <w:rPr>
          <w:rFonts w:ascii="Times New Roman" w:hAnsi="Times New Roman"/>
          <w:b/>
          <w:szCs w:val="32"/>
        </w:rPr>
        <w:t>(IMA)</w:t>
      </w:r>
      <w:r w:rsidR="00A450F7" w:rsidRPr="004D451D">
        <w:rPr>
          <w:rFonts w:ascii="Times New Roman" w:hAnsi="Times New Roman" w:hint="eastAsia"/>
          <w:b/>
          <w:szCs w:val="32"/>
        </w:rPr>
        <w:t xml:space="preserve"> -</w:t>
      </w:r>
      <w:r w:rsidR="00A450F7" w:rsidRPr="004D451D">
        <w:rPr>
          <w:rFonts w:hint="eastAsia"/>
          <w:b/>
          <w:bCs/>
          <w:szCs w:val="32"/>
        </w:rPr>
        <w:t>不適用</w:t>
      </w:r>
    </w:p>
    <w:p w:rsidR="00BF3B7A" w:rsidRPr="004D451D" w:rsidRDefault="00A450F7" w:rsidP="00A450F7">
      <w:pPr>
        <w:pStyle w:val="ad"/>
        <w:wordWrap w:val="0"/>
        <w:spacing w:before="120" w:after="120" w:line="240" w:lineRule="auto"/>
        <w:ind w:leftChars="50" w:left="120" w:right="586" w:firstLineChars="1050" w:firstLine="3360"/>
        <w:rPr>
          <w:rFonts w:ascii="Times New Roman" w:hAnsi="Times New Roman"/>
          <w:szCs w:val="32"/>
        </w:rPr>
      </w:pPr>
      <w:r w:rsidRPr="004D451D">
        <w:rPr>
          <w:rFonts w:ascii="Times New Roman" w:hAnsi="Times New Roman" w:hint="eastAsia"/>
          <w:szCs w:val="32"/>
        </w:rPr>
        <w:t>10</w:t>
      </w:r>
      <w:r w:rsidR="00A837D8" w:rsidRPr="004D451D">
        <w:rPr>
          <w:rFonts w:ascii="Times New Roman" w:hAnsi="Times New Roman" w:hint="eastAsia"/>
          <w:szCs w:val="32"/>
        </w:rPr>
        <w:t>7</w:t>
      </w:r>
      <w:r w:rsidR="00BF3B7A" w:rsidRPr="004D451D">
        <w:rPr>
          <w:rFonts w:ascii="Times New Roman" w:hAnsi="Times New Roman"/>
          <w:szCs w:val="32"/>
        </w:rPr>
        <w:t>年</w:t>
      </w:r>
      <w:r w:rsidR="00A837D8" w:rsidRPr="004D451D">
        <w:rPr>
          <w:rFonts w:ascii="Times New Roman" w:hAnsi="Times New Roman" w:hint="eastAsia"/>
          <w:szCs w:val="32"/>
        </w:rPr>
        <w:t>06</w:t>
      </w:r>
      <w:r w:rsidR="00BF3B7A" w:rsidRPr="004D451D">
        <w:rPr>
          <w:rFonts w:ascii="Times New Roman" w:hAnsi="Times New Roman"/>
          <w:szCs w:val="32"/>
        </w:rPr>
        <w:t>月</w:t>
      </w:r>
      <w:r w:rsidRPr="004D451D">
        <w:rPr>
          <w:rFonts w:ascii="Times New Roman" w:hAnsi="Times New Roman" w:hint="eastAsia"/>
          <w:szCs w:val="32"/>
        </w:rPr>
        <w:t>3</w:t>
      </w:r>
      <w:r w:rsidR="00A837D8" w:rsidRPr="004D451D">
        <w:rPr>
          <w:rFonts w:ascii="Times New Roman" w:hAnsi="Times New Roman" w:hint="eastAsia"/>
          <w:szCs w:val="32"/>
        </w:rPr>
        <w:t>0</w:t>
      </w:r>
      <w:r w:rsidR="00BF3B7A" w:rsidRPr="004D451D">
        <w:rPr>
          <w:rFonts w:ascii="Times New Roman" w:hAnsi="Times New Roman"/>
          <w:szCs w:val="32"/>
        </w:rPr>
        <w:t>日</w:t>
      </w:r>
      <w:r w:rsidR="00D82B93" w:rsidRPr="004D451D">
        <w:rPr>
          <w:rFonts w:ascii="Times New Roman" w:hAnsi="Times New Roman" w:hint="eastAsia"/>
          <w:szCs w:val="32"/>
        </w:rPr>
        <w:t xml:space="preserve"> </w:t>
      </w:r>
      <w:r w:rsidR="00BF3B7A" w:rsidRPr="004D451D">
        <w:rPr>
          <w:rFonts w:ascii="Times New Roman" w:hAnsi="Times New Roman"/>
          <w:szCs w:val="32"/>
        </w:rPr>
        <w:t xml:space="preserve">   </w:t>
      </w:r>
      <w:r w:rsidR="00D82B93" w:rsidRPr="004D451D">
        <w:rPr>
          <w:rFonts w:ascii="Times New Roman" w:hAnsi="Times New Roman" w:hint="eastAsia"/>
          <w:sz w:val="24"/>
          <w:szCs w:val="32"/>
        </w:rPr>
        <w:t>（</w:t>
      </w:r>
      <w:r w:rsidR="00BF3B7A" w:rsidRPr="004D451D">
        <w:rPr>
          <w:rFonts w:ascii="Times New Roman" w:hAnsi="Times New Roman"/>
          <w:sz w:val="24"/>
        </w:rPr>
        <w:t>單位</w:t>
      </w:r>
      <w:r w:rsidR="00A633F2" w:rsidRPr="004D451D">
        <w:rPr>
          <w:rFonts w:ascii="Times New Roman" w:hAnsi="Times New Roman" w:hint="eastAsia"/>
          <w:sz w:val="24"/>
        </w:rPr>
        <w:t>：</w:t>
      </w:r>
      <w:r w:rsidR="00BF3B7A" w:rsidRPr="004D451D">
        <w:rPr>
          <w:rFonts w:ascii="Times New Roman" w:hAnsi="Times New Roman"/>
          <w:sz w:val="24"/>
        </w:rPr>
        <w:t>新臺幣千元</w:t>
      </w:r>
      <w:r w:rsidR="00D82B93" w:rsidRPr="004D451D">
        <w:rPr>
          <w:rFonts w:ascii="Times New Roman" w:hAnsi="Times New Roman" w:hint="eastAsia"/>
          <w:sz w:val="24"/>
        </w:rPr>
        <w:t>）</w:t>
      </w:r>
    </w:p>
    <w:tbl>
      <w:tblPr>
        <w:tblW w:w="8804" w:type="dxa"/>
        <w:jc w:val="center"/>
        <w:tblInd w:w="13" w:type="dxa"/>
        <w:tblCellMar>
          <w:left w:w="28" w:type="dxa"/>
          <w:right w:w="28" w:type="dxa"/>
        </w:tblCellMar>
        <w:tblLook w:val="04A0" w:firstRow="1" w:lastRow="0" w:firstColumn="1" w:lastColumn="0" w:noHBand="0" w:noVBand="1"/>
      </w:tblPr>
      <w:tblGrid>
        <w:gridCol w:w="2992"/>
        <w:gridCol w:w="5812"/>
      </w:tblGrid>
      <w:tr w:rsidR="004D451D" w:rsidRPr="004D451D"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風險值</w:t>
            </w:r>
            <w:r w:rsidRPr="004D451D">
              <w:rPr>
                <w:rFonts w:eastAsia="標楷體"/>
                <w:kern w:val="0"/>
              </w:rPr>
              <w:t>(10</w:t>
            </w:r>
            <w:r w:rsidRPr="004D451D">
              <w:rPr>
                <w:rFonts w:eastAsia="標楷體"/>
                <w:kern w:val="0"/>
              </w:rPr>
              <w:t>天</w:t>
            </w:r>
            <w:r w:rsidRPr="004D451D">
              <w:rPr>
                <w:rFonts w:eastAsia="標楷體"/>
                <w:kern w:val="0"/>
              </w:rPr>
              <w:t>99%)</w:t>
            </w: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壓力風險值</w:t>
            </w:r>
            <w:r w:rsidRPr="004D451D">
              <w:rPr>
                <w:rFonts w:eastAsia="標楷體"/>
                <w:kern w:val="0"/>
              </w:rPr>
              <w:t>(10</w:t>
            </w:r>
            <w:r w:rsidRPr="004D451D">
              <w:rPr>
                <w:rFonts w:eastAsia="標楷體"/>
                <w:kern w:val="0"/>
              </w:rPr>
              <w:t>天</w:t>
            </w:r>
            <w:r w:rsidRPr="004D451D">
              <w:rPr>
                <w:rFonts w:eastAsia="標楷體"/>
                <w:kern w:val="0"/>
              </w:rPr>
              <w:t>99%)</w:t>
            </w: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增額風險計提</w:t>
            </w:r>
            <w:r w:rsidRPr="004D451D">
              <w:rPr>
                <w:rFonts w:eastAsia="標楷體"/>
                <w:kern w:val="0"/>
              </w:rPr>
              <w:t xml:space="preserve"> ( 99.9%)</w:t>
            </w: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全面</w:t>
            </w:r>
            <w:r w:rsidR="003C3C12" w:rsidRPr="004D451D">
              <w:rPr>
                <w:rFonts w:eastAsia="標楷體"/>
                <w:kern w:val="0"/>
              </w:rPr>
              <w:t>性</w:t>
            </w:r>
            <w:r w:rsidRPr="004D451D">
              <w:rPr>
                <w:rFonts w:eastAsia="標楷體"/>
                <w:kern w:val="0"/>
              </w:rPr>
              <w:t>風險資本計提</w:t>
            </w:r>
            <w:r w:rsidRPr="004D451D">
              <w:rPr>
                <w:rFonts w:eastAsia="標楷體"/>
                <w:kern w:val="0"/>
              </w:rPr>
              <w:t>(99.9%)</w:t>
            </w: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最大值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平均值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最小值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hRule="exact" w:val="510"/>
          <w:jc w:val="center"/>
        </w:trPr>
        <w:tc>
          <w:tcPr>
            <w:tcW w:w="2992" w:type="dxa"/>
            <w:tcBorders>
              <w:top w:val="nil"/>
              <w:left w:val="single" w:sz="8" w:space="0" w:color="auto"/>
              <w:bottom w:val="single" w:sz="8" w:space="0" w:color="auto"/>
              <w:right w:val="single" w:sz="8" w:space="0" w:color="auto"/>
            </w:tcBorders>
            <w:shd w:val="clear" w:color="auto" w:fill="auto"/>
            <w:vAlign w:val="center"/>
          </w:tcPr>
          <w:p w:rsidR="00BF3B7A" w:rsidRPr="004D451D" w:rsidRDefault="00BF3B7A" w:rsidP="00220F43">
            <w:pPr>
              <w:widowControl/>
              <w:jc w:val="center"/>
              <w:rPr>
                <w:rFonts w:eastAsia="標楷體"/>
                <w:kern w:val="0"/>
              </w:rPr>
            </w:pPr>
            <w:r w:rsidRPr="004D451D">
              <w:rPr>
                <w:rFonts w:eastAsia="標楷體"/>
                <w:kern w:val="0"/>
              </w:rPr>
              <w:t>期末值</w:t>
            </w:r>
          </w:p>
        </w:tc>
        <w:tc>
          <w:tcPr>
            <w:tcW w:w="5812" w:type="dxa"/>
            <w:tcBorders>
              <w:top w:val="nil"/>
              <w:left w:val="nil"/>
              <w:bottom w:val="single" w:sz="8" w:space="0" w:color="auto"/>
              <w:right w:val="single" w:sz="8" w:space="0" w:color="auto"/>
            </w:tcBorders>
            <w:shd w:val="clear" w:color="auto" w:fill="auto"/>
            <w:vAlign w:val="center"/>
          </w:tcPr>
          <w:p w:rsidR="00BF3B7A" w:rsidRPr="004D451D" w:rsidRDefault="00BF3B7A" w:rsidP="00220F43">
            <w:pPr>
              <w:widowControl/>
              <w:jc w:val="both"/>
              <w:rPr>
                <w:kern w:val="0"/>
              </w:rPr>
            </w:pPr>
          </w:p>
        </w:tc>
      </w:tr>
      <w:tr w:rsidR="004D451D" w:rsidRPr="004D451D" w:rsidTr="00D82B93">
        <w:trPr>
          <w:trHeight w:val="360"/>
          <w:jc w:val="center"/>
        </w:trPr>
        <w:tc>
          <w:tcPr>
            <w:tcW w:w="2992" w:type="dxa"/>
            <w:vMerge w:val="restart"/>
            <w:tcBorders>
              <w:top w:val="nil"/>
              <w:left w:val="single" w:sz="8" w:space="0" w:color="auto"/>
              <w:bottom w:val="single" w:sz="8" w:space="0" w:color="000000"/>
              <w:right w:val="single" w:sz="8" w:space="0" w:color="auto"/>
            </w:tcBorders>
            <w:shd w:val="clear" w:color="auto" w:fill="FFFFFF"/>
            <w:vAlign w:val="center"/>
          </w:tcPr>
          <w:p w:rsidR="00BF3B7A" w:rsidRPr="004D451D" w:rsidRDefault="00BF3B7A" w:rsidP="00220F43">
            <w:pPr>
              <w:widowControl/>
              <w:jc w:val="both"/>
              <w:rPr>
                <w:rFonts w:eastAsia="標楷體"/>
                <w:kern w:val="0"/>
              </w:rPr>
            </w:pPr>
            <w:r w:rsidRPr="004D451D">
              <w:rPr>
                <w:rFonts w:eastAsia="標楷體"/>
                <w:kern w:val="0"/>
              </w:rPr>
              <w:t>最低下限</w:t>
            </w:r>
            <w:r w:rsidRPr="004D451D">
              <w:rPr>
                <w:rFonts w:eastAsia="標楷體"/>
                <w:kern w:val="0"/>
              </w:rPr>
              <w:t>(</w:t>
            </w:r>
            <w:r w:rsidRPr="004D451D">
              <w:rPr>
                <w:rFonts w:eastAsia="標楷體"/>
                <w:kern w:val="0"/>
              </w:rPr>
              <w:t>標準法</w:t>
            </w:r>
            <w:r w:rsidRPr="004D451D">
              <w:rPr>
                <w:rFonts w:eastAsia="標楷體"/>
                <w:kern w:val="0"/>
              </w:rPr>
              <w:t>)</w:t>
            </w:r>
          </w:p>
        </w:tc>
        <w:tc>
          <w:tcPr>
            <w:tcW w:w="5812" w:type="dxa"/>
            <w:vMerge w:val="restart"/>
            <w:tcBorders>
              <w:top w:val="nil"/>
              <w:left w:val="single" w:sz="8" w:space="0" w:color="auto"/>
              <w:bottom w:val="single" w:sz="8" w:space="0" w:color="000000"/>
              <w:right w:val="single" w:sz="8" w:space="0" w:color="auto"/>
            </w:tcBorders>
            <w:shd w:val="clear" w:color="auto" w:fill="A6A6A6"/>
            <w:vAlign w:val="center"/>
          </w:tcPr>
          <w:p w:rsidR="00BF3B7A" w:rsidRPr="004D451D" w:rsidRDefault="00BF3B7A" w:rsidP="00220F43">
            <w:pPr>
              <w:widowControl/>
              <w:jc w:val="both"/>
              <w:rPr>
                <w:kern w:val="0"/>
              </w:rPr>
            </w:pPr>
          </w:p>
        </w:tc>
      </w:tr>
      <w:tr w:rsidR="004D451D" w:rsidRPr="004D451D" w:rsidTr="00D82B93">
        <w:trPr>
          <w:trHeight w:val="360"/>
          <w:jc w:val="center"/>
        </w:trPr>
        <w:tc>
          <w:tcPr>
            <w:tcW w:w="2992" w:type="dxa"/>
            <w:vMerge/>
            <w:tcBorders>
              <w:top w:val="nil"/>
              <w:left w:val="single" w:sz="8" w:space="0" w:color="auto"/>
              <w:bottom w:val="single" w:sz="8" w:space="0" w:color="000000"/>
              <w:right w:val="single" w:sz="8" w:space="0" w:color="auto"/>
            </w:tcBorders>
            <w:shd w:val="clear" w:color="auto" w:fill="FFFFFF"/>
            <w:vAlign w:val="center"/>
          </w:tcPr>
          <w:p w:rsidR="00BF3B7A" w:rsidRPr="004D451D" w:rsidRDefault="00BF3B7A" w:rsidP="00220F43">
            <w:pPr>
              <w:widowControl/>
              <w:rPr>
                <w:rFonts w:eastAsia="標楷體"/>
                <w:kern w:val="0"/>
              </w:rPr>
            </w:pPr>
          </w:p>
        </w:tc>
        <w:tc>
          <w:tcPr>
            <w:tcW w:w="5812" w:type="dxa"/>
            <w:vMerge/>
            <w:tcBorders>
              <w:top w:val="nil"/>
              <w:left w:val="single" w:sz="8" w:space="0" w:color="auto"/>
              <w:bottom w:val="single" w:sz="8" w:space="0" w:color="000000"/>
              <w:right w:val="single" w:sz="8" w:space="0" w:color="auto"/>
            </w:tcBorders>
            <w:shd w:val="clear" w:color="auto" w:fill="A6A6A6"/>
            <w:vAlign w:val="center"/>
          </w:tcPr>
          <w:p w:rsidR="00BF3B7A" w:rsidRPr="004D451D" w:rsidRDefault="00BF3B7A" w:rsidP="00220F43">
            <w:pPr>
              <w:widowControl/>
              <w:rPr>
                <w:kern w:val="0"/>
              </w:rPr>
            </w:pPr>
          </w:p>
        </w:tc>
      </w:tr>
      <w:tr w:rsidR="00BF3B7A" w:rsidRPr="004D451D" w:rsidTr="00D82B93">
        <w:trPr>
          <w:trHeight w:val="1109"/>
          <w:jc w:val="center"/>
        </w:trPr>
        <w:tc>
          <w:tcPr>
            <w:tcW w:w="880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BF3B7A" w:rsidRPr="004D451D" w:rsidRDefault="00BF3B7A" w:rsidP="00220F43">
            <w:pPr>
              <w:widowControl/>
              <w:jc w:val="both"/>
              <w:rPr>
                <w:rFonts w:eastAsia="標楷體"/>
                <w:kern w:val="0"/>
              </w:rPr>
            </w:pPr>
            <w:r w:rsidRPr="004D451D">
              <w:rPr>
                <w:rFonts w:eastAsia="標楷體"/>
                <w:kern w:val="0"/>
              </w:rPr>
              <w:t>重大變動原因及說明：</w:t>
            </w:r>
          </w:p>
        </w:tc>
      </w:tr>
    </w:tbl>
    <w:p w:rsidR="00BF3B7A" w:rsidRPr="004D451D" w:rsidRDefault="00BF3B7A" w:rsidP="00BF3B7A">
      <w:pPr>
        <w:rPr>
          <w:rFonts w:eastAsia="標楷體"/>
          <w:b/>
          <w:sz w:val="22"/>
          <w:szCs w:val="22"/>
        </w:rPr>
      </w:pPr>
    </w:p>
    <w:p w:rsidR="00BF3B7A" w:rsidRPr="004D451D" w:rsidRDefault="00BF3B7A" w:rsidP="00A633F2">
      <w:pPr>
        <w:spacing w:line="240" w:lineRule="atLeast"/>
        <w:rPr>
          <w:rFonts w:eastAsia="標楷體"/>
          <w:b/>
        </w:rPr>
      </w:pPr>
      <w:r w:rsidRPr="004D451D">
        <w:rPr>
          <w:rFonts w:eastAsia="標楷體"/>
          <w:b/>
        </w:rPr>
        <w:t>填表說明：</w:t>
      </w:r>
    </w:p>
    <w:p w:rsidR="00BF3B7A" w:rsidRPr="004D451D" w:rsidRDefault="00BF3B7A" w:rsidP="00EF4134">
      <w:pPr>
        <w:numPr>
          <w:ilvl w:val="0"/>
          <w:numId w:val="12"/>
        </w:numPr>
        <w:spacing w:line="240" w:lineRule="atLeast"/>
        <w:ind w:leftChars="150" w:left="720" w:hangingChars="150"/>
        <w:jc w:val="both"/>
        <w:rPr>
          <w:rFonts w:eastAsia="標楷體"/>
        </w:rPr>
      </w:pPr>
      <w:r w:rsidRPr="004D451D">
        <w:rPr>
          <w:rFonts w:eastAsia="標楷體"/>
        </w:rPr>
        <w:t>本表更新頻率：半年。</w:t>
      </w:r>
    </w:p>
    <w:p w:rsidR="00BF3B7A" w:rsidRPr="004D451D" w:rsidRDefault="00BF3B7A" w:rsidP="00EF4134">
      <w:pPr>
        <w:numPr>
          <w:ilvl w:val="0"/>
          <w:numId w:val="12"/>
        </w:numPr>
        <w:spacing w:line="240" w:lineRule="atLeast"/>
        <w:ind w:leftChars="150" w:left="720" w:hangingChars="150"/>
        <w:jc w:val="both"/>
        <w:rPr>
          <w:rFonts w:eastAsia="標楷體"/>
        </w:rPr>
      </w:pPr>
      <w:r w:rsidRPr="004D451D">
        <w:rPr>
          <w:rFonts w:eastAsia="標楷體"/>
        </w:rPr>
        <w:t>本表採個體基礎填報。</w:t>
      </w:r>
    </w:p>
    <w:p w:rsidR="00BF3B7A" w:rsidRPr="004D451D" w:rsidRDefault="00BF3B7A" w:rsidP="00EF4134">
      <w:pPr>
        <w:numPr>
          <w:ilvl w:val="0"/>
          <w:numId w:val="12"/>
        </w:numPr>
        <w:spacing w:line="240" w:lineRule="atLeast"/>
        <w:ind w:leftChars="150" w:left="720" w:hangingChars="150"/>
        <w:jc w:val="both"/>
        <w:rPr>
          <w:rFonts w:eastAsia="標楷體"/>
        </w:rPr>
      </w:pPr>
      <w:r w:rsidRPr="004D451D">
        <w:rPr>
          <w:rFonts w:eastAsia="標楷體"/>
        </w:rPr>
        <w:t>本表係填報計算應計提資本之法定風險值，</w:t>
      </w:r>
      <w:r w:rsidR="00D344DA" w:rsidRPr="004D451D">
        <w:rPr>
          <w:rFonts w:eastAsia="標楷體"/>
        </w:rPr>
        <w:t>不包含主管</w:t>
      </w:r>
      <w:r w:rsidRPr="004D451D">
        <w:rPr>
          <w:rFonts w:eastAsia="標楷體"/>
        </w:rPr>
        <w:t>機關裁量之應計提增額資本</w:t>
      </w:r>
      <w:r w:rsidRPr="004D451D">
        <w:rPr>
          <w:rFonts w:eastAsia="標楷體"/>
        </w:rPr>
        <w:t>(</w:t>
      </w:r>
      <w:r w:rsidRPr="004D451D">
        <w:rPr>
          <w:rFonts w:eastAsia="標楷體"/>
        </w:rPr>
        <w:t>例如調整乘數因子</w:t>
      </w:r>
      <w:r w:rsidRPr="004D451D">
        <w:rPr>
          <w:rFonts w:eastAsia="標楷體"/>
        </w:rPr>
        <w:t>)</w:t>
      </w:r>
      <w:r w:rsidRPr="004D451D">
        <w:rPr>
          <w:rFonts w:eastAsia="標楷體"/>
        </w:rPr>
        <w:t>。</w:t>
      </w:r>
    </w:p>
    <w:p w:rsidR="003C3C12" w:rsidRPr="004D451D" w:rsidRDefault="00FD5863" w:rsidP="00EF4134">
      <w:pPr>
        <w:numPr>
          <w:ilvl w:val="0"/>
          <w:numId w:val="12"/>
        </w:numPr>
        <w:spacing w:line="240" w:lineRule="atLeast"/>
        <w:ind w:leftChars="150" w:left="720" w:hangingChars="150"/>
        <w:jc w:val="both"/>
        <w:rPr>
          <w:rFonts w:eastAsia="標楷體"/>
        </w:rPr>
      </w:pPr>
      <w:r w:rsidRPr="004D451D">
        <w:rPr>
          <w:rFonts w:eastAsia="標楷體"/>
        </w:rPr>
        <w:t>本表</w:t>
      </w:r>
      <w:r w:rsidR="003C3C12" w:rsidRPr="004D451D">
        <w:rPr>
          <w:rFonts w:eastAsia="標楷體"/>
        </w:rPr>
        <w:t>反黑</w:t>
      </w:r>
      <w:r w:rsidR="001108AB" w:rsidRPr="004D451D">
        <w:rPr>
          <w:rFonts w:eastAsia="標楷體"/>
        </w:rPr>
        <w:t>部分</w:t>
      </w:r>
      <w:r w:rsidR="00A633F2" w:rsidRPr="004D451D">
        <w:rPr>
          <w:rFonts w:eastAsia="標楷體" w:hint="eastAsia"/>
        </w:rPr>
        <w:t>本國</w:t>
      </w:r>
      <w:r w:rsidR="001108AB" w:rsidRPr="004D451D">
        <w:rPr>
          <w:rFonts w:eastAsia="標楷體"/>
        </w:rPr>
        <w:t>不適用，不須填列。</w:t>
      </w:r>
    </w:p>
    <w:p w:rsidR="00BF3B7A" w:rsidRPr="004D451D" w:rsidRDefault="00BF3B7A" w:rsidP="00BF3B7A">
      <w:pPr>
        <w:spacing w:line="360" w:lineRule="auto"/>
        <w:ind w:left="210" w:hangingChars="75" w:hanging="210"/>
        <w:rPr>
          <w:rFonts w:ascii="Arial" w:eastAsia="標楷體" w:hAnsi="Arial" w:cs="Arial"/>
          <w:sz w:val="28"/>
          <w:szCs w:val="28"/>
        </w:rPr>
      </w:pPr>
    </w:p>
    <w:p w:rsidR="00BF3B7A" w:rsidRPr="004D451D" w:rsidRDefault="00BF3B7A" w:rsidP="00BF3B7A">
      <w:pPr>
        <w:spacing w:line="360" w:lineRule="auto"/>
        <w:ind w:left="210" w:hangingChars="75" w:hanging="210"/>
        <w:rPr>
          <w:rFonts w:ascii="Arial" w:eastAsia="標楷體" w:hAnsi="Arial" w:cs="Arial"/>
          <w:sz w:val="28"/>
          <w:szCs w:val="28"/>
        </w:rPr>
      </w:pPr>
    </w:p>
    <w:p w:rsidR="00BF3B7A" w:rsidRPr="004D451D" w:rsidRDefault="00BF3B7A" w:rsidP="00BF3B7A">
      <w:pPr>
        <w:spacing w:line="360" w:lineRule="auto"/>
        <w:ind w:left="210" w:hangingChars="75" w:hanging="210"/>
        <w:rPr>
          <w:rFonts w:ascii="Arial" w:eastAsia="標楷體" w:hAnsi="Arial" w:cs="Arial"/>
          <w:sz w:val="28"/>
          <w:szCs w:val="28"/>
        </w:rPr>
      </w:pPr>
    </w:p>
    <w:p w:rsidR="00BF3B7A" w:rsidRPr="004D451D" w:rsidRDefault="00BF3B7A" w:rsidP="00BF3B7A">
      <w:pPr>
        <w:spacing w:line="360" w:lineRule="auto"/>
        <w:rPr>
          <w:rFonts w:ascii="Arial" w:eastAsia="標楷體" w:hAnsi="Arial" w:cs="Arial"/>
          <w:sz w:val="28"/>
          <w:szCs w:val="28"/>
        </w:rPr>
      </w:pPr>
    </w:p>
    <w:p w:rsidR="003C3C12" w:rsidRPr="004D451D" w:rsidRDefault="003C3C12" w:rsidP="00BF3B7A">
      <w:pPr>
        <w:spacing w:line="360" w:lineRule="auto"/>
        <w:rPr>
          <w:rFonts w:ascii="Arial" w:eastAsia="標楷體" w:hAnsi="Arial" w:cs="Arial"/>
          <w:sz w:val="28"/>
          <w:szCs w:val="28"/>
        </w:rPr>
      </w:pPr>
    </w:p>
    <w:p w:rsidR="00AD2B6E" w:rsidRPr="004D451D" w:rsidRDefault="00AD2B6E" w:rsidP="00BF3B7A">
      <w:pPr>
        <w:spacing w:line="360" w:lineRule="auto"/>
        <w:rPr>
          <w:rFonts w:ascii="Arial" w:eastAsia="標楷體" w:hAnsi="Arial" w:cs="Arial"/>
          <w:sz w:val="28"/>
          <w:szCs w:val="28"/>
        </w:rPr>
      </w:pPr>
    </w:p>
    <w:p w:rsidR="00AD2B6E" w:rsidRPr="004D451D" w:rsidRDefault="00AD2B6E" w:rsidP="00BF3B7A">
      <w:pPr>
        <w:spacing w:line="360" w:lineRule="auto"/>
        <w:rPr>
          <w:rFonts w:ascii="Arial" w:eastAsia="標楷體" w:hAnsi="Arial" w:cs="Arial"/>
          <w:sz w:val="28"/>
          <w:szCs w:val="28"/>
        </w:rPr>
      </w:pPr>
    </w:p>
    <w:p w:rsidR="00BF3B7A" w:rsidRPr="004D451D" w:rsidRDefault="00A633F2" w:rsidP="00BF3B7A">
      <w:pPr>
        <w:rPr>
          <w:rFonts w:eastAsia="標楷體"/>
          <w:sz w:val="32"/>
          <w:szCs w:val="32"/>
        </w:rPr>
      </w:pPr>
      <w:r w:rsidRPr="004D451D">
        <w:rPr>
          <w:rFonts w:ascii="Arial" w:eastAsia="標楷體" w:hAnsi="Arial" w:cs="Arial"/>
          <w:sz w:val="32"/>
          <w:szCs w:val="32"/>
        </w:rPr>
        <w:br w:type="page"/>
      </w:r>
      <w:r w:rsidR="00BF3B7A" w:rsidRPr="004D451D">
        <w:rPr>
          <w:rFonts w:eastAsia="標楷體"/>
          <w:b/>
          <w:sz w:val="32"/>
          <w:szCs w:val="32"/>
        </w:rPr>
        <w:t>【附表四十</w:t>
      </w:r>
      <w:r w:rsidR="007E6883" w:rsidRPr="004D451D">
        <w:rPr>
          <w:rFonts w:eastAsia="標楷體" w:hint="eastAsia"/>
          <w:b/>
          <w:sz w:val="32"/>
          <w:szCs w:val="32"/>
        </w:rPr>
        <w:t>三</w:t>
      </w:r>
      <w:r w:rsidR="00BF3B7A" w:rsidRPr="004D451D">
        <w:rPr>
          <w:rFonts w:eastAsia="標楷體"/>
          <w:b/>
          <w:sz w:val="32"/>
          <w:szCs w:val="32"/>
        </w:rPr>
        <w:t>】</w:t>
      </w:r>
    </w:p>
    <w:p w:rsidR="00A450F7" w:rsidRPr="004D451D" w:rsidRDefault="00BF3B7A" w:rsidP="00A450F7">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b/>
          <w:szCs w:val="32"/>
        </w:rPr>
        <w:t>風險值與損益之比較暨回顧測試穿透例外數之分析</w:t>
      </w:r>
      <w:r w:rsidR="00A450F7" w:rsidRPr="004D451D">
        <w:rPr>
          <w:rFonts w:ascii="Times New Roman" w:hAnsi="Times New Roman" w:hint="eastAsia"/>
          <w:b/>
          <w:szCs w:val="32"/>
        </w:rPr>
        <w:t>-</w:t>
      </w:r>
      <w:r w:rsidR="00A450F7" w:rsidRPr="004D451D">
        <w:rPr>
          <w:rFonts w:hint="eastAsia"/>
          <w:b/>
          <w:bCs/>
          <w:szCs w:val="32"/>
        </w:rPr>
        <w:t>不適用</w:t>
      </w:r>
    </w:p>
    <w:p w:rsidR="00BF3B7A" w:rsidRPr="004D451D" w:rsidRDefault="00A450F7" w:rsidP="00A450F7">
      <w:pPr>
        <w:pStyle w:val="ad"/>
        <w:spacing w:before="120" w:after="120" w:line="240" w:lineRule="auto"/>
        <w:ind w:leftChars="50" w:left="120" w:right="-54" w:firstLineChars="950" w:firstLine="3040"/>
        <w:jc w:val="both"/>
        <w:rPr>
          <w:rFonts w:ascii="Times New Roman" w:hAnsi="Times New Roman"/>
          <w:szCs w:val="32"/>
        </w:rPr>
      </w:pPr>
      <w:r w:rsidRPr="004D451D">
        <w:rPr>
          <w:rFonts w:ascii="Times New Roman" w:hAnsi="Times New Roman" w:hint="eastAsia"/>
          <w:szCs w:val="32"/>
        </w:rPr>
        <w:t>10</w:t>
      </w:r>
      <w:r w:rsidR="00A837D8" w:rsidRPr="004D451D">
        <w:rPr>
          <w:rFonts w:ascii="Times New Roman" w:hAnsi="Times New Roman" w:hint="eastAsia"/>
          <w:szCs w:val="32"/>
        </w:rPr>
        <w:t>7</w:t>
      </w:r>
      <w:r w:rsidR="00BF3B7A" w:rsidRPr="004D451D">
        <w:rPr>
          <w:rFonts w:ascii="Times New Roman" w:hAnsi="Times New Roman"/>
          <w:szCs w:val="32"/>
        </w:rPr>
        <w:t>年</w:t>
      </w:r>
      <w:r w:rsidR="00A837D8" w:rsidRPr="004D451D">
        <w:rPr>
          <w:rFonts w:ascii="Times New Roman" w:hAnsi="Times New Roman" w:hint="eastAsia"/>
          <w:szCs w:val="32"/>
        </w:rPr>
        <w:t>06</w:t>
      </w:r>
      <w:r w:rsidR="00BF3B7A" w:rsidRPr="004D451D">
        <w:rPr>
          <w:rFonts w:ascii="Times New Roman" w:hAnsi="Times New Roman"/>
          <w:szCs w:val="32"/>
        </w:rPr>
        <w:t>月</w:t>
      </w:r>
      <w:r w:rsidRPr="004D451D">
        <w:rPr>
          <w:rFonts w:ascii="Times New Roman" w:hAnsi="Times New Roman" w:hint="eastAsia"/>
          <w:szCs w:val="32"/>
        </w:rPr>
        <w:t>3</w:t>
      </w:r>
      <w:r w:rsidR="00A837D8" w:rsidRPr="004D451D">
        <w:rPr>
          <w:rFonts w:ascii="Times New Roman" w:hAnsi="Times New Roman" w:hint="eastAsia"/>
          <w:szCs w:val="32"/>
        </w:rPr>
        <w:t>0</w:t>
      </w:r>
      <w:r w:rsidR="00BF3B7A" w:rsidRPr="004D451D">
        <w:rPr>
          <w:rFonts w:ascii="Times New Roman" w:hAnsi="Times New Roman"/>
          <w:szCs w:val="32"/>
        </w:rPr>
        <w:t>日</w:t>
      </w:r>
      <w:r w:rsidR="00BF3B7A" w:rsidRPr="004D451D">
        <w:rPr>
          <w:rFonts w:ascii="Times New Roman" w:hAnsi="Times New Roman"/>
          <w:szCs w:val="32"/>
        </w:rPr>
        <w:t xml:space="preserve">    </w:t>
      </w:r>
      <w:r w:rsidR="00D82B93" w:rsidRPr="004D451D">
        <w:rPr>
          <w:rFonts w:ascii="Times New Roman" w:hAnsi="Times New Roman" w:hint="eastAsia"/>
          <w:sz w:val="24"/>
          <w:szCs w:val="32"/>
        </w:rPr>
        <w:t>（</w:t>
      </w:r>
      <w:r w:rsidR="00BF3B7A" w:rsidRPr="004D451D">
        <w:rPr>
          <w:rFonts w:ascii="Times New Roman" w:hAnsi="Times New Roman"/>
          <w:sz w:val="24"/>
        </w:rPr>
        <w:t>單位</w:t>
      </w:r>
      <w:r w:rsidR="00A633F2" w:rsidRPr="004D451D">
        <w:rPr>
          <w:rFonts w:ascii="Times New Roman" w:hAnsi="Times New Roman"/>
          <w:sz w:val="24"/>
        </w:rPr>
        <w:t>：</w:t>
      </w:r>
      <w:r w:rsidR="00BF3B7A" w:rsidRPr="004D451D">
        <w:rPr>
          <w:rFonts w:ascii="Times New Roman" w:hAnsi="Times New Roman"/>
          <w:sz w:val="24"/>
        </w:rPr>
        <w:t>新臺幣千元</w:t>
      </w:r>
      <w:r w:rsidR="00D82B93" w:rsidRPr="004D451D">
        <w:rPr>
          <w:rFonts w:ascii="Times New Roman" w:hAnsi="Times New Roman" w:hint="eastAsia"/>
          <w:sz w:val="24"/>
        </w:rPr>
        <w:t>）</w:t>
      </w:r>
    </w:p>
    <w:p w:rsidR="00BF3B7A" w:rsidRPr="004D451D" w:rsidRDefault="00320A76" w:rsidP="00BF3B7A">
      <w:pPr>
        <w:jc w:val="center"/>
        <w:rPr>
          <w:rFonts w:eastAsia="標楷體"/>
          <w:b/>
          <w:sz w:val="22"/>
          <w:szCs w:val="22"/>
        </w:rPr>
      </w:pPr>
      <w:r w:rsidRPr="004D451D">
        <w:rPr>
          <w:noProof/>
        </w:rPr>
        <w:drawing>
          <wp:inline distT="0" distB="0" distL="0" distR="0" wp14:anchorId="751FF6C9" wp14:editId="664B6278">
            <wp:extent cx="5057775" cy="29432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2943225"/>
                    </a:xfrm>
                    <a:prstGeom prst="rect">
                      <a:avLst/>
                    </a:prstGeom>
                    <a:noFill/>
                    <a:ln>
                      <a:noFill/>
                    </a:ln>
                  </pic:spPr>
                </pic:pic>
              </a:graphicData>
            </a:graphic>
          </wp:inline>
        </w:drawing>
      </w:r>
    </w:p>
    <w:p w:rsidR="00BF3B7A" w:rsidRPr="004D451D" w:rsidRDefault="00BF3B7A" w:rsidP="00BF3B7A">
      <w:pPr>
        <w:rPr>
          <w:rFonts w:eastAsia="標楷體"/>
          <w:b/>
        </w:rPr>
      </w:pPr>
      <w:r w:rsidRPr="004D451D">
        <w:rPr>
          <w:rFonts w:eastAsia="標楷體"/>
          <w:b/>
        </w:rPr>
        <w:t>分析說明：</w:t>
      </w:r>
    </w:p>
    <w:p w:rsidR="00BF3B7A" w:rsidRPr="004D451D" w:rsidRDefault="00BF3B7A" w:rsidP="00BF3B7A">
      <w:pPr>
        <w:rPr>
          <w:rFonts w:eastAsia="標楷體"/>
          <w:b/>
          <w:sz w:val="22"/>
          <w:szCs w:val="22"/>
        </w:rPr>
      </w:pPr>
    </w:p>
    <w:p w:rsidR="00A633F2" w:rsidRPr="004D451D" w:rsidRDefault="00A633F2" w:rsidP="00BF3B7A">
      <w:pPr>
        <w:rPr>
          <w:rFonts w:eastAsia="標楷體"/>
          <w:b/>
          <w:sz w:val="22"/>
          <w:szCs w:val="22"/>
        </w:rPr>
      </w:pPr>
    </w:p>
    <w:p w:rsidR="00BF3B7A" w:rsidRPr="004D451D" w:rsidRDefault="00BF3B7A" w:rsidP="00A633F2">
      <w:pPr>
        <w:spacing w:line="240" w:lineRule="atLeast"/>
        <w:rPr>
          <w:rFonts w:eastAsia="標楷體"/>
          <w:b/>
        </w:rPr>
      </w:pPr>
      <w:r w:rsidRPr="004D451D">
        <w:rPr>
          <w:rFonts w:eastAsia="標楷體"/>
          <w:b/>
        </w:rPr>
        <w:t>填表說明：</w:t>
      </w:r>
      <w:r w:rsidRPr="004D451D">
        <w:rPr>
          <w:rFonts w:eastAsia="標楷體"/>
          <w:b/>
        </w:rPr>
        <w:t xml:space="preserve"> </w:t>
      </w:r>
    </w:p>
    <w:p w:rsidR="00BF3B7A" w:rsidRPr="004D451D" w:rsidRDefault="00BF3B7A" w:rsidP="00EF4134">
      <w:pPr>
        <w:numPr>
          <w:ilvl w:val="0"/>
          <w:numId w:val="13"/>
        </w:numPr>
        <w:spacing w:line="240" w:lineRule="atLeast"/>
        <w:ind w:leftChars="150" w:left="720" w:hangingChars="150"/>
        <w:jc w:val="both"/>
        <w:rPr>
          <w:rFonts w:eastAsia="標楷體"/>
        </w:rPr>
      </w:pPr>
      <w:r w:rsidRPr="004D451D">
        <w:rPr>
          <w:rFonts w:eastAsia="標楷體"/>
        </w:rPr>
        <w:t>本表更新頻率：半年。</w:t>
      </w:r>
    </w:p>
    <w:p w:rsidR="00BF3B7A" w:rsidRPr="004D451D" w:rsidRDefault="00BF3B7A" w:rsidP="00EF4134">
      <w:pPr>
        <w:numPr>
          <w:ilvl w:val="0"/>
          <w:numId w:val="13"/>
        </w:numPr>
        <w:spacing w:line="240" w:lineRule="atLeast"/>
        <w:ind w:leftChars="150" w:left="720" w:hangingChars="150"/>
        <w:jc w:val="both"/>
        <w:rPr>
          <w:rFonts w:eastAsia="標楷體"/>
        </w:rPr>
      </w:pPr>
      <w:r w:rsidRPr="004D451D">
        <w:rPr>
          <w:rFonts w:eastAsia="標楷體"/>
        </w:rPr>
        <w:t>本表採個體基礎填報。</w:t>
      </w:r>
    </w:p>
    <w:p w:rsidR="00BF3B7A" w:rsidRPr="004D451D" w:rsidRDefault="00BF3B7A" w:rsidP="00EF4134">
      <w:pPr>
        <w:numPr>
          <w:ilvl w:val="0"/>
          <w:numId w:val="13"/>
        </w:numPr>
        <w:spacing w:line="240" w:lineRule="atLeast"/>
        <w:ind w:leftChars="150" w:left="720" w:hangingChars="150"/>
        <w:jc w:val="both"/>
        <w:rPr>
          <w:rFonts w:eastAsia="標楷體"/>
        </w:rPr>
      </w:pPr>
      <w:r w:rsidRPr="004D451D">
        <w:rPr>
          <w:rFonts w:eastAsia="標楷體"/>
        </w:rPr>
        <w:t>採用或部分採用內部模型法之銀行適用本表。</w:t>
      </w:r>
    </w:p>
    <w:p w:rsidR="00BF3B7A" w:rsidRPr="004D451D" w:rsidRDefault="00BF3B7A" w:rsidP="00EF4134">
      <w:pPr>
        <w:numPr>
          <w:ilvl w:val="0"/>
          <w:numId w:val="13"/>
        </w:numPr>
        <w:spacing w:line="240" w:lineRule="atLeast"/>
        <w:ind w:leftChars="150" w:left="720" w:hangingChars="150"/>
        <w:jc w:val="both"/>
        <w:rPr>
          <w:rFonts w:eastAsia="標楷體"/>
        </w:rPr>
      </w:pPr>
      <w:r w:rsidRPr="004D451D">
        <w:rPr>
          <w:rFonts w:eastAsia="標楷體"/>
        </w:rPr>
        <w:t>理論損益係指在日終部位不變假設下，資產組合價值之理論變化。每日風險值應能依據監理要求，於</w:t>
      </w:r>
      <w:r w:rsidRPr="004D451D">
        <w:rPr>
          <w:rFonts w:eastAsia="標楷體"/>
        </w:rPr>
        <w:t>1</w:t>
      </w:r>
      <w:r w:rsidRPr="004D451D">
        <w:rPr>
          <w:rFonts w:eastAsia="標楷體"/>
        </w:rPr>
        <w:t>天持有期間、</w:t>
      </w:r>
      <w:r w:rsidRPr="004D451D">
        <w:rPr>
          <w:rFonts w:eastAsia="標楷體"/>
        </w:rPr>
        <w:t>99%</w:t>
      </w:r>
      <w:r w:rsidRPr="004D451D">
        <w:rPr>
          <w:rFonts w:eastAsia="標楷體"/>
        </w:rPr>
        <w:t>信賴水準假設下，衡量交易部位之風險。</w:t>
      </w:r>
    </w:p>
    <w:p w:rsidR="00BF3B7A" w:rsidRPr="004D451D" w:rsidRDefault="00BF3B7A" w:rsidP="00BF3B7A">
      <w:pPr>
        <w:spacing w:line="360" w:lineRule="auto"/>
        <w:rPr>
          <w:rFonts w:eastAsia="標楷體"/>
          <w:sz w:val="28"/>
          <w:szCs w:val="28"/>
        </w:rPr>
      </w:pPr>
    </w:p>
    <w:p w:rsidR="00BF3B7A" w:rsidRPr="004D451D" w:rsidRDefault="00BF3B7A" w:rsidP="00A633F2">
      <w:pPr>
        <w:spacing w:line="240" w:lineRule="atLeast"/>
        <w:rPr>
          <w:rFonts w:eastAsia="標楷體"/>
          <w:b/>
        </w:rPr>
      </w:pPr>
      <w:r w:rsidRPr="004D451D">
        <w:rPr>
          <w:rFonts w:eastAsia="標楷體"/>
          <w:b/>
        </w:rPr>
        <w:t>附加說明：</w:t>
      </w:r>
    </w:p>
    <w:p w:rsidR="00BF3B7A" w:rsidRPr="004D451D" w:rsidRDefault="00BF3B7A" w:rsidP="00EF4134">
      <w:pPr>
        <w:numPr>
          <w:ilvl w:val="0"/>
          <w:numId w:val="14"/>
        </w:numPr>
        <w:spacing w:line="240" w:lineRule="atLeast"/>
        <w:ind w:leftChars="150" w:left="720" w:hangingChars="150"/>
        <w:jc w:val="both"/>
        <w:rPr>
          <w:rFonts w:eastAsia="標楷體"/>
        </w:rPr>
      </w:pPr>
      <w:r w:rsidRPr="004D451D">
        <w:rPr>
          <w:rFonts w:eastAsia="標楷體"/>
        </w:rPr>
        <w:t>銀行應揭露回顧測試結果之「極端值」</w:t>
      </w:r>
      <w:r w:rsidRPr="004D451D">
        <w:rPr>
          <w:rFonts w:eastAsia="標楷體"/>
        </w:rPr>
        <w:t>(</w:t>
      </w:r>
      <w:r w:rsidRPr="004D451D">
        <w:rPr>
          <w:rFonts w:eastAsia="標楷體"/>
        </w:rPr>
        <w:t>回顧測試之例外值</w:t>
      </w:r>
      <w:r w:rsidRPr="004D451D">
        <w:rPr>
          <w:rFonts w:eastAsia="標楷體"/>
        </w:rPr>
        <w:t>)</w:t>
      </w:r>
      <w:r w:rsidRPr="004D451D">
        <w:rPr>
          <w:rFonts w:eastAsia="標楷體"/>
        </w:rPr>
        <w:t>，尤其是例外日期及其超逾程度</w:t>
      </w:r>
      <w:r w:rsidRPr="004D451D">
        <w:rPr>
          <w:rFonts w:eastAsia="標楷體"/>
        </w:rPr>
        <w:t>(</w:t>
      </w:r>
      <w:r w:rsidRPr="004D451D">
        <w:rPr>
          <w:rFonts w:eastAsia="標楷體"/>
        </w:rPr>
        <w:t>風險值與損益之差</w:t>
      </w:r>
      <w:r w:rsidRPr="004D451D">
        <w:rPr>
          <w:rFonts w:eastAsia="標楷體"/>
        </w:rPr>
        <w:t>)</w:t>
      </w:r>
      <w:r w:rsidRPr="004D451D">
        <w:rPr>
          <w:rFonts w:eastAsia="標楷體"/>
        </w:rPr>
        <w:t>，並需說明例外之主要原因。</w:t>
      </w:r>
    </w:p>
    <w:p w:rsidR="00BF3B7A" w:rsidRPr="004D451D" w:rsidRDefault="00BF3B7A" w:rsidP="00EF4134">
      <w:pPr>
        <w:numPr>
          <w:ilvl w:val="0"/>
          <w:numId w:val="14"/>
        </w:numPr>
        <w:spacing w:line="240" w:lineRule="atLeast"/>
        <w:ind w:leftChars="150" w:left="720" w:hangingChars="150"/>
        <w:jc w:val="both"/>
        <w:rPr>
          <w:rFonts w:eastAsia="標楷體"/>
        </w:rPr>
      </w:pPr>
      <w:r w:rsidRPr="004D451D">
        <w:rPr>
          <w:rFonts w:eastAsia="標楷體"/>
        </w:rPr>
        <w:t>銀行應揭露實際損益與理論損益之比較結果。</w:t>
      </w:r>
    </w:p>
    <w:p w:rsidR="00BF3B7A" w:rsidRPr="004D451D" w:rsidRDefault="00BF3B7A" w:rsidP="00EF4134">
      <w:pPr>
        <w:numPr>
          <w:ilvl w:val="0"/>
          <w:numId w:val="14"/>
        </w:numPr>
        <w:spacing w:line="240" w:lineRule="atLeast"/>
        <w:ind w:leftChars="150" w:left="720" w:hangingChars="150"/>
        <w:jc w:val="both"/>
        <w:rPr>
          <w:rFonts w:eastAsia="標楷體"/>
        </w:rPr>
      </w:pPr>
      <w:r w:rsidRPr="004D451D">
        <w:rPr>
          <w:rFonts w:eastAsia="標楷體"/>
        </w:rPr>
        <w:t>銀行應提供實際損益有關資訊，例如實際損益是否包含損失準備，若無，則回顧測試過程應如何涵蓋損失準備之影響；亦須說明實際損益是否包含佣金及費用。</w:t>
      </w:r>
    </w:p>
    <w:p w:rsidR="00A633F2" w:rsidRPr="004D451D" w:rsidRDefault="00A633F2" w:rsidP="00A633F2">
      <w:pPr>
        <w:spacing w:line="240" w:lineRule="atLeast"/>
        <w:rPr>
          <w:rFonts w:eastAsia="標楷體"/>
        </w:rPr>
      </w:pPr>
    </w:p>
    <w:p w:rsidR="00934456" w:rsidRPr="004D451D" w:rsidRDefault="00A633F2" w:rsidP="00934456">
      <w:pPr>
        <w:widowControl/>
        <w:rPr>
          <w:rFonts w:eastAsia="標楷體"/>
          <w:sz w:val="32"/>
          <w:szCs w:val="32"/>
        </w:rPr>
      </w:pPr>
      <w:r w:rsidRPr="004D451D">
        <w:rPr>
          <w:rFonts w:ascii="Arial" w:eastAsia="標楷體" w:hAnsi="Arial" w:cs="Arial"/>
          <w:sz w:val="32"/>
          <w:szCs w:val="32"/>
        </w:rPr>
        <w:br w:type="page"/>
      </w:r>
      <w:r w:rsidR="00934456" w:rsidRPr="004D451D">
        <w:rPr>
          <w:rFonts w:eastAsia="標楷體"/>
          <w:b/>
          <w:sz w:val="32"/>
          <w:szCs w:val="32"/>
        </w:rPr>
        <w:t>【附表四十</w:t>
      </w:r>
      <w:r w:rsidR="007E6883" w:rsidRPr="004D451D">
        <w:rPr>
          <w:rFonts w:eastAsia="標楷體" w:hint="eastAsia"/>
          <w:b/>
          <w:sz w:val="32"/>
          <w:szCs w:val="32"/>
        </w:rPr>
        <w:t>四</w:t>
      </w:r>
      <w:r w:rsidR="00934456" w:rsidRPr="004D451D">
        <w:rPr>
          <w:rFonts w:eastAsia="標楷體"/>
          <w:b/>
          <w:sz w:val="32"/>
          <w:szCs w:val="32"/>
        </w:rPr>
        <w:t>】</w:t>
      </w:r>
    </w:p>
    <w:p w:rsidR="00910EE8" w:rsidRPr="004D451D" w:rsidRDefault="00934456" w:rsidP="00910EE8">
      <w:pPr>
        <w:jc w:val="center"/>
        <w:rPr>
          <w:rFonts w:eastAsia="標楷體"/>
          <w:b/>
          <w:bCs/>
          <w:sz w:val="32"/>
          <w:szCs w:val="32"/>
        </w:rPr>
      </w:pPr>
      <w:r w:rsidRPr="004D451D">
        <w:rPr>
          <w:rFonts w:eastAsia="標楷體"/>
          <w:b/>
          <w:bCs/>
          <w:sz w:val="32"/>
          <w:szCs w:val="32"/>
        </w:rPr>
        <w:t>證券化暴險定性揭露</w:t>
      </w:r>
      <w:r w:rsidR="00910EE8" w:rsidRPr="004D451D">
        <w:rPr>
          <w:rFonts w:eastAsia="標楷體"/>
          <w:b/>
          <w:bCs/>
          <w:sz w:val="32"/>
          <w:szCs w:val="32"/>
        </w:rPr>
        <w:t>—</w:t>
      </w:r>
      <w:r w:rsidR="00910EE8" w:rsidRPr="004D451D">
        <w:rPr>
          <w:rFonts w:eastAsia="標楷體" w:hint="eastAsia"/>
          <w:b/>
          <w:bCs/>
          <w:sz w:val="32"/>
          <w:szCs w:val="32"/>
        </w:rPr>
        <w:t>非創始機構不適用</w:t>
      </w:r>
    </w:p>
    <w:p w:rsidR="00934456" w:rsidRPr="004D451D" w:rsidRDefault="00910EE8" w:rsidP="00934456">
      <w:pPr>
        <w:spacing w:line="360" w:lineRule="auto"/>
        <w:jc w:val="center"/>
        <w:rPr>
          <w:rFonts w:eastAsia="標楷體"/>
          <w:bCs/>
          <w:sz w:val="32"/>
          <w:szCs w:val="32"/>
        </w:rPr>
      </w:pPr>
      <w:r w:rsidRPr="004D451D">
        <w:rPr>
          <w:rFonts w:eastAsia="標楷體" w:hint="eastAsia"/>
          <w:bCs/>
          <w:sz w:val="32"/>
          <w:szCs w:val="32"/>
        </w:rPr>
        <w:t>10</w:t>
      </w:r>
      <w:r w:rsidR="00A837D8" w:rsidRPr="004D451D">
        <w:rPr>
          <w:rFonts w:eastAsia="標楷體" w:hint="eastAsia"/>
          <w:bCs/>
          <w:sz w:val="32"/>
          <w:szCs w:val="32"/>
        </w:rPr>
        <w:t>7</w:t>
      </w:r>
      <w:r w:rsidR="00934456" w:rsidRPr="004D451D">
        <w:rPr>
          <w:rFonts w:eastAsia="標楷體"/>
          <w:bCs/>
          <w:sz w:val="32"/>
          <w:szCs w:val="32"/>
        </w:rPr>
        <w:t>年</w:t>
      </w:r>
      <w:r w:rsidR="00A837D8" w:rsidRPr="004D451D">
        <w:rPr>
          <w:rFonts w:eastAsia="標楷體" w:hint="eastAsia"/>
          <w:bCs/>
          <w:sz w:val="32"/>
          <w:szCs w:val="32"/>
        </w:rPr>
        <w:t>06</w:t>
      </w:r>
      <w:r w:rsidR="00934456" w:rsidRPr="004D451D">
        <w:rPr>
          <w:rFonts w:eastAsia="標楷體"/>
          <w:bCs/>
          <w:sz w:val="32"/>
          <w:szCs w:val="32"/>
        </w:rPr>
        <w:t>月</w:t>
      </w:r>
      <w:r w:rsidRPr="004D451D">
        <w:rPr>
          <w:rFonts w:eastAsia="標楷體" w:hint="eastAsia"/>
          <w:bCs/>
          <w:sz w:val="32"/>
          <w:szCs w:val="32"/>
        </w:rPr>
        <w:t>3</w:t>
      </w:r>
      <w:r w:rsidR="00A837D8" w:rsidRPr="004D451D">
        <w:rPr>
          <w:rFonts w:eastAsia="標楷體" w:hint="eastAsia"/>
          <w:bCs/>
          <w:sz w:val="32"/>
          <w:szCs w:val="32"/>
        </w:rPr>
        <w:t>0</w:t>
      </w:r>
      <w:r w:rsidR="00934456" w:rsidRPr="004D451D">
        <w:rPr>
          <w:rFonts w:eastAsia="標楷體"/>
          <w:bCs/>
          <w:sz w:val="32"/>
          <w:szCs w:val="32"/>
        </w:rPr>
        <w:t>日</w:t>
      </w:r>
    </w:p>
    <w:tbl>
      <w:tblPr>
        <w:tblW w:w="9735" w:type="dxa"/>
        <w:tblInd w:w="13" w:type="dxa"/>
        <w:tblCellMar>
          <w:left w:w="28" w:type="dxa"/>
          <w:right w:w="28" w:type="dxa"/>
        </w:tblCellMar>
        <w:tblLook w:val="0000" w:firstRow="0" w:lastRow="0" w:firstColumn="0" w:lastColumn="0" w:noHBand="0" w:noVBand="0"/>
      </w:tblPr>
      <w:tblGrid>
        <w:gridCol w:w="620"/>
        <w:gridCol w:w="5360"/>
        <w:gridCol w:w="3755"/>
      </w:tblGrid>
      <w:tr w:rsidR="004D451D" w:rsidRPr="004D451D" w:rsidTr="00332B62">
        <w:trPr>
          <w:trHeight w:val="510"/>
        </w:trPr>
        <w:tc>
          <w:tcPr>
            <w:tcW w:w="5980" w:type="dxa"/>
            <w:gridSpan w:val="2"/>
            <w:tcBorders>
              <w:top w:val="single" w:sz="4" w:space="0" w:color="auto"/>
              <w:left w:val="single" w:sz="4" w:space="0" w:color="auto"/>
              <w:bottom w:val="single" w:sz="4" w:space="0" w:color="auto"/>
              <w:right w:val="single" w:sz="4" w:space="0" w:color="auto"/>
            </w:tcBorders>
            <w:noWrap/>
            <w:vAlign w:val="center"/>
          </w:tcPr>
          <w:p w:rsidR="0022063A" w:rsidRPr="004D451D" w:rsidRDefault="0022063A" w:rsidP="00026A3B">
            <w:pPr>
              <w:widowControl/>
              <w:jc w:val="center"/>
              <w:rPr>
                <w:rFonts w:eastAsia="標楷體"/>
                <w:kern w:val="0"/>
              </w:rPr>
            </w:pPr>
            <w:r w:rsidRPr="004D451D">
              <w:rPr>
                <w:rFonts w:eastAsia="標楷體"/>
                <w:kern w:val="0"/>
              </w:rPr>
              <w:t>項目</w:t>
            </w:r>
          </w:p>
        </w:tc>
        <w:tc>
          <w:tcPr>
            <w:tcW w:w="3755" w:type="dxa"/>
            <w:tcBorders>
              <w:top w:val="single" w:sz="4" w:space="0" w:color="auto"/>
              <w:left w:val="nil"/>
              <w:bottom w:val="single" w:sz="4" w:space="0" w:color="auto"/>
              <w:right w:val="single" w:sz="4" w:space="0" w:color="auto"/>
            </w:tcBorders>
            <w:noWrap/>
            <w:vAlign w:val="center"/>
          </w:tcPr>
          <w:p w:rsidR="0022063A" w:rsidRPr="004D451D" w:rsidRDefault="0022063A" w:rsidP="00026A3B">
            <w:pPr>
              <w:widowControl/>
              <w:jc w:val="center"/>
              <w:rPr>
                <w:rFonts w:eastAsia="標楷體"/>
                <w:kern w:val="0"/>
              </w:rPr>
            </w:pPr>
            <w:r w:rsidRPr="004D451D">
              <w:rPr>
                <w:rFonts w:eastAsia="標楷體"/>
                <w:kern w:val="0"/>
              </w:rPr>
              <w:t>內容</w:t>
            </w:r>
          </w:p>
        </w:tc>
      </w:tr>
      <w:tr w:rsidR="004D451D" w:rsidRPr="004D451D" w:rsidTr="00046F28">
        <w:trPr>
          <w:trHeight w:val="564"/>
        </w:trPr>
        <w:tc>
          <w:tcPr>
            <w:tcW w:w="9735" w:type="dxa"/>
            <w:gridSpan w:val="3"/>
            <w:tcBorders>
              <w:top w:val="nil"/>
              <w:left w:val="single" w:sz="4" w:space="0" w:color="auto"/>
              <w:bottom w:val="single" w:sz="4" w:space="0" w:color="auto"/>
              <w:right w:val="single" w:sz="4" w:space="0" w:color="auto"/>
            </w:tcBorders>
            <w:noWrap/>
            <w:vAlign w:val="center"/>
          </w:tcPr>
          <w:p w:rsidR="00546C90" w:rsidRPr="004D451D" w:rsidRDefault="00546C90" w:rsidP="00546C90">
            <w:pPr>
              <w:widowControl/>
              <w:rPr>
                <w:rFonts w:eastAsia="標楷體"/>
                <w:kern w:val="0"/>
              </w:rPr>
            </w:pPr>
            <w:r w:rsidRPr="004D451D">
              <w:rPr>
                <w:rFonts w:eastAsia="標楷體"/>
                <w:kern w:val="0"/>
              </w:rPr>
              <w:t>證券化暴險的管理目標和政策</w:t>
            </w:r>
          </w:p>
        </w:tc>
      </w:tr>
      <w:tr w:rsidR="004D451D" w:rsidRPr="004D451D" w:rsidTr="00026A3B">
        <w:trPr>
          <w:trHeight w:val="1050"/>
        </w:trPr>
        <w:tc>
          <w:tcPr>
            <w:tcW w:w="620" w:type="dxa"/>
            <w:tcBorders>
              <w:top w:val="nil"/>
              <w:left w:val="single" w:sz="4" w:space="0" w:color="auto"/>
              <w:bottom w:val="single" w:sz="4" w:space="0" w:color="auto"/>
              <w:right w:val="single" w:sz="4" w:space="0" w:color="auto"/>
            </w:tcBorders>
            <w:noWrap/>
            <w:vAlign w:val="center"/>
          </w:tcPr>
          <w:p w:rsidR="00D134A8" w:rsidRPr="004D451D" w:rsidRDefault="0013363D" w:rsidP="00026A3B">
            <w:pPr>
              <w:widowControl/>
              <w:jc w:val="center"/>
              <w:rPr>
                <w:rFonts w:eastAsia="標楷體"/>
                <w:kern w:val="0"/>
              </w:rPr>
            </w:pPr>
            <w:r w:rsidRPr="004D451D">
              <w:rPr>
                <w:rFonts w:eastAsia="標楷體"/>
                <w:kern w:val="0"/>
              </w:rPr>
              <w:t>1</w:t>
            </w:r>
          </w:p>
        </w:tc>
        <w:tc>
          <w:tcPr>
            <w:tcW w:w="5360" w:type="dxa"/>
            <w:tcBorders>
              <w:top w:val="single" w:sz="4" w:space="0" w:color="auto"/>
              <w:left w:val="nil"/>
              <w:bottom w:val="single" w:sz="4" w:space="0" w:color="auto"/>
              <w:right w:val="single" w:sz="4" w:space="0" w:color="000000"/>
            </w:tcBorders>
            <w:vAlign w:val="center"/>
          </w:tcPr>
          <w:p w:rsidR="00D134A8" w:rsidRPr="004D451D" w:rsidRDefault="009055F9" w:rsidP="00782951">
            <w:pPr>
              <w:widowControl/>
              <w:jc w:val="both"/>
              <w:rPr>
                <w:rFonts w:eastAsia="標楷體"/>
                <w:kern w:val="0"/>
              </w:rPr>
            </w:pPr>
            <w:r w:rsidRPr="004D451D">
              <w:rPr>
                <w:rFonts w:eastAsia="標楷體"/>
                <w:lang w:eastAsia="zh-CN"/>
              </w:rPr>
              <w:t>銀行證券化及再證券化業務之目標</w:t>
            </w:r>
            <w:r w:rsidRPr="004D451D">
              <w:t>(</w:t>
            </w:r>
            <w:r w:rsidRPr="004D451D">
              <w:rPr>
                <w:rFonts w:eastAsia="標楷體"/>
                <w:lang w:eastAsia="zh-CN"/>
              </w:rPr>
              <w:t>證券化暴險標的資產之信用風險移轉至其他個體之程度，其風險承擔及風險保留之類別</w:t>
            </w:r>
            <w:r w:rsidRPr="004D451D">
              <w:t>)</w:t>
            </w:r>
          </w:p>
        </w:tc>
        <w:tc>
          <w:tcPr>
            <w:tcW w:w="3755" w:type="dxa"/>
            <w:tcBorders>
              <w:top w:val="single" w:sz="4" w:space="0" w:color="auto"/>
              <w:left w:val="nil"/>
              <w:bottom w:val="single" w:sz="4" w:space="0" w:color="auto"/>
              <w:right w:val="single" w:sz="4" w:space="0" w:color="auto"/>
            </w:tcBorders>
            <w:noWrap/>
            <w:vAlign w:val="center"/>
          </w:tcPr>
          <w:p w:rsidR="00D134A8" w:rsidRPr="004D451D" w:rsidRDefault="00D134A8" w:rsidP="00026A3B">
            <w:pPr>
              <w:widowControl/>
              <w:jc w:val="center"/>
              <w:rPr>
                <w:rFonts w:eastAsia="標楷體"/>
                <w:kern w:val="0"/>
              </w:rPr>
            </w:pPr>
          </w:p>
        </w:tc>
      </w:tr>
      <w:tr w:rsidR="004D451D" w:rsidRPr="004D451D" w:rsidTr="00CF446A">
        <w:trPr>
          <w:trHeight w:val="703"/>
        </w:trPr>
        <w:tc>
          <w:tcPr>
            <w:tcW w:w="620" w:type="dxa"/>
            <w:vMerge w:val="restart"/>
            <w:tcBorders>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r w:rsidRPr="004D451D">
              <w:rPr>
                <w:rFonts w:eastAsia="標楷體"/>
                <w:kern w:val="0"/>
              </w:rPr>
              <w:t>2</w:t>
            </w:r>
          </w:p>
        </w:tc>
        <w:tc>
          <w:tcPr>
            <w:tcW w:w="5360" w:type="dxa"/>
            <w:tcBorders>
              <w:top w:val="single" w:sz="4" w:space="0" w:color="auto"/>
              <w:left w:val="nil"/>
              <w:bottom w:val="single" w:sz="4" w:space="0" w:color="auto"/>
              <w:right w:val="single" w:sz="4" w:space="0" w:color="000000"/>
            </w:tcBorders>
            <w:vAlign w:val="center"/>
          </w:tcPr>
          <w:p w:rsidR="00CF446A" w:rsidRPr="004D451D" w:rsidRDefault="00CF446A" w:rsidP="00482E54">
            <w:pPr>
              <w:numPr>
                <w:ilvl w:val="0"/>
                <w:numId w:val="71"/>
              </w:numPr>
              <w:jc w:val="both"/>
              <w:rPr>
                <w:rFonts w:eastAsia="標楷體"/>
                <w:kern w:val="0"/>
              </w:rPr>
            </w:pPr>
            <w:r w:rsidRPr="004D451D">
              <w:rPr>
                <w:rFonts w:eastAsia="標楷體"/>
                <w:kern w:val="0"/>
              </w:rPr>
              <w:t>說明銀行擔任贊助機構之特殊目的機構</w:t>
            </w:r>
            <w:r w:rsidRPr="004D451D">
              <w:rPr>
                <w:rFonts w:eastAsia="標楷體"/>
                <w:kern w:val="0"/>
              </w:rPr>
              <w:t>(SPEs)</w:t>
            </w:r>
          </w:p>
        </w:tc>
        <w:tc>
          <w:tcPr>
            <w:tcW w:w="3755" w:type="dxa"/>
            <w:tcBorders>
              <w:top w:val="single" w:sz="4" w:space="0" w:color="auto"/>
              <w:left w:val="nil"/>
              <w:bottom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r>
      <w:tr w:rsidR="004D451D" w:rsidRPr="004D451D" w:rsidTr="00CF446A">
        <w:trPr>
          <w:trHeight w:val="1390"/>
        </w:trPr>
        <w:tc>
          <w:tcPr>
            <w:tcW w:w="620" w:type="dxa"/>
            <w:vMerge/>
            <w:tcBorders>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4D451D" w:rsidRDefault="00CF446A" w:rsidP="00482E54">
            <w:pPr>
              <w:widowControl/>
              <w:numPr>
                <w:ilvl w:val="0"/>
                <w:numId w:val="71"/>
              </w:numPr>
              <w:jc w:val="both"/>
              <w:rPr>
                <w:rFonts w:eastAsia="標楷體"/>
                <w:kern w:val="0"/>
              </w:rPr>
            </w:pPr>
            <w:r w:rsidRPr="004D451D">
              <w:rPr>
                <w:rFonts w:eastAsia="標楷體"/>
                <w:lang w:eastAsia="zh-CN"/>
              </w:rPr>
              <w:t>說明證券化之關聯機構</w:t>
            </w:r>
            <w:r w:rsidRPr="004D451D">
              <w:rPr>
                <w:rFonts w:hint="eastAsia"/>
              </w:rPr>
              <w:t>：</w:t>
            </w:r>
          </w:p>
          <w:p w:rsidR="00CF446A" w:rsidRPr="004D451D" w:rsidRDefault="00CF446A" w:rsidP="00482E54">
            <w:pPr>
              <w:widowControl/>
              <w:numPr>
                <w:ilvl w:val="0"/>
                <w:numId w:val="72"/>
              </w:numPr>
              <w:ind w:left="941" w:hanging="340"/>
              <w:jc w:val="both"/>
              <w:rPr>
                <w:rFonts w:eastAsia="標楷體"/>
              </w:rPr>
            </w:pPr>
            <w:r w:rsidRPr="004D451D">
              <w:rPr>
                <w:rFonts w:eastAsia="標楷體"/>
                <w:lang w:eastAsia="zh-CN"/>
              </w:rPr>
              <w:t>上述</w:t>
            </w:r>
            <w:r w:rsidRPr="004D451D">
              <w:t>(1)</w:t>
            </w:r>
            <w:r w:rsidRPr="004D451D">
              <w:rPr>
                <w:rFonts w:eastAsia="標楷體"/>
                <w:lang w:eastAsia="zh-CN"/>
              </w:rPr>
              <w:t>之管理銀行或顧問銀行</w:t>
            </w:r>
          </w:p>
          <w:p w:rsidR="00CF446A" w:rsidRPr="004D451D" w:rsidRDefault="00CF446A" w:rsidP="00482E54">
            <w:pPr>
              <w:numPr>
                <w:ilvl w:val="0"/>
                <w:numId w:val="72"/>
              </w:numPr>
              <w:ind w:left="941" w:hanging="340"/>
              <w:jc w:val="both"/>
              <w:rPr>
                <w:rFonts w:eastAsia="標楷體"/>
                <w:kern w:val="0"/>
              </w:rPr>
            </w:pPr>
            <w:r w:rsidRPr="004D451D">
              <w:rPr>
                <w:rFonts w:eastAsia="標楷體"/>
                <w:lang w:eastAsia="zh-CN"/>
              </w:rPr>
              <w:t>投資於銀行已證券化之證券化暴險或投資於銀行擔任贊助機構之特殊目的機構</w:t>
            </w:r>
          </w:p>
        </w:tc>
        <w:tc>
          <w:tcPr>
            <w:tcW w:w="3755" w:type="dxa"/>
            <w:tcBorders>
              <w:top w:val="single" w:sz="4" w:space="0" w:color="auto"/>
              <w:left w:val="nil"/>
              <w:bottom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r>
      <w:tr w:rsidR="004D451D" w:rsidRPr="004D451D" w:rsidTr="009055F9">
        <w:trPr>
          <w:trHeight w:val="753"/>
        </w:trPr>
        <w:tc>
          <w:tcPr>
            <w:tcW w:w="620" w:type="dxa"/>
            <w:vMerge/>
            <w:tcBorders>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4D451D" w:rsidRDefault="00CF446A" w:rsidP="00482E54">
            <w:pPr>
              <w:numPr>
                <w:ilvl w:val="0"/>
                <w:numId w:val="71"/>
              </w:numPr>
              <w:jc w:val="both"/>
              <w:rPr>
                <w:rFonts w:eastAsia="標楷體"/>
                <w:lang w:eastAsia="zh-CN"/>
              </w:rPr>
            </w:pPr>
            <w:r w:rsidRPr="004D451D">
              <w:rPr>
                <w:rFonts w:eastAsia="標楷體"/>
                <w:lang w:eastAsia="zh-CN"/>
              </w:rPr>
              <w:t>說明銀行提供隱含支撐的機構及其對銀行資本之相關影響</w:t>
            </w:r>
          </w:p>
        </w:tc>
        <w:tc>
          <w:tcPr>
            <w:tcW w:w="3755" w:type="dxa"/>
            <w:tcBorders>
              <w:top w:val="single" w:sz="4" w:space="0" w:color="auto"/>
              <w:left w:val="nil"/>
              <w:bottom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r>
      <w:tr w:rsidR="004D451D" w:rsidRPr="004D451D" w:rsidTr="0013363D">
        <w:trPr>
          <w:trHeight w:val="734"/>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4D451D" w:rsidRDefault="008D35CF" w:rsidP="00026A3B">
            <w:pPr>
              <w:widowControl/>
              <w:jc w:val="center"/>
              <w:rPr>
                <w:rFonts w:eastAsia="標楷體"/>
                <w:kern w:val="0"/>
              </w:rPr>
            </w:pPr>
            <w:r w:rsidRPr="004D451D">
              <w:rPr>
                <w:rFonts w:eastAsia="標楷體"/>
                <w:kern w:val="0"/>
              </w:rPr>
              <w:t>3</w:t>
            </w:r>
          </w:p>
        </w:tc>
        <w:tc>
          <w:tcPr>
            <w:tcW w:w="5360" w:type="dxa"/>
            <w:tcBorders>
              <w:top w:val="single" w:sz="4" w:space="0" w:color="auto"/>
              <w:left w:val="nil"/>
              <w:bottom w:val="single" w:sz="4" w:space="0" w:color="auto"/>
              <w:right w:val="single" w:sz="4" w:space="0" w:color="000000"/>
            </w:tcBorders>
            <w:vAlign w:val="center"/>
          </w:tcPr>
          <w:p w:rsidR="008D35CF" w:rsidRPr="004D451D" w:rsidRDefault="009055F9" w:rsidP="00782951">
            <w:pPr>
              <w:widowControl/>
              <w:jc w:val="both"/>
              <w:rPr>
                <w:rFonts w:eastAsia="標楷體"/>
                <w:kern w:val="0"/>
              </w:rPr>
            </w:pPr>
            <w:r w:rsidRPr="004D451D">
              <w:rPr>
                <w:rFonts w:eastAsia="標楷體"/>
                <w:lang w:eastAsia="zh-CN"/>
              </w:rPr>
              <w:t>綜述銀行證券化之會計政策</w:t>
            </w:r>
          </w:p>
        </w:tc>
        <w:tc>
          <w:tcPr>
            <w:tcW w:w="3755" w:type="dxa"/>
            <w:tcBorders>
              <w:top w:val="single" w:sz="4" w:space="0" w:color="auto"/>
              <w:left w:val="nil"/>
              <w:bottom w:val="single" w:sz="4" w:space="0" w:color="auto"/>
              <w:right w:val="single" w:sz="4" w:space="0" w:color="auto"/>
            </w:tcBorders>
            <w:noWrap/>
            <w:vAlign w:val="center"/>
          </w:tcPr>
          <w:p w:rsidR="008D35CF" w:rsidRPr="004D451D" w:rsidRDefault="008D35CF" w:rsidP="00026A3B">
            <w:pPr>
              <w:widowControl/>
              <w:jc w:val="center"/>
              <w:rPr>
                <w:rFonts w:eastAsia="標楷體"/>
                <w:kern w:val="0"/>
              </w:rPr>
            </w:pPr>
          </w:p>
        </w:tc>
      </w:tr>
      <w:tr w:rsidR="004D451D" w:rsidRPr="004D451D" w:rsidTr="0013363D">
        <w:trPr>
          <w:trHeight w:val="1050"/>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4D451D" w:rsidRDefault="008D35CF" w:rsidP="00026A3B">
            <w:pPr>
              <w:widowControl/>
              <w:jc w:val="center"/>
              <w:rPr>
                <w:rFonts w:eastAsia="標楷體"/>
                <w:kern w:val="0"/>
              </w:rPr>
            </w:pPr>
            <w:r w:rsidRPr="004D451D">
              <w:rPr>
                <w:rFonts w:eastAsia="標楷體"/>
                <w:kern w:val="0"/>
              </w:rPr>
              <w:t>4</w:t>
            </w:r>
          </w:p>
        </w:tc>
        <w:tc>
          <w:tcPr>
            <w:tcW w:w="5360" w:type="dxa"/>
            <w:tcBorders>
              <w:top w:val="single" w:sz="4" w:space="0" w:color="auto"/>
              <w:left w:val="nil"/>
              <w:bottom w:val="single" w:sz="4" w:space="0" w:color="auto"/>
              <w:right w:val="single" w:sz="4" w:space="0" w:color="000000"/>
            </w:tcBorders>
            <w:vAlign w:val="center"/>
          </w:tcPr>
          <w:p w:rsidR="008D35CF" w:rsidRPr="004D451D" w:rsidRDefault="009055F9" w:rsidP="00782951">
            <w:pPr>
              <w:widowControl/>
              <w:jc w:val="both"/>
              <w:rPr>
                <w:rFonts w:eastAsia="標楷體"/>
                <w:kern w:val="0"/>
              </w:rPr>
            </w:pPr>
            <w:r w:rsidRPr="004D451D">
              <w:rPr>
                <w:rFonts w:eastAsia="標楷體"/>
                <w:lang w:eastAsia="zh-CN"/>
              </w:rPr>
              <w:t>證券化中所使用之外部信用評等機構</w:t>
            </w:r>
            <w:r w:rsidRPr="004D451D">
              <w:t>(ECAIs)</w:t>
            </w:r>
            <w:r w:rsidRPr="004D451D">
              <w:rPr>
                <w:rFonts w:eastAsia="標楷體"/>
                <w:lang w:eastAsia="zh-CN"/>
              </w:rPr>
              <w:t>名稱</w:t>
            </w:r>
            <w:r w:rsidR="00782951" w:rsidRPr="004D451D">
              <w:rPr>
                <w:rFonts w:eastAsia="標楷體" w:hint="eastAsia"/>
              </w:rPr>
              <w:t>，</w:t>
            </w:r>
            <w:r w:rsidRPr="004D451D">
              <w:rPr>
                <w:rFonts w:eastAsia="標楷體"/>
                <w:lang w:eastAsia="zh-CN"/>
              </w:rPr>
              <w:t>及</w:t>
            </w:r>
            <w:r w:rsidRPr="004D451D">
              <w:rPr>
                <w:rFonts w:eastAsia="標楷體"/>
              </w:rPr>
              <w:t>其</w:t>
            </w:r>
            <w:r w:rsidRPr="004D451D">
              <w:rPr>
                <w:rFonts w:eastAsia="標楷體"/>
                <w:lang w:eastAsia="zh-CN"/>
              </w:rPr>
              <w:t>使用</w:t>
            </w:r>
            <w:r w:rsidRPr="004D451D">
              <w:rPr>
                <w:rFonts w:eastAsia="標楷體"/>
              </w:rPr>
              <w:t>於每一類</w:t>
            </w:r>
            <w:r w:rsidRPr="004D451D">
              <w:rPr>
                <w:rFonts w:eastAsia="標楷體"/>
                <w:lang w:eastAsia="zh-CN"/>
              </w:rPr>
              <w:t>證券化暴險</w:t>
            </w:r>
            <w:r w:rsidRPr="004D451D">
              <w:rPr>
                <w:rFonts w:eastAsia="標楷體"/>
              </w:rPr>
              <w:t>之情形</w:t>
            </w:r>
          </w:p>
        </w:tc>
        <w:tc>
          <w:tcPr>
            <w:tcW w:w="3755" w:type="dxa"/>
            <w:tcBorders>
              <w:top w:val="single" w:sz="4" w:space="0" w:color="auto"/>
              <w:left w:val="nil"/>
              <w:bottom w:val="single" w:sz="4" w:space="0" w:color="auto"/>
              <w:right w:val="single" w:sz="4" w:space="0" w:color="auto"/>
            </w:tcBorders>
            <w:noWrap/>
            <w:vAlign w:val="center"/>
          </w:tcPr>
          <w:p w:rsidR="008D35CF" w:rsidRPr="004D451D" w:rsidRDefault="008D35CF" w:rsidP="00026A3B">
            <w:pPr>
              <w:widowControl/>
              <w:jc w:val="center"/>
              <w:rPr>
                <w:rFonts w:eastAsia="標楷體"/>
                <w:kern w:val="0"/>
              </w:rPr>
            </w:pPr>
          </w:p>
        </w:tc>
      </w:tr>
      <w:tr w:rsidR="004D451D" w:rsidRPr="004D451D" w:rsidTr="00046F28">
        <w:trPr>
          <w:trHeight w:val="745"/>
        </w:trPr>
        <w:tc>
          <w:tcPr>
            <w:tcW w:w="620" w:type="dxa"/>
            <w:vMerge w:val="restart"/>
            <w:tcBorders>
              <w:top w:val="single" w:sz="4" w:space="0" w:color="auto"/>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r w:rsidRPr="004D451D">
              <w:rPr>
                <w:rFonts w:eastAsia="標楷體"/>
                <w:kern w:val="0"/>
              </w:rPr>
              <w:t>5</w:t>
            </w:r>
          </w:p>
        </w:tc>
        <w:tc>
          <w:tcPr>
            <w:tcW w:w="9115" w:type="dxa"/>
            <w:gridSpan w:val="2"/>
            <w:tcBorders>
              <w:top w:val="single" w:sz="4" w:space="0" w:color="auto"/>
              <w:left w:val="nil"/>
              <w:bottom w:val="single" w:sz="4" w:space="0" w:color="auto"/>
              <w:right w:val="single" w:sz="4" w:space="0" w:color="auto"/>
            </w:tcBorders>
            <w:vAlign w:val="center"/>
          </w:tcPr>
          <w:p w:rsidR="00CF446A" w:rsidRPr="004D451D" w:rsidRDefault="00CF446A" w:rsidP="00782951">
            <w:pPr>
              <w:widowControl/>
              <w:rPr>
                <w:rFonts w:eastAsia="標楷體"/>
                <w:kern w:val="0"/>
              </w:rPr>
            </w:pPr>
            <w:r w:rsidRPr="004D451D">
              <w:rPr>
                <w:rFonts w:eastAsia="標楷體"/>
                <w:lang w:eastAsia="zh-CN"/>
              </w:rPr>
              <w:t>適用內部評估法</w:t>
            </w:r>
            <w:r w:rsidRPr="004D451D">
              <w:t>(IAA)</w:t>
            </w:r>
            <w:r w:rsidRPr="004D451D">
              <w:rPr>
                <w:rFonts w:eastAsia="標楷體"/>
                <w:lang w:eastAsia="zh-CN"/>
              </w:rPr>
              <w:t>者</w:t>
            </w:r>
            <w:r w:rsidRPr="004D451D">
              <w:rPr>
                <w:rFonts w:eastAsia="標楷體"/>
              </w:rPr>
              <w:t>請</w:t>
            </w:r>
            <w:r w:rsidRPr="004D451D">
              <w:rPr>
                <w:rFonts w:eastAsia="標楷體"/>
                <w:lang w:eastAsia="zh-CN"/>
              </w:rPr>
              <w:t>說明</w:t>
            </w:r>
          </w:p>
        </w:tc>
      </w:tr>
      <w:tr w:rsidR="004D451D" w:rsidRPr="004D451D" w:rsidTr="00CF446A">
        <w:trPr>
          <w:trHeight w:val="1055"/>
        </w:trPr>
        <w:tc>
          <w:tcPr>
            <w:tcW w:w="620" w:type="dxa"/>
            <w:vMerge/>
            <w:tcBorders>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4D451D" w:rsidRDefault="00CF446A" w:rsidP="00482E54">
            <w:pPr>
              <w:numPr>
                <w:ilvl w:val="0"/>
                <w:numId w:val="73"/>
              </w:numPr>
              <w:jc w:val="both"/>
              <w:rPr>
                <w:rFonts w:eastAsia="標楷體"/>
                <w:kern w:val="0"/>
              </w:rPr>
            </w:pPr>
            <w:r w:rsidRPr="004D451D">
              <w:rPr>
                <w:rFonts w:eastAsia="標楷體"/>
                <w:kern w:val="0"/>
              </w:rPr>
              <w:t>內部評估程序及內部評估和外部評等二者間對應之架構，包括本表項目</w:t>
            </w:r>
            <w:r w:rsidRPr="004D451D">
              <w:rPr>
                <w:rFonts w:eastAsia="標楷體"/>
                <w:kern w:val="0"/>
              </w:rPr>
              <w:t>4</w:t>
            </w:r>
            <w:r w:rsidRPr="004D451D">
              <w:rPr>
                <w:rFonts w:eastAsia="標楷體"/>
                <w:kern w:val="0"/>
              </w:rPr>
              <w:t>所引用的外部信用評等機構</w:t>
            </w:r>
            <w:r w:rsidRPr="004D451D">
              <w:rPr>
                <w:rFonts w:eastAsia="標楷體"/>
                <w:kern w:val="0"/>
              </w:rPr>
              <w:t>(ECAIs)</w:t>
            </w:r>
            <w:r w:rsidRPr="004D451D">
              <w:rPr>
                <w:rFonts w:eastAsia="標楷體"/>
                <w:kern w:val="0"/>
              </w:rPr>
              <w:t>資訊</w:t>
            </w:r>
          </w:p>
        </w:tc>
        <w:tc>
          <w:tcPr>
            <w:tcW w:w="3755" w:type="dxa"/>
            <w:tcBorders>
              <w:top w:val="single" w:sz="4" w:space="0" w:color="auto"/>
              <w:left w:val="nil"/>
              <w:bottom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r>
      <w:tr w:rsidR="004D451D" w:rsidRPr="004D451D" w:rsidTr="00CF446A">
        <w:trPr>
          <w:trHeight w:val="736"/>
        </w:trPr>
        <w:tc>
          <w:tcPr>
            <w:tcW w:w="620" w:type="dxa"/>
            <w:vMerge/>
            <w:tcBorders>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4D451D" w:rsidRDefault="00CF446A" w:rsidP="00482E54">
            <w:pPr>
              <w:numPr>
                <w:ilvl w:val="0"/>
                <w:numId w:val="73"/>
              </w:numPr>
              <w:jc w:val="both"/>
              <w:rPr>
                <w:rFonts w:eastAsia="標楷體"/>
                <w:kern w:val="0"/>
              </w:rPr>
            </w:pPr>
            <w:r w:rsidRPr="004D451D">
              <w:rPr>
                <w:rFonts w:eastAsia="標楷體"/>
                <w:lang w:eastAsia="zh-CN"/>
              </w:rPr>
              <w:t>內部評估程序的控管機制</w:t>
            </w:r>
            <w:r w:rsidRPr="004D451D">
              <w:t>(</w:t>
            </w:r>
            <w:r w:rsidRPr="004D451D">
              <w:rPr>
                <w:rFonts w:eastAsia="標楷體"/>
                <w:lang w:eastAsia="zh-CN"/>
              </w:rPr>
              <w:t>包括獨立性、權責及內部評估流程覆核</w:t>
            </w:r>
            <w:r w:rsidRPr="004D451D">
              <w:t>)</w:t>
            </w:r>
          </w:p>
        </w:tc>
        <w:tc>
          <w:tcPr>
            <w:tcW w:w="3755" w:type="dxa"/>
            <w:tcBorders>
              <w:top w:val="single" w:sz="4" w:space="0" w:color="auto"/>
              <w:left w:val="nil"/>
              <w:bottom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r>
      <w:tr w:rsidR="004D451D" w:rsidRPr="004D451D" w:rsidTr="0013363D">
        <w:trPr>
          <w:trHeight w:val="1055"/>
        </w:trPr>
        <w:tc>
          <w:tcPr>
            <w:tcW w:w="620" w:type="dxa"/>
            <w:vMerge/>
            <w:tcBorders>
              <w:left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c>
          <w:tcPr>
            <w:tcW w:w="5360" w:type="dxa"/>
            <w:tcBorders>
              <w:top w:val="single" w:sz="4" w:space="0" w:color="auto"/>
              <w:left w:val="nil"/>
              <w:bottom w:val="single" w:sz="4" w:space="0" w:color="auto"/>
              <w:right w:val="single" w:sz="4" w:space="0" w:color="000000"/>
            </w:tcBorders>
            <w:vAlign w:val="center"/>
          </w:tcPr>
          <w:p w:rsidR="00CF446A" w:rsidRPr="004D451D" w:rsidRDefault="00782951" w:rsidP="00482E54">
            <w:pPr>
              <w:numPr>
                <w:ilvl w:val="0"/>
                <w:numId w:val="73"/>
              </w:numPr>
              <w:jc w:val="both"/>
              <w:rPr>
                <w:rFonts w:eastAsia="標楷體"/>
                <w:lang w:eastAsia="zh-CN"/>
              </w:rPr>
            </w:pPr>
            <w:r w:rsidRPr="004D451D">
              <w:rPr>
                <w:rFonts w:eastAsia="標楷體"/>
                <w:lang w:eastAsia="zh-CN"/>
              </w:rPr>
              <w:t>內部評估過程所使用的暴險類型</w:t>
            </w:r>
            <w:r w:rsidRPr="004D451D">
              <w:rPr>
                <w:rFonts w:eastAsia="標楷體" w:hint="eastAsia"/>
              </w:rPr>
              <w:t>，</w:t>
            </w:r>
            <w:r w:rsidRPr="004D451D">
              <w:rPr>
                <w:rFonts w:eastAsia="標楷體"/>
                <w:lang w:eastAsia="zh-CN"/>
              </w:rPr>
              <w:t>和各暴險類型下</w:t>
            </w:r>
            <w:r w:rsidRPr="004D451D">
              <w:rPr>
                <w:rFonts w:eastAsia="標楷體" w:hint="eastAsia"/>
              </w:rPr>
              <w:t>，</w:t>
            </w:r>
            <w:r w:rsidR="00CF446A" w:rsidRPr="004D451D">
              <w:rPr>
                <w:rFonts w:eastAsia="標楷體"/>
                <w:lang w:eastAsia="zh-CN"/>
              </w:rPr>
              <w:t>決定信用增強水準所使用的壓力測試因子</w:t>
            </w:r>
          </w:p>
        </w:tc>
        <w:tc>
          <w:tcPr>
            <w:tcW w:w="3755" w:type="dxa"/>
            <w:tcBorders>
              <w:top w:val="single" w:sz="4" w:space="0" w:color="auto"/>
              <w:left w:val="nil"/>
              <w:bottom w:val="single" w:sz="4" w:space="0" w:color="auto"/>
              <w:right w:val="single" w:sz="4" w:space="0" w:color="auto"/>
            </w:tcBorders>
            <w:noWrap/>
            <w:vAlign w:val="center"/>
          </w:tcPr>
          <w:p w:rsidR="00CF446A" w:rsidRPr="004D451D" w:rsidRDefault="00CF446A" w:rsidP="00026A3B">
            <w:pPr>
              <w:widowControl/>
              <w:jc w:val="center"/>
              <w:rPr>
                <w:rFonts w:eastAsia="標楷體"/>
                <w:kern w:val="0"/>
              </w:rPr>
            </w:pPr>
          </w:p>
        </w:tc>
      </w:tr>
      <w:tr w:rsidR="008D35CF" w:rsidRPr="004D451D" w:rsidTr="0013363D">
        <w:trPr>
          <w:trHeight w:val="1050"/>
        </w:trPr>
        <w:tc>
          <w:tcPr>
            <w:tcW w:w="620" w:type="dxa"/>
            <w:tcBorders>
              <w:top w:val="single" w:sz="4" w:space="0" w:color="auto"/>
              <w:left w:val="single" w:sz="4" w:space="0" w:color="auto"/>
              <w:bottom w:val="single" w:sz="4" w:space="0" w:color="auto"/>
              <w:right w:val="single" w:sz="4" w:space="0" w:color="auto"/>
            </w:tcBorders>
            <w:noWrap/>
            <w:vAlign w:val="center"/>
          </w:tcPr>
          <w:p w:rsidR="008D35CF" w:rsidRPr="004D451D" w:rsidRDefault="008D35CF" w:rsidP="00026A3B">
            <w:pPr>
              <w:widowControl/>
              <w:jc w:val="center"/>
              <w:rPr>
                <w:rFonts w:eastAsia="標楷體"/>
                <w:kern w:val="0"/>
              </w:rPr>
            </w:pPr>
            <w:r w:rsidRPr="004D451D">
              <w:rPr>
                <w:rFonts w:eastAsia="標楷體"/>
                <w:kern w:val="0"/>
              </w:rPr>
              <w:t>6</w:t>
            </w:r>
          </w:p>
        </w:tc>
        <w:tc>
          <w:tcPr>
            <w:tcW w:w="5360" w:type="dxa"/>
            <w:tcBorders>
              <w:top w:val="single" w:sz="4" w:space="0" w:color="auto"/>
              <w:left w:val="nil"/>
              <w:bottom w:val="single" w:sz="4" w:space="0" w:color="auto"/>
              <w:right w:val="single" w:sz="4" w:space="0" w:color="000000"/>
            </w:tcBorders>
            <w:vAlign w:val="center"/>
          </w:tcPr>
          <w:p w:rsidR="008D35CF" w:rsidRPr="004D451D" w:rsidRDefault="009055F9" w:rsidP="00782951">
            <w:pPr>
              <w:widowControl/>
              <w:jc w:val="both"/>
              <w:rPr>
                <w:rFonts w:eastAsia="標楷體"/>
                <w:kern w:val="0"/>
              </w:rPr>
            </w:pPr>
            <w:r w:rsidRPr="004D451D">
              <w:rPr>
                <w:rFonts w:eastAsia="標楷體"/>
                <w:lang w:eastAsia="zh-CN"/>
              </w:rPr>
              <w:t>說明除內部評估法</w:t>
            </w:r>
            <w:r w:rsidRPr="004D451D">
              <w:t>(IAA)</w:t>
            </w:r>
            <w:r w:rsidR="00782951" w:rsidRPr="004D451D">
              <w:rPr>
                <w:rFonts w:eastAsia="標楷體"/>
                <w:lang w:eastAsia="zh-CN"/>
              </w:rPr>
              <w:t>資本計提外</w:t>
            </w:r>
            <w:r w:rsidR="00782951" w:rsidRPr="004D451D">
              <w:rPr>
                <w:rFonts w:eastAsia="標楷體" w:hint="eastAsia"/>
              </w:rPr>
              <w:t>，</w:t>
            </w:r>
            <w:r w:rsidRPr="004D451D">
              <w:rPr>
                <w:rFonts w:eastAsia="標楷體"/>
                <w:lang w:eastAsia="zh-CN"/>
              </w:rPr>
              <w:t>銀行使用的其他內部評估方法</w:t>
            </w:r>
          </w:p>
        </w:tc>
        <w:tc>
          <w:tcPr>
            <w:tcW w:w="3755" w:type="dxa"/>
            <w:tcBorders>
              <w:top w:val="single" w:sz="4" w:space="0" w:color="auto"/>
              <w:left w:val="nil"/>
              <w:bottom w:val="single" w:sz="4" w:space="0" w:color="auto"/>
              <w:right w:val="single" w:sz="4" w:space="0" w:color="auto"/>
            </w:tcBorders>
            <w:noWrap/>
            <w:vAlign w:val="center"/>
          </w:tcPr>
          <w:p w:rsidR="008D35CF" w:rsidRPr="004D451D" w:rsidRDefault="008D35CF" w:rsidP="00026A3B">
            <w:pPr>
              <w:widowControl/>
              <w:jc w:val="center"/>
              <w:rPr>
                <w:rFonts w:eastAsia="標楷體"/>
                <w:kern w:val="0"/>
              </w:rPr>
            </w:pPr>
          </w:p>
        </w:tc>
      </w:tr>
    </w:tbl>
    <w:p w:rsidR="00091F9E" w:rsidRPr="004D451D" w:rsidRDefault="00091F9E" w:rsidP="00091F9E">
      <w:pPr>
        <w:rPr>
          <w:rFonts w:eastAsia="標楷體"/>
          <w:b/>
          <w:kern w:val="0"/>
        </w:rPr>
      </w:pPr>
    </w:p>
    <w:p w:rsidR="00091F9E" w:rsidRPr="004D451D" w:rsidRDefault="00091F9E" w:rsidP="00CF446A">
      <w:pPr>
        <w:spacing w:line="240" w:lineRule="atLeast"/>
        <w:rPr>
          <w:rFonts w:eastAsia="標楷體"/>
          <w:b/>
          <w:kern w:val="0"/>
        </w:rPr>
      </w:pPr>
      <w:r w:rsidRPr="004D451D">
        <w:rPr>
          <w:rFonts w:eastAsia="標楷體"/>
          <w:b/>
          <w:kern w:val="0"/>
        </w:rPr>
        <w:t>填表說明：</w:t>
      </w:r>
    </w:p>
    <w:p w:rsidR="00091F9E" w:rsidRPr="004D451D" w:rsidRDefault="00091F9E" w:rsidP="00EF4134">
      <w:pPr>
        <w:numPr>
          <w:ilvl w:val="0"/>
          <w:numId w:val="74"/>
        </w:numPr>
        <w:spacing w:line="240" w:lineRule="atLeast"/>
        <w:ind w:leftChars="150" w:left="720" w:hangingChars="150"/>
        <w:jc w:val="both"/>
        <w:rPr>
          <w:rFonts w:eastAsia="標楷體"/>
        </w:rPr>
      </w:pPr>
      <w:r w:rsidRPr="004D451D">
        <w:rPr>
          <w:rFonts w:eastAsia="標楷體"/>
        </w:rPr>
        <w:t>本表更新頻率：年。</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本表採個體基礎填報。</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如果銀行持有的證券化部位同時兼跨銀行簿及交易簿時，則銀行必須依據銀行簿或交易簿來區分並加以說明。</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所謂證券化暴險，包括但不侷限於下述種類</w:t>
      </w:r>
      <w:r w:rsidR="00782951" w:rsidRPr="004D451D">
        <w:rPr>
          <w:rFonts w:eastAsia="標楷體"/>
        </w:rPr>
        <w:t>：資産擔保證券</w:t>
      </w:r>
      <w:r w:rsidR="00782951" w:rsidRPr="004D451D">
        <w:rPr>
          <w:rFonts w:eastAsia="標楷體" w:hint="eastAsia"/>
        </w:rPr>
        <w:t>(</w:t>
      </w:r>
      <w:r w:rsidRPr="004D451D">
        <w:rPr>
          <w:rFonts w:eastAsia="標楷體"/>
        </w:rPr>
        <w:t>asset-backed securities</w:t>
      </w:r>
      <w:r w:rsidR="00782951" w:rsidRPr="004D451D">
        <w:rPr>
          <w:rFonts w:eastAsia="標楷體" w:hint="eastAsia"/>
        </w:rPr>
        <w:t>)</w:t>
      </w:r>
      <w:r w:rsidR="00782951" w:rsidRPr="004D451D">
        <w:rPr>
          <w:rFonts w:eastAsia="標楷體"/>
        </w:rPr>
        <w:t>、房貸擔保證券</w:t>
      </w:r>
      <w:r w:rsidR="00782951" w:rsidRPr="004D451D">
        <w:rPr>
          <w:rFonts w:eastAsia="標楷體" w:hint="eastAsia"/>
        </w:rPr>
        <w:t>(</w:t>
      </w:r>
      <w:r w:rsidRPr="004D451D">
        <w:rPr>
          <w:rFonts w:eastAsia="標楷體"/>
        </w:rPr>
        <w:t>mortgage-backed securities</w:t>
      </w:r>
      <w:r w:rsidR="00782951" w:rsidRPr="004D451D">
        <w:rPr>
          <w:rFonts w:eastAsia="標楷體" w:hint="eastAsia"/>
        </w:rPr>
        <w:t>)</w:t>
      </w:r>
      <w:r w:rsidR="00782951" w:rsidRPr="004D451D">
        <w:rPr>
          <w:rFonts w:eastAsia="標楷體"/>
        </w:rPr>
        <w:t>、信用增強</w:t>
      </w:r>
      <w:r w:rsidR="00782951" w:rsidRPr="004D451D">
        <w:rPr>
          <w:rFonts w:eastAsia="標楷體" w:hint="eastAsia"/>
        </w:rPr>
        <w:t>(</w:t>
      </w:r>
      <w:r w:rsidRPr="004D451D">
        <w:rPr>
          <w:rFonts w:eastAsia="標楷體"/>
        </w:rPr>
        <w:t>credit enhancements</w:t>
      </w:r>
      <w:r w:rsidR="00782951" w:rsidRPr="004D451D">
        <w:rPr>
          <w:rFonts w:eastAsia="標楷體" w:hint="eastAsia"/>
        </w:rPr>
        <w:t>)</w:t>
      </w:r>
      <w:r w:rsidR="00782951" w:rsidRPr="004D451D">
        <w:rPr>
          <w:rFonts w:eastAsia="標楷體"/>
        </w:rPr>
        <w:t>、流動性融資額度</w:t>
      </w:r>
      <w:r w:rsidR="00782951" w:rsidRPr="004D451D">
        <w:rPr>
          <w:rFonts w:eastAsia="標楷體" w:hint="eastAsia"/>
        </w:rPr>
        <w:t>(</w:t>
      </w:r>
      <w:r w:rsidRPr="004D451D">
        <w:rPr>
          <w:rFonts w:eastAsia="標楷體"/>
        </w:rPr>
        <w:t>liquidity facilities</w:t>
      </w:r>
      <w:r w:rsidR="00782951" w:rsidRPr="004D451D">
        <w:rPr>
          <w:rFonts w:eastAsia="標楷體" w:hint="eastAsia"/>
        </w:rPr>
        <w:t>)</w:t>
      </w:r>
      <w:r w:rsidRPr="004D451D">
        <w:rPr>
          <w:rFonts w:eastAsia="標楷體"/>
        </w:rPr>
        <w:t>。</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項次</w:t>
      </w:r>
      <w:r w:rsidRPr="004D451D">
        <w:rPr>
          <w:rFonts w:eastAsia="標楷體"/>
        </w:rPr>
        <w:t>1~4</w:t>
      </w:r>
      <w:r w:rsidRPr="004D451D">
        <w:rPr>
          <w:rFonts w:eastAsia="標楷體"/>
        </w:rPr>
        <w:t>僅目前尚有流通在外部位之創始銀行</w:t>
      </w:r>
      <w:r w:rsidRPr="004D451D">
        <w:rPr>
          <w:rFonts w:eastAsia="標楷體"/>
        </w:rPr>
        <w:t>(</w:t>
      </w:r>
      <w:r w:rsidRPr="004D451D">
        <w:rPr>
          <w:rFonts w:eastAsia="標楷體"/>
        </w:rPr>
        <w:t>含贊助機構</w:t>
      </w:r>
      <w:r w:rsidRPr="004D451D">
        <w:rPr>
          <w:rFonts w:eastAsia="標楷體"/>
        </w:rPr>
        <w:t>)</w:t>
      </w:r>
      <w:r w:rsidRPr="004D451D">
        <w:rPr>
          <w:rFonts w:eastAsia="標楷體"/>
        </w:rPr>
        <w:t>方須填寫。</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項次</w:t>
      </w:r>
      <w:r w:rsidRPr="004D451D">
        <w:rPr>
          <w:rFonts w:eastAsia="標楷體"/>
        </w:rPr>
        <w:t>2(1)</w:t>
      </w:r>
      <w:r w:rsidRPr="004D451D">
        <w:rPr>
          <w:rFonts w:eastAsia="標楷體"/>
        </w:rPr>
        <w:t>係考量銀行通常被視為「贊助機構」，如果銀行在實際上或實質上擔任發行計畫之管理、顧問、將證券承銷至市場上或提供流動性和</w:t>
      </w:r>
      <w:r w:rsidRPr="004D451D">
        <w:rPr>
          <w:rFonts w:eastAsia="標楷體"/>
        </w:rPr>
        <w:t>/</w:t>
      </w:r>
      <w:r w:rsidRPr="004D451D">
        <w:rPr>
          <w:rFonts w:eastAsia="標楷體"/>
        </w:rPr>
        <w:t>或信用增強等。發行計畫可能包括，例如，資產基礎商業本票</w:t>
      </w:r>
      <w:r w:rsidRPr="004D451D">
        <w:rPr>
          <w:rFonts w:eastAsia="標楷體"/>
        </w:rPr>
        <w:t>(ABCP)</w:t>
      </w:r>
      <w:r w:rsidRPr="004D451D">
        <w:rPr>
          <w:rFonts w:eastAsia="標楷體"/>
        </w:rPr>
        <w:t>之導管</w:t>
      </w:r>
      <w:r w:rsidRPr="004D451D">
        <w:rPr>
          <w:rFonts w:eastAsia="標楷體"/>
        </w:rPr>
        <w:t>(conduit)</w:t>
      </w:r>
      <w:r w:rsidRPr="004D451D">
        <w:rPr>
          <w:rFonts w:eastAsia="標楷體"/>
        </w:rPr>
        <w:t>和結構型投資工具。</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項次</w:t>
      </w:r>
      <w:r w:rsidRPr="004D451D">
        <w:rPr>
          <w:rFonts w:eastAsia="標楷體"/>
        </w:rPr>
        <w:t>3</w:t>
      </w:r>
      <w:r w:rsidRPr="004D451D">
        <w:rPr>
          <w:rFonts w:eastAsia="標楷體"/>
        </w:rPr>
        <w:t>之內容應將再證券化暴險自證券化暴險中區分出來。</w:t>
      </w:r>
    </w:p>
    <w:p w:rsidR="00CF446A" w:rsidRPr="004D451D" w:rsidRDefault="00CF446A" w:rsidP="00EF4134">
      <w:pPr>
        <w:numPr>
          <w:ilvl w:val="0"/>
          <w:numId w:val="74"/>
        </w:numPr>
        <w:spacing w:line="240" w:lineRule="atLeast"/>
        <w:ind w:leftChars="150" w:left="720" w:hangingChars="150"/>
        <w:jc w:val="both"/>
        <w:rPr>
          <w:rFonts w:eastAsia="標楷體"/>
        </w:rPr>
      </w:pPr>
      <w:r w:rsidRPr="004D451D">
        <w:rPr>
          <w:rFonts w:eastAsia="標楷體"/>
        </w:rPr>
        <w:t>項次</w:t>
      </w:r>
      <w:r w:rsidRPr="004D451D">
        <w:rPr>
          <w:rFonts w:eastAsia="標楷體"/>
        </w:rPr>
        <w:t>5(3)</w:t>
      </w:r>
      <w:r w:rsidRPr="004D451D">
        <w:rPr>
          <w:rFonts w:eastAsia="標楷體"/>
        </w:rPr>
        <w:t>之暴險類型例如，信用卡、房屋淨值、汽車，以及依標的暴險種類和證券種類細分的證券化暴險</w:t>
      </w:r>
      <w:r w:rsidRPr="004D451D">
        <w:rPr>
          <w:rFonts w:eastAsia="標楷體"/>
        </w:rPr>
        <w:t>(</w:t>
      </w:r>
      <w:r w:rsidRPr="004D451D">
        <w:rPr>
          <w:rFonts w:eastAsia="標楷體"/>
        </w:rPr>
        <w:t>如住宅用不動產抵押貸款證券、商業抵押貸款證券、資產基礎證券、債務擔保債券</w:t>
      </w:r>
      <w:r w:rsidRPr="004D451D">
        <w:rPr>
          <w:rFonts w:eastAsia="標楷體"/>
        </w:rPr>
        <w:t>)</w:t>
      </w:r>
      <w:r w:rsidRPr="004D451D">
        <w:rPr>
          <w:rFonts w:eastAsia="標楷體"/>
        </w:rPr>
        <w:t>等。</w:t>
      </w: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5D153B">
      <w:pPr>
        <w:spacing w:line="360" w:lineRule="auto"/>
        <w:ind w:left="210" w:hangingChars="75" w:hanging="210"/>
        <w:rPr>
          <w:rFonts w:ascii="Arial" w:eastAsia="標楷體" w:hAnsi="Arial" w:cs="Arial"/>
          <w:sz w:val="28"/>
          <w:szCs w:val="28"/>
        </w:rPr>
      </w:pPr>
    </w:p>
    <w:p w:rsidR="00AB4AFD" w:rsidRPr="004D451D" w:rsidRDefault="00AB4AFD" w:rsidP="002B2D51">
      <w:pPr>
        <w:spacing w:line="360" w:lineRule="auto"/>
        <w:rPr>
          <w:rFonts w:ascii="Arial" w:eastAsia="標楷體" w:hAnsi="Arial" w:cs="Arial"/>
          <w:sz w:val="28"/>
          <w:szCs w:val="28"/>
        </w:rPr>
      </w:pPr>
    </w:p>
    <w:p w:rsidR="009055F9" w:rsidRPr="004D451D" w:rsidRDefault="009055F9" w:rsidP="002B2D51">
      <w:pPr>
        <w:spacing w:line="360" w:lineRule="auto"/>
        <w:rPr>
          <w:rFonts w:ascii="Arial" w:eastAsia="標楷體" w:hAnsi="Arial" w:cs="Arial"/>
          <w:sz w:val="28"/>
          <w:szCs w:val="28"/>
        </w:rPr>
      </w:pPr>
    </w:p>
    <w:p w:rsidR="007E0635" w:rsidRPr="004D451D" w:rsidRDefault="00CF446A" w:rsidP="007E0635">
      <w:pPr>
        <w:widowControl/>
        <w:rPr>
          <w:rFonts w:eastAsia="標楷體"/>
          <w:sz w:val="32"/>
          <w:szCs w:val="32"/>
        </w:rPr>
      </w:pPr>
      <w:r w:rsidRPr="004D451D">
        <w:rPr>
          <w:rFonts w:ascii="Arial" w:eastAsia="標楷體" w:hAnsi="Arial" w:cs="Arial"/>
          <w:sz w:val="32"/>
          <w:szCs w:val="32"/>
        </w:rPr>
        <w:br w:type="page"/>
      </w:r>
      <w:r w:rsidR="007E0635" w:rsidRPr="004D451D">
        <w:rPr>
          <w:rFonts w:eastAsia="標楷體"/>
          <w:b/>
          <w:sz w:val="32"/>
          <w:szCs w:val="32"/>
        </w:rPr>
        <w:t>【附表四十</w:t>
      </w:r>
      <w:r w:rsidR="00012B42" w:rsidRPr="004D451D">
        <w:rPr>
          <w:rFonts w:eastAsia="標楷體" w:hint="eastAsia"/>
          <w:b/>
          <w:sz w:val="32"/>
          <w:szCs w:val="32"/>
        </w:rPr>
        <w:t>五</w:t>
      </w:r>
      <w:r w:rsidR="007E0635" w:rsidRPr="004D451D">
        <w:rPr>
          <w:rFonts w:eastAsia="標楷體"/>
          <w:b/>
          <w:sz w:val="32"/>
          <w:szCs w:val="32"/>
        </w:rPr>
        <w:t>】</w:t>
      </w:r>
    </w:p>
    <w:p w:rsidR="007E0635" w:rsidRPr="004D451D" w:rsidRDefault="007E0635" w:rsidP="007E0635">
      <w:pPr>
        <w:jc w:val="center"/>
        <w:rPr>
          <w:rFonts w:eastAsia="標楷體"/>
          <w:b/>
          <w:bCs/>
          <w:sz w:val="32"/>
          <w:szCs w:val="32"/>
        </w:rPr>
      </w:pPr>
      <w:r w:rsidRPr="004D451D">
        <w:rPr>
          <w:rFonts w:eastAsia="標楷體"/>
          <w:b/>
          <w:bCs/>
          <w:sz w:val="32"/>
          <w:szCs w:val="32"/>
        </w:rPr>
        <w:t>銀行簿之證券化暴險</w:t>
      </w:r>
    </w:p>
    <w:p w:rsidR="007E0635" w:rsidRPr="004D451D" w:rsidRDefault="007E0635" w:rsidP="007E0635">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910EE8" w:rsidRPr="004D451D">
        <w:rPr>
          <w:rFonts w:eastAsia="標楷體" w:hint="eastAsia"/>
          <w:bCs/>
          <w:sz w:val="32"/>
          <w:szCs w:val="32"/>
        </w:rPr>
        <w:t>10</w:t>
      </w:r>
      <w:r w:rsidR="00A837D8" w:rsidRPr="004D451D">
        <w:rPr>
          <w:rFonts w:eastAsia="標楷體" w:hint="eastAsia"/>
          <w:bCs/>
          <w:sz w:val="32"/>
          <w:szCs w:val="32"/>
        </w:rPr>
        <w:t>7</w:t>
      </w:r>
      <w:r w:rsidRPr="004D451D">
        <w:rPr>
          <w:rFonts w:eastAsia="標楷體"/>
          <w:bCs/>
          <w:sz w:val="32"/>
          <w:szCs w:val="32"/>
        </w:rPr>
        <w:t>年</w:t>
      </w:r>
      <w:r w:rsidR="00A837D8" w:rsidRPr="004D451D">
        <w:rPr>
          <w:rFonts w:eastAsia="標楷體" w:hint="eastAsia"/>
          <w:bCs/>
          <w:sz w:val="32"/>
          <w:szCs w:val="32"/>
        </w:rPr>
        <w:t>06</w:t>
      </w:r>
      <w:r w:rsidRPr="004D451D">
        <w:rPr>
          <w:rFonts w:eastAsia="標楷體"/>
          <w:bCs/>
          <w:sz w:val="32"/>
          <w:szCs w:val="32"/>
        </w:rPr>
        <w:t>月</w:t>
      </w:r>
      <w:r w:rsidR="00910EE8" w:rsidRPr="004D451D">
        <w:rPr>
          <w:rFonts w:eastAsia="標楷體" w:hint="eastAsia"/>
          <w:bCs/>
          <w:sz w:val="32"/>
          <w:szCs w:val="32"/>
        </w:rPr>
        <w:t>3</w:t>
      </w:r>
      <w:r w:rsidR="00A837D8" w:rsidRPr="004D451D">
        <w:rPr>
          <w:rFonts w:eastAsia="標楷體" w:hint="eastAsia"/>
          <w:bCs/>
          <w:sz w:val="32"/>
          <w:szCs w:val="32"/>
        </w:rPr>
        <w:t>0</w:t>
      </w:r>
      <w:r w:rsidRPr="004D451D">
        <w:rPr>
          <w:rFonts w:eastAsia="標楷體"/>
          <w:bCs/>
          <w:sz w:val="32"/>
          <w:szCs w:val="32"/>
        </w:rPr>
        <w:t>日</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9229FB" w:rsidRPr="004D451D">
        <w:rPr>
          <w:rFonts w:eastAsia="標楷體" w:hint="eastAsia"/>
          <w:bCs/>
        </w:rPr>
        <w:t>：</w:t>
      </w:r>
      <w:r w:rsidRPr="004D451D">
        <w:rPr>
          <w:rFonts w:eastAsia="標楷體"/>
          <w:bCs/>
        </w:rPr>
        <w:t>新臺幣千元</w:t>
      </w:r>
      <w:r w:rsidR="00D82B93" w:rsidRPr="004D451D">
        <w:rPr>
          <w:rFonts w:eastAsia="標楷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1287"/>
        <w:gridCol w:w="1144"/>
        <w:gridCol w:w="987"/>
        <w:gridCol w:w="1157"/>
        <w:gridCol w:w="1000"/>
        <w:gridCol w:w="1188"/>
      </w:tblGrid>
      <w:tr w:rsidR="004D451D" w:rsidRPr="004D451D" w:rsidTr="00910EE8">
        <w:trPr>
          <w:jc w:val="center"/>
        </w:trPr>
        <w:tc>
          <w:tcPr>
            <w:tcW w:w="2928" w:type="dxa"/>
            <w:vMerge w:val="restart"/>
            <w:shd w:val="clear" w:color="auto" w:fill="auto"/>
            <w:vAlign w:val="center"/>
          </w:tcPr>
          <w:p w:rsidR="00FD6B6A" w:rsidRPr="004D451D" w:rsidRDefault="00FD6B6A" w:rsidP="00B250C2">
            <w:pPr>
              <w:spacing w:line="360" w:lineRule="auto"/>
              <w:jc w:val="center"/>
              <w:rPr>
                <w:rFonts w:eastAsia="標楷體"/>
              </w:rPr>
            </w:pPr>
            <w:r w:rsidRPr="004D451D">
              <w:rPr>
                <w:rFonts w:eastAsia="標楷體"/>
              </w:rPr>
              <w:t>資產類別</w:t>
            </w:r>
          </w:p>
        </w:tc>
        <w:tc>
          <w:tcPr>
            <w:tcW w:w="3418" w:type="dxa"/>
            <w:gridSpan w:val="3"/>
            <w:shd w:val="clear" w:color="auto" w:fill="auto"/>
            <w:vAlign w:val="center"/>
          </w:tcPr>
          <w:p w:rsidR="00FD6B6A" w:rsidRPr="004D451D" w:rsidRDefault="00FD6B6A" w:rsidP="00B250C2">
            <w:pPr>
              <w:spacing w:line="360" w:lineRule="auto"/>
              <w:jc w:val="center"/>
              <w:rPr>
                <w:rFonts w:eastAsia="標楷體"/>
              </w:rPr>
            </w:pPr>
            <w:r w:rsidRPr="004D451D">
              <w:rPr>
                <w:rFonts w:eastAsia="標楷體"/>
              </w:rPr>
              <w:t>銀行擔任創始機構</w:t>
            </w:r>
          </w:p>
        </w:tc>
        <w:tc>
          <w:tcPr>
            <w:tcW w:w="3345" w:type="dxa"/>
            <w:gridSpan w:val="3"/>
            <w:shd w:val="clear" w:color="auto" w:fill="auto"/>
            <w:vAlign w:val="center"/>
          </w:tcPr>
          <w:p w:rsidR="00FD6B6A" w:rsidRPr="004D451D" w:rsidRDefault="00FD6B6A" w:rsidP="00B250C2">
            <w:pPr>
              <w:spacing w:line="360" w:lineRule="auto"/>
              <w:jc w:val="center"/>
              <w:rPr>
                <w:rFonts w:eastAsia="標楷體"/>
              </w:rPr>
            </w:pPr>
            <w:r w:rsidRPr="004D451D">
              <w:rPr>
                <w:rFonts w:eastAsia="標楷體"/>
              </w:rPr>
              <w:t>銀行擔任投資機構</w:t>
            </w:r>
          </w:p>
        </w:tc>
      </w:tr>
      <w:tr w:rsidR="004D451D" w:rsidRPr="004D451D" w:rsidTr="00910EE8">
        <w:trPr>
          <w:jc w:val="center"/>
        </w:trPr>
        <w:tc>
          <w:tcPr>
            <w:tcW w:w="2928" w:type="dxa"/>
            <w:vMerge/>
            <w:shd w:val="clear" w:color="auto" w:fill="auto"/>
            <w:vAlign w:val="center"/>
          </w:tcPr>
          <w:p w:rsidR="00FD6B6A" w:rsidRPr="004D451D" w:rsidRDefault="00FD6B6A" w:rsidP="00B250C2">
            <w:pPr>
              <w:spacing w:line="360" w:lineRule="auto"/>
              <w:jc w:val="center"/>
              <w:rPr>
                <w:rFonts w:eastAsia="標楷體"/>
              </w:rPr>
            </w:pPr>
          </w:p>
        </w:tc>
        <w:tc>
          <w:tcPr>
            <w:tcW w:w="1287" w:type="dxa"/>
            <w:shd w:val="clear" w:color="auto" w:fill="auto"/>
            <w:vAlign w:val="center"/>
          </w:tcPr>
          <w:p w:rsidR="00FD6B6A" w:rsidRPr="004D451D" w:rsidRDefault="00FD6B6A" w:rsidP="00B250C2">
            <w:pPr>
              <w:spacing w:line="360" w:lineRule="auto"/>
              <w:jc w:val="center"/>
              <w:rPr>
                <w:rFonts w:eastAsia="標楷體"/>
              </w:rPr>
            </w:pPr>
            <w:r w:rsidRPr="004D451D">
              <w:rPr>
                <w:rFonts w:eastAsia="標楷體"/>
              </w:rPr>
              <w:t>傳統型</w:t>
            </w:r>
          </w:p>
        </w:tc>
        <w:tc>
          <w:tcPr>
            <w:tcW w:w="1144" w:type="dxa"/>
            <w:shd w:val="clear" w:color="auto" w:fill="auto"/>
            <w:vAlign w:val="center"/>
          </w:tcPr>
          <w:p w:rsidR="00FD6B6A" w:rsidRPr="004D451D" w:rsidRDefault="00FD6B6A" w:rsidP="00B250C2">
            <w:pPr>
              <w:spacing w:line="360" w:lineRule="auto"/>
              <w:jc w:val="center"/>
              <w:rPr>
                <w:rFonts w:eastAsia="標楷體"/>
              </w:rPr>
            </w:pPr>
            <w:r w:rsidRPr="004D451D">
              <w:rPr>
                <w:rFonts w:eastAsia="標楷體"/>
              </w:rPr>
              <w:t>組合型</w:t>
            </w:r>
          </w:p>
        </w:tc>
        <w:tc>
          <w:tcPr>
            <w:tcW w:w="987" w:type="dxa"/>
            <w:shd w:val="clear" w:color="auto" w:fill="auto"/>
            <w:vAlign w:val="center"/>
          </w:tcPr>
          <w:p w:rsidR="00FD6B6A" w:rsidRPr="004D451D" w:rsidRDefault="00FD6B6A" w:rsidP="00B250C2">
            <w:pPr>
              <w:spacing w:line="360" w:lineRule="auto"/>
              <w:jc w:val="center"/>
              <w:rPr>
                <w:rFonts w:eastAsia="標楷體"/>
              </w:rPr>
            </w:pPr>
            <w:r w:rsidRPr="004D451D">
              <w:rPr>
                <w:rFonts w:eastAsia="標楷體"/>
              </w:rPr>
              <w:t>小計</w:t>
            </w:r>
          </w:p>
        </w:tc>
        <w:tc>
          <w:tcPr>
            <w:tcW w:w="1157" w:type="dxa"/>
            <w:shd w:val="clear" w:color="auto" w:fill="auto"/>
            <w:vAlign w:val="center"/>
          </w:tcPr>
          <w:p w:rsidR="00FD6B6A" w:rsidRPr="004D451D" w:rsidRDefault="00FD6B6A" w:rsidP="00B250C2">
            <w:pPr>
              <w:jc w:val="center"/>
              <w:rPr>
                <w:rFonts w:eastAsia="標楷體"/>
              </w:rPr>
            </w:pPr>
            <w:r w:rsidRPr="004D451D">
              <w:rPr>
                <w:rFonts w:eastAsia="標楷體"/>
              </w:rPr>
              <w:t>傳統型</w:t>
            </w:r>
          </w:p>
        </w:tc>
        <w:tc>
          <w:tcPr>
            <w:tcW w:w="1000" w:type="dxa"/>
            <w:shd w:val="clear" w:color="auto" w:fill="auto"/>
            <w:vAlign w:val="center"/>
          </w:tcPr>
          <w:p w:rsidR="00FD6B6A" w:rsidRPr="004D451D" w:rsidRDefault="00FD6B6A" w:rsidP="00B250C2">
            <w:pPr>
              <w:jc w:val="center"/>
              <w:rPr>
                <w:rFonts w:eastAsia="標楷體"/>
              </w:rPr>
            </w:pPr>
            <w:r w:rsidRPr="004D451D">
              <w:rPr>
                <w:rFonts w:eastAsia="標楷體"/>
              </w:rPr>
              <w:t>組合型</w:t>
            </w:r>
          </w:p>
        </w:tc>
        <w:tc>
          <w:tcPr>
            <w:tcW w:w="1188" w:type="dxa"/>
            <w:shd w:val="clear" w:color="auto" w:fill="auto"/>
            <w:vAlign w:val="center"/>
          </w:tcPr>
          <w:p w:rsidR="00FD6B6A" w:rsidRPr="004D451D" w:rsidRDefault="00FD6B6A" w:rsidP="00B250C2">
            <w:pPr>
              <w:jc w:val="center"/>
              <w:rPr>
                <w:rFonts w:eastAsia="標楷體"/>
              </w:rPr>
            </w:pPr>
            <w:r w:rsidRPr="004D451D">
              <w:rPr>
                <w:rFonts w:eastAsia="標楷體"/>
              </w:rPr>
              <w:t>小計</w:t>
            </w:r>
          </w:p>
        </w:tc>
      </w:tr>
      <w:tr w:rsidR="004D451D" w:rsidRPr="004D451D" w:rsidTr="00910EE8">
        <w:trPr>
          <w:jc w:val="center"/>
        </w:trPr>
        <w:tc>
          <w:tcPr>
            <w:tcW w:w="2928" w:type="dxa"/>
            <w:shd w:val="clear" w:color="auto" w:fill="auto"/>
          </w:tcPr>
          <w:p w:rsidR="00FD6B6A" w:rsidRPr="004D451D" w:rsidRDefault="00FD6B6A" w:rsidP="00B250C2">
            <w:pPr>
              <w:spacing w:line="360" w:lineRule="auto"/>
              <w:rPr>
                <w:rFonts w:eastAsia="標楷體"/>
                <w:b/>
              </w:rPr>
            </w:pPr>
            <w:r w:rsidRPr="004D451D">
              <w:rPr>
                <w:rFonts w:eastAsia="標楷體"/>
                <w:b/>
              </w:rPr>
              <w:t>零售型</w:t>
            </w:r>
            <w:r w:rsidRPr="004D451D">
              <w:rPr>
                <w:rFonts w:eastAsia="標楷體"/>
                <w:b/>
              </w:rPr>
              <w:t>(</w:t>
            </w:r>
            <w:r w:rsidRPr="004D451D">
              <w:rPr>
                <w:rFonts w:eastAsia="標楷體"/>
                <w:b/>
              </w:rPr>
              <w:t>總計</w:t>
            </w:r>
            <w:r w:rsidRPr="004D451D">
              <w:rPr>
                <w:rFonts w:eastAsia="標楷體"/>
                <w:b/>
              </w:rPr>
              <w:t>)</w:t>
            </w:r>
          </w:p>
        </w:tc>
        <w:tc>
          <w:tcPr>
            <w:tcW w:w="128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44"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98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5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000"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88"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房屋貸款</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信用卡</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其他零售暴險</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再證券化</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B250C2">
            <w:pPr>
              <w:spacing w:line="360" w:lineRule="auto"/>
              <w:rPr>
                <w:rFonts w:eastAsia="標楷體"/>
                <w:b/>
              </w:rPr>
            </w:pPr>
            <w:r w:rsidRPr="004D451D">
              <w:rPr>
                <w:rFonts w:eastAsia="標楷體"/>
                <w:b/>
              </w:rPr>
              <w:t>企業型</w:t>
            </w:r>
            <w:r w:rsidRPr="004D451D">
              <w:rPr>
                <w:rFonts w:eastAsia="標楷體"/>
                <w:b/>
              </w:rPr>
              <w:t>(</w:t>
            </w:r>
            <w:r w:rsidRPr="004D451D">
              <w:rPr>
                <w:rFonts w:eastAsia="標楷體"/>
                <w:b/>
              </w:rPr>
              <w:t>總計</w:t>
            </w:r>
            <w:r w:rsidRPr="004D451D">
              <w:rPr>
                <w:rFonts w:eastAsia="標楷體"/>
                <w:b/>
              </w:rPr>
              <w:t>)</w:t>
            </w:r>
          </w:p>
        </w:tc>
        <w:tc>
          <w:tcPr>
            <w:tcW w:w="128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44"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98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5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000"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88"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企業貸款</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商用不動產貸款</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租賃及應收帳款</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其他企業型暴險</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9229FB">
            <w:pPr>
              <w:spacing w:line="360" w:lineRule="auto"/>
              <w:ind w:leftChars="100" w:left="240"/>
              <w:rPr>
                <w:rFonts w:eastAsia="標楷體"/>
              </w:rPr>
            </w:pPr>
            <w:r w:rsidRPr="004D451D">
              <w:rPr>
                <w:rFonts w:eastAsia="標楷體"/>
              </w:rPr>
              <w:t>再證券化</w:t>
            </w:r>
          </w:p>
        </w:tc>
        <w:tc>
          <w:tcPr>
            <w:tcW w:w="1287" w:type="dxa"/>
            <w:shd w:val="clear" w:color="auto" w:fill="auto"/>
            <w:vAlign w:val="center"/>
          </w:tcPr>
          <w:p w:rsidR="00FD6B6A" w:rsidRPr="004D451D" w:rsidRDefault="00FD6B6A" w:rsidP="00DD2A92">
            <w:pPr>
              <w:jc w:val="right"/>
              <w:rPr>
                <w:rFonts w:ascii="Arial" w:hAnsi="Arial" w:cs="Arial"/>
              </w:rPr>
            </w:pPr>
          </w:p>
        </w:tc>
        <w:tc>
          <w:tcPr>
            <w:tcW w:w="1144" w:type="dxa"/>
            <w:shd w:val="clear" w:color="auto" w:fill="auto"/>
            <w:vAlign w:val="center"/>
          </w:tcPr>
          <w:p w:rsidR="00FD6B6A" w:rsidRPr="004D451D" w:rsidRDefault="00FD6B6A" w:rsidP="00DD2A92">
            <w:pPr>
              <w:jc w:val="right"/>
              <w:rPr>
                <w:rFonts w:ascii="Arial" w:hAnsi="Arial" w:cs="Arial"/>
              </w:rPr>
            </w:pPr>
          </w:p>
        </w:tc>
        <w:tc>
          <w:tcPr>
            <w:tcW w:w="987" w:type="dxa"/>
            <w:shd w:val="clear" w:color="auto" w:fill="auto"/>
            <w:vAlign w:val="center"/>
          </w:tcPr>
          <w:p w:rsidR="00FD6B6A" w:rsidRPr="004D451D" w:rsidRDefault="00FD6B6A" w:rsidP="00DD2A92">
            <w:pPr>
              <w:jc w:val="right"/>
              <w:rPr>
                <w:rFonts w:ascii="Arial" w:hAnsi="Arial" w:cs="Arial"/>
              </w:rPr>
            </w:pPr>
          </w:p>
        </w:tc>
        <w:tc>
          <w:tcPr>
            <w:tcW w:w="1157" w:type="dxa"/>
            <w:shd w:val="clear" w:color="auto" w:fill="auto"/>
            <w:vAlign w:val="center"/>
          </w:tcPr>
          <w:p w:rsidR="00FD6B6A" w:rsidRPr="004D451D" w:rsidRDefault="00FD6B6A" w:rsidP="00DD2A92">
            <w:pPr>
              <w:jc w:val="right"/>
              <w:rPr>
                <w:rFonts w:ascii="Arial" w:hAnsi="Arial" w:cs="Arial"/>
              </w:rPr>
            </w:pPr>
          </w:p>
        </w:tc>
        <w:tc>
          <w:tcPr>
            <w:tcW w:w="1000" w:type="dxa"/>
            <w:shd w:val="clear" w:color="auto" w:fill="auto"/>
            <w:vAlign w:val="center"/>
          </w:tcPr>
          <w:p w:rsidR="00FD6B6A" w:rsidRPr="004D451D" w:rsidRDefault="00FD6B6A" w:rsidP="00DD2A92">
            <w:pPr>
              <w:jc w:val="right"/>
              <w:rPr>
                <w:rFonts w:ascii="Arial" w:hAnsi="Arial" w:cs="Arial"/>
              </w:rPr>
            </w:pPr>
          </w:p>
        </w:tc>
        <w:tc>
          <w:tcPr>
            <w:tcW w:w="1188" w:type="dxa"/>
            <w:shd w:val="clear" w:color="auto" w:fill="auto"/>
            <w:vAlign w:val="center"/>
          </w:tcPr>
          <w:p w:rsidR="00FD6B6A" w:rsidRPr="004D451D" w:rsidRDefault="00FD6B6A" w:rsidP="00DD2A92">
            <w:pPr>
              <w:jc w:val="right"/>
              <w:rPr>
                <w:rFonts w:ascii="Arial" w:hAnsi="Arial" w:cs="Arial"/>
              </w:rPr>
            </w:pPr>
          </w:p>
        </w:tc>
      </w:tr>
      <w:tr w:rsidR="004D451D" w:rsidRPr="004D451D" w:rsidTr="00910EE8">
        <w:trPr>
          <w:jc w:val="center"/>
        </w:trPr>
        <w:tc>
          <w:tcPr>
            <w:tcW w:w="2928" w:type="dxa"/>
            <w:shd w:val="clear" w:color="auto" w:fill="auto"/>
          </w:tcPr>
          <w:p w:rsidR="00FD6B6A" w:rsidRPr="004D451D" w:rsidRDefault="00FD6B6A" w:rsidP="00B250C2">
            <w:pPr>
              <w:spacing w:line="360" w:lineRule="auto"/>
              <w:rPr>
                <w:rFonts w:eastAsia="標楷體"/>
                <w:b/>
              </w:rPr>
            </w:pPr>
            <w:r w:rsidRPr="004D451D">
              <w:rPr>
                <w:rFonts w:eastAsia="標楷體"/>
                <w:b/>
              </w:rPr>
              <w:t>總計</w:t>
            </w:r>
          </w:p>
        </w:tc>
        <w:tc>
          <w:tcPr>
            <w:tcW w:w="128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44"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98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57"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000"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c>
          <w:tcPr>
            <w:tcW w:w="1188" w:type="dxa"/>
            <w:shd w:val="clear" w:color="auto" w:fill="auto"/>
            <w:vAlign w:val="center"/>
          </w:tcPr>
          <w:p w:rsidR="00FD6B6A" w:rsidRPr="004D451D" w:rsidRDefault="00910EE8" w:rsidP="00DD2A92">
            <w:pPr>
              <w:jc w:val="right"/>
              <w:rPr>
                <w:rFonts w:ascii="Arial" w:hAnsi="Arial" w:cs="Arial"/>
              </w:rPr>
            </w:pPr>
            <w:r w:rsidRPr="004D451D">
              <w:rPr>
                <w:rFonts w:ascii="Arial" w:hAnsi="Arial" w:cs="Arial" w:hint="eastAsia"/>
              </w:rPr>
              <w:t>0</w:t>
            </w:r>
          </w:p>
        </w:tc>
      </w:tr>
      <w:tr w:rsidR="00FD6B6A" w:rsidRPr="004D451D" w:rsidTr="00910EE8">
        <w:trPr>
          <w:trHeight w:val="624"/>
          <w:jc w:val="center"/>
        </w:trPr>
        <w:tc>
          <w:tcPr>
            <w:tcW w:w="9691" w:type="dxa"/>
            <w:gridSpan w:val="7"/>
            <w:shd w:val="clear" w:color="auto" w:fill="auto"/>
          </w:tcPr>
          <w:p w:rsidR="00FD6B6A" w:rsidRPr="004D451D" w:rsidRDefault="00FD6B6A" w:rsidP="00B250C2">
            <w:pPr>
              <w:spacing w:line="360" w:lineRule="auto"/>
              <w:rPr>
                <w:rFonts w:eastAsia="標楷體"/>
              </w:rPr>
            </w:pPr>
            <w:r w:rsidRPr="004D451D">
              <w:rPr>
                <w:rFonts w:eastAsia="標楷體"/>
              </w:rPr>
              <w:t>重大變動原因及說明</w:t>
            </w:r>
            <w:r w:rsidR="009229FB" w:rsidRPr="004D451D">
              <w:rPr>
                <w:rFonts w:eastAsia="標楷體" w:hint="eastAsia"/>
              </w:rPr>
              <w:t>：</w:t>
            </w:r>
          </w:p>
        </w:tc>
      </w:tr>
    </w:tbl>
    <w:p w:rsidR="0086258D" w:rsidRPr="004D451D" w:rsidRDefault="0086258D" w:rsidP="00AE6365">
      <w:pPr>
        <w:rPr>
          <w:rFonts w:eastAsia="標楷體"/>
          <w:b/>
          <w:kern w:val="0"/>
        </w:rPr>
      </w:pPr>
    </w:p>
    <w:p w:rsidR="00AE6365" w:rsidRPr="004D451D" w:rsidRDefault="00AE6365" w:rsidP="009229FB">
      <w:pPr>
        <w:spacing w:line="240" w:lineRule="atLeast"/>
        <w:rPr>
          <w:rFonts w:eastAsia="標楷體"/>
          <w:b/>
          <w:kern w:val="0"/>
        </w:rPr>
      </w:pPr>
      <w:r w:rsidRPr="004D451D">
        <w:rPr>
          <w:rFonts w:eastAsia="標楷體"/>
          <w:b/>
          <w:kern w:val="0"/>
        </w:rPr>
        <w:t>填表說明：</w:t>
      </w:r>
    </w:p>
    <w:p w:rsidR="00AE6365" w:rsidRPr="004D451D" w:rsidRDefault="00AE6365" w:rsidP="00EF4134">
      <w:pPr>
        <w:numPr>
          <w:ilvl w:val="0"/>
          <w:numId w:val="75"/>
        </w:numPr>
        <w:spacing w:line="240" w:lineRule="atLeast"/>
        <w:ind w:leftChars="150" w:left="720" w:hangingChars="150"/>
        <w:jc w:val="both"/>
        <w:rPr>
          <w:rFonts w:eastAsia="標楷體"/>
        </w:rPr>
      </w:pPr>
      <w:r w:rsidRPr="004D451D">
        <w:rPr>
          <w:rFonts w:eastAsia="標楷體"/>
        </w:rPr>
        <w:t>本表更新頻率：半年。</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本表採個體基礎填報。</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本表係填寫帳面金額，銀行為創始機構，證券化暴險為保留部位、提供流動性融資額度或是提供信用增強之金額，當銀行為投資機構時，證券化暴險為購自第三者的投資部位。</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銀行符合以下條件之一者，即屬證券化交易之創始機構：</w:t>
      </w:r>
    </w:p>
    <w:p w:rsidR="009229FB" w:rsidRPr="004D451D" w:rsidRDefault="009229FB" w:rsidP="00482E54">
      <w:pPr>
        <w:numPr>
          <w:ilvl w:val="0"/>
          <w:numId w:val="76"/>
        </w:numPr>
        <w:spacing w:line="240" w:lineRule="atLeast"/>
        <w:ind w:leftChars="250" w:left="1080" w:hangingChars="200" w:hanging="480"/>
        <w:jc w:val="both"/>
        <w:rPr>
          <w:rFonts w:eastAsia="標楷體"/>
        </w:rPr>
      </w:pPr>
      <w:r w:rsidRPr="004D451D">
        <w:rPr>
          <w:rFonts w:eastAsia="標楷體"/>
        </w:rPr>
        <w:t>在證券化交易發生時，原持有證券化交易標的資產池，並透過證券化交易移轉其信用風險之銀行。</w:t>
      </w:r>
    </w:p>
    <w:p w:rsidR="009229FB" w:rsidRPr="004D451D" w:rsidRDefault="009229FB" w:rsidP="00482E54">
      <w:pPr>
        <w:numPr>
          <w:ilvl w:val="0"/>
          <w:numId w:val="76"/>
        </w:numPr>
        <w:spacing w:line="240" w:lineRule="atLeast"/>
        <w:ind w:leftChars="250" w:left="1080" w:hangingChars="200" w:hanging="480"/>
        <w:jc w:val="both"/>
        <w:rPr>
          <w:rFonts w:eastAsia="標楷體"/>
        </w:rPr>
      </w:pPr>
      <w:r w:rsidRPr="004D451D">
        <w:rPr>
          <w:rFonts w:eastAsia="標楷體"/>
        </w:rPr>
        <w:t>擔任資產基礎商業本票</w:t>
      </w:r>
      <w:r w:rsidRPr="004D451D">
        <w:rPr>
          <w:rFonts w:eastAsia="標楷體" w:hint="eastAsia"/>
        </w:rPr>
        <w:t>(</w:t>
      </w:r>
      <w:r w:rsidRPr="004D451D">
        <w:rPr>
          <w:rFonts w:eastAsia="標楷體"/>
        </w:rPr>
        <w:t>ABCP</w:t>
      </w:r>
      <w:r w:rsidRPr="004D451D">
        <w:rPr>
          <w:rFonts w:eastAsia="標楷體" w:hint="eastAsia"/>
        </w:rPr>
        <w:t>)</w:t>
      </w:r>
      <w:r w:rsidRPr="004D451D">
        <w:rPr>
          <w:rFonts w:eastAsia="標楷體"/>
        </w:rPr>
        <w:t>之導管</w:t>
      </w:r>
      <w:r w:rsidRPr="004D451D">
        <w:rPr>
          <w:rFonts w:eastAsia="標楷體" w:hint="eastAsia"/>
        </w:rPr>
        <w:t>(</w:t>
      </w:r>
      <w:r w:rsidRPr="004D451D">
        <w:rPr>
          <w:rFonts w:eastAsia="標楷體"/>
        </w:rPr>
        <w:t>conduit</w:t>
      </w:r>
      <w:r w:rsidRPr="004D451D">
        <w:rPr>
          <w:rFonts w:eastAsia="標楷體" w:hint="eastAsia"/>
        </w:rPr>
        <w:t>)</w:t>
      </w:r>
      <w:r w:rsidRPr="004D451D">
        <w:rPr>
          <w:rFonts w:eastAsia="標楷體"/>
        </w:rPr>
        <w:t>或此類發行計畫之贊助機構，而承擔標的資產池風險之銀行；如銀行實質上擔任資產基礎商業本票導管或此類發行計畫之諮詢管理者、將證券承銷至市場上，或有提供流動性、信用增強等情形，將被視為創始銀行。</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資產類別係依發行證券化之資產類型等細分。</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不論是否符合風險移轉認定標準之證券化暴險，均需填列於此表中。</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組合型交易中，銀行若有購買信用保障，則銀行應於擔任創始機構項下列示扣除信用保障後金額，若售出信用保障，則應於投資機構下列示出售信用保障金額。</w:t>
      </w:r>
    </w:p>
    <w:p w:rsidR="009229FB" w:rsidRPr="004D451D" w:rsidRDefault="009229FB" w:rsidP="00EF4134">
      <w:pPr>
        <w:numPr>
          <w:ilvl w:val="0"/>
          <w:numId w:val="75"/>
        </w:numPr>
        <w:spacing w:line="240" w:lineRule="atLeast"/>
        <w:ind w:leftChars="150" w:left="720" w:hangingChars="150"/>
        <w:jc w:val="both"/>
        <w:rPr>
          <w:rFonts w:eastAsia="標楷體"/>
        </w:rPr>
      </w:pPr>
      <w:r w:rsidRPr="004D451D">
        <w:rPr>
          <w:rFonts w:eastAsia="標楷體"/>
        </w:rPr>
        <w:t>再證券化暴險均須列於再證券化項目，並與其他資產類別區分。</w:t>
      </w: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D26C2D" w:rsidRPr="004D451D" w:rsidRDefault="00D26C2D" w:rsidP="005A738B">
      <w:pPr>
        <w:widowControl/>
        <w:rPr>
          <w:rFonts w:ascii="Arial" w:eastAsia="標楷體" w:hAnsi="Arial" w:cs="Arial"/>
        </w:rPr>
      </w:pPr>
    </w:p>
    <w:p w:rsidR="00AD2B6E" w:rsidRPr="004D451D" w:rsidRDefault="00AD2B6E" w:rsidP="005A738B">
      <w:pPr>
        <w:widowControl/>
        <w:rPr>
          <w:rFonts w:ascii="Arial" w:eastAsia="標楷體" w:hAnsi="Arial" w:cs="Arial"/>
        </w:rPr>
      </w:pPr>
    </w:p>
    <w:p w:rsidR="00AD2B6E" w:rsidRPr="004D451D" w:rsidRDefault="00AD2B6E" w:rsidP="005A738B">
      <w:pPr>
        <w:widowControl/>
        <w:rPr>
          <w:rFonts w:ascii="Arial" w:eastAsia="標楷體" w:hAnsi="Arial" w:cs="Arial"/>
        </w:rPr>
      </w:pPr>
    </w:p>
    <w:p w:rsidR="002B2D51" w:rsidRPr="004D451D" w:rsidRDefault="002B2D51" w:rsidP="005A738B">
      <w:pPr>
        <w:widowControl/>
        <w:rPr>
          <w:rFonts w:ascii="Arial" w:eastAsia="標楷體" w:hAnsi="Arial" w:cs="Arial"/>
        </w:rPr>
      </w:pPr>
    </w:p>
    <w:p w:rsidR="00D26C2D" w:rsidRPr="004D451D" w:rsidRDefault="009229FB" w:rsidP="00D26C2D">
      <w:pPr>
        <w:widowControl/>
        <w:rPr>
          <w:rFonts w:eastAsia="標楷體"/>
          <w:sz w:val="32"/>
          <w:szCs w:val="32"/>
        </w:rPr>
      </w:pPr>
      <w:r w:rsidRPr="004D451D">
        <w:rPr>
          <w:rFonts w:ascii="Arial" w:eastAsia="標楷體" w:hAnsi="Arial" w:cs="Arial"/>
          <w:sz w:val="32"/>
          <w:szCs w:val="32"/>
        </w:rPr>
        <w:br w:type="page"/>
      </w:r>
      <w:r w:rsidR="00D26C2D" w:rsidRPr="004D451D">
        <w:rPr>
          <w:rFonts w:eastAsia="標楷體"/>
          <w:b/>
          <w:sz w:val="32"/>
          <w:szCs w:val="32"/>
        </w:rPr>
        <w:t>【附表四十</w:t>
      </w:r>
      <w:r w:rsidR="00012B42" w:rsidRPr="004D451D">
        <w:rPr>
          <w:rFonts w:eastAsia="標楷體" w:hint="eastAsia"/>
          <w:b/>
          <w:sz w:val="32"/>
          <w:szCs w:val="32"/>
        </w:rPr>
        <w:t>六</w:t>
      </w:r>
      <w:r w:rsidR="00D26C2D" w:rsidRPr="004D451D">
        <w:rPr>
          <w:rFonts w:eastAsia="標楷體"/>
          <w:b/>
          <w:sz w:val="32"/>
          <w:szCs w:val="32"/>
        </w:rPr>
        <w:t>】</w:t>
      </w:r>
    </w:p>
    <w:p w:rsidR="00D26C2D" w:rsidRPr="004D451D" w:rsidRDefault="00D26C2D" w:rsidP="00D26C2D">
      <w:pPr>
        <w:jc w:val="center"/>
        <w:rPr>
          <w:rFonts w:eastAsia="標楷體"/>
          <w:b/>
          <w:bCs/>
          <w:sz w:val="32"/>
          <w:szCs w:val="32"/>
        </w:rPr>
      </w:pPr>
      <w:r w:rsidRPr="004D451D">
        <w:rPr>
          <w:rFonts w:eastAsia="標楷體"/>
          <w:b/>
          <w:bCs/>
          <w:sz w:val="32"/>
          <w:szCs w:val="32"/>
        </w:rPr>
        <w:t>交易簿之證券化暴險</w:t>
      </w:r>
    </w:p>
    <w:p w:rsidR="00D26C2D" w:rsidRPr="004D451D" w:rsidRDefault="00D26C2D" w:rsidP="00D26C2D">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DD2A92" w:rsidRPr="004D451D">
        <w:rPr>
          <w:rFonts w:eastAsia="標楷體" w:hint="eastAsia"/>
          <w:bCs/>
          <w:sz w:val="32"/>
          <w:szCs w:val="32"/>
        </w:rPr>
        <w:t>10</w:t>
      </w:r>
      <w:r w:rsidR="00A837D8" w:rsidRPr="004D451D">
        <w:rPr>
          <w:rFonts w:eastAsia="標楷體" w:hint="eastAsia"/>
          <w:bCs/>
          <w:sz w:val="32"/>
          <w:szCs w:val="32"/>
        </w:rPr>
        <w:t>7</w:t>
      </w:r>
      <w:r w:rsidRPr="004D451D">
        <w:rPr>
          <w:rFonts w:eastAsia="標楷體"/>
          <w:bCs/>
          <w:sz w:val="32"/>
          <w:szCs w:val="32"/>
        </w:rPr>
        <w:t>年</w:t>
      </w:r>
      <w:r w:rsidR="00A837D8" w:rsidRPr="004D451D">
        <w:rPr>
          <w:rFonts w:eastAsia="標楷體" w:hint="eastAsia"/>
          <w:bCs/>
          <w:sz w:val="32"/>
          <w:szCs w:val="32"/>
        </w:rPr>
        <w:t>06</w:t>
      </w:r>
      <w:r w:rsidRPr="004D451D">
        <w:rPr>
          <w:rFonts w:eastAsia="標楷體"/>
          <w:bCs/>
          <w:sz w:val="32"/>
          <w:szCs w:val="32"/>
        </w:rPr>
        <w:t>月</w:t>
      </w:r>
      <w:r w:rsidR="00DD2A92" w:rsidRPr="004D451D">
        <w:rPr>
          <w:rFonts w:eastAsia="標楷體" w:hint="eastAsia"/>
          <w:bCs/>
          <w:sz w:val="32"/>
          <w:szCs w:val="32"/>
        </w:rPr>
        <w:t>3</w:t>
      </w:r>
      <w:r w:rsidR="00A837D8" w:rsidRPr="004D451D">
        <w:rPr>
          <w:rFonts w:eastAsia="標楷體" w:hint="eastAsia"/>
          <w:bCs/>
          <w:sz w:val="32"/>
          <w:szCs w:val="32"/>
        </w:rPr>
        <w:t>0</w:t>
      </w:r>
      <w:r w:rsidRPr="004D451D">
        <w:rPr>
          <w:rFonts w:eastAsia="標楷體"/>
          <w:bCs/>
          <w:sz w:val="32"/>
          <w:szCs w:val="32"/>
        </w:rPr>
        <w:t>日</w:t>
      </w:r>
      <w:r w:rsidRPr="004D451D">
        <w:rPr>
          <w:rFonts w:eastAsia="標楷體"/>
          <w:b/>
          <w:bCs/>
        </w:rPr>
        <w:t xml:space="preserve">            </w:t>
      </w:r>
      <w:r w:rsidR="00D82B93" w:rsidRPr="004D451D">
        <w:rPr>
          <w:rFonts w:eastAsia="標楷體" w:hint="eastAsia"/>
          <w:bCs/>
        </w:rPr>
        <w:t>（</w:t>
      </w:r>
      <w:r w:rsidRPr="004D451D">
        <w:rPr>
          <w:rFonts w:eastAsia="標楷體"/>
          <w:bCs/>
        </w:rPr>
        <w:t>單位</w:t>
      </w:r>
      <w:r w:rsidR="009229FB" w:rsidRPr="004D451D">
        <w:rPr>
          <w:rFonts w:eastAsia="標楷體"/>
          <w:bCs/>
        </w:rPr>
        <w:t>：</w:t>
      </w:r>
      <w:r w:rsidRPr="004D451D">
        <w:rPr>
          <w:rFonts w:eastAsia="標楷體"/>
          <w:bCs/>
        </w:rPr>
        <w:t>新臺幣千元</w:t>
      </w:r>
      <w:r w:rsidR="00D82B93" w:rsidRPr="004D451D">
        <w:rPr>
          <w:rFonts w:eastAsia="標楷體" w:hint="eastAsia"/>
          <w:bCs/>
        </w:rPr>
        <w:t>）</w:t>
      </w:r>
    </w:p>
    <w:tbl>
      <w:tblPr>
        <w:tblW w:w="9615" w:type="dxa"/>
        <w:jc w:val="center"/>
        <w:tblInd w:w="-2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276"/>
        <w:gridCol w:w="1134"/>
        <w:gridCol w:w="978"/>
        <w:gridCol w:w="1148"/>
        <w:gridCol w:w="993"/>
        <w:gridCol w:w="1181"/>
      </w:tblGrid>
      <w:tr w:rsidR="004D451D" w:rsidRPr="004D451D" w:rsidTr="00DD2A92">
        <w:trPr>
          <w:jc w:val="center"/>
        </w:trPr>
        <w:tc>
          <w:tcPr>
            <w:tcW w:w="2905" w:type="dxa"/>
            <w:vMerge w:val="restart"/>
            <w:shd w:val="clear" w:color="auto" w:fill="auto"/>
            <w:vAlign w:val="center"/>
          </w:tcPr>
          <w:p w:rsidR="00083D5A" w:rsidRPr="004D451D" w:rsidRDefault="00083D5A" w:rsidP="00C67EC5">
            <w:pPr>
              <w:spacing w:line="360" w:lineRule="auto"/>
              <w:jc w:val="center"/>
              <w:rPr>
                <w:rFonts w:eastAsia="標楷體"/>
              </w:rPr>
            </w:pPr>
            <w:r w:rsidRPr="004D451D">
              <w:rPr>
                <w:rFonts w:eastAsia="標楷體"/>
              </w:rPr>
              <w:t>資產類別</w:t>
            </w:r>
          </w:p>
        </w:tc>
        <w:tc>
          <w:tcPr>
            <w:tcW w:w="3388" w:type="dxa"/>
            <w:gridSpan w:val="3"/>
            <w:shd w:val="clear" w:color="auto" w:fill="auto"/>
            <w:vAlign w:val="center"/>
          </w:tcPr>
          <w:p w:rsidR="00083D5A" w:rsidRPr="004D451D" w:rsidRDefault="00083D5A" w:rsidP="00DD2A92">
            <w:pPr>
              <w:spacing w:line="360" w:lineRule="auto"/>
              <w:jc w:val="center"/>
              <w:rPr>
                <w:rFonts w:eastAsia="標楷體"/>
              </w:rPr>
            </w:pPr>
            <w:r w:rsidRPr="004D451D">
              <w:rPr>
                <w:rFonts w:eastAsia="標楷體"/>
              </w:rPr>
              <w:t>銀行擔任創始機構</w:t>
            </w:r>
          </w:p>
        </w:tc>
        <w:tc>
          <w:tcPr>
            <w:tcW w:w="3322" w:type="dxa"/>
            <w:gridSpan w:val="3"/>
            <w:shd w:val="clear" w:color="auto" w:fill="auto"/>
            <w:vAlign w:val="center"/>
          </w:tcPr>
          <w:p w:rsidR="00083D5A" w:rsidRPr="004D451D" w:rsidRDefault="00083D5A" w:rsidP="00DD2A92">
            <w:pPr>
              <w:spacing w:line="360" w:lineRule="auto"/>
              <w:jc w:val="center"/>
              <w:rPr>
                <w:rFonts w:eastAsia="標楷體"/>
              </w:rPr>
            </w:pPr>
            <w:r w:rsidRPr="004D451D">
              <w:rPr>
                <w:rFonts w:eastAsia="標楷體"/>
              </w:rPr>
              <w:t>銀行擔任投資機構</w:t>
            </w:r>
          </w:p>
        </w:tc>
      </w:tr>
      <w:tr w:rsidR="004D451D" w:rsidRPr="004D451D" w:rsidTr="00DD2A92">
        <w:trPr>
          <w:jc w:val="center"/>
        </w:trPr>
        <w:tc>
          <w:tcPr>
            <w:tcW w:w="2905" w:type="dxa"/>
            <w:vMerge/>
            <w:shd w:val="clear" w:color="auto" w:fill="auto"/>
            <w:vAlign w:val="center"/>
          </w:tcPr>
          <w:p w:rsidR="00083D5A" w:rsidRPr="004D451D" w:rsidRDefault="00083D5A" w:rsidP="00C67EC5">
            <w:pPr>
              <w:spacing w:line="360" w:lineRule="auto"/>
              <w:jc w:val="center"/>
              <w:rPr>
                <w:rFonts w:eastAsia="標楷體"/>
              </w:rPr>
            </w:pPr>
          </w:p>
        </w:tc>
        <w:tc>
          <w:tcPr>
            <w:tcW w:w="1276" w:type="dxa"/>
            <w:shd w:val="clear" w:color="auto" w:fill="auto"/>
            <w:vAlign w:val="center"/>
          </w:tcPr>
          <w:p w:rsidR="00083D5A" w:rsidRPr="004D451D" w:rsidRDefault="00083D5A" w:rsidP="00DD2A92">
            <w:pPr>
              <w:spacing w:line="360" w:lineRule="auto"/>
              <w:jc w:val="right"/>
              <w:rPr>
                <w:rFonts w:eastAsia="標楷體"/>
              </w:rPr>
            </w:pPr>
            <w:r w:rsidRPr="004D451D">
              <w:rPr>
                <w:rFonts w:eastAsia="標楷體"/>
              </w:rPr>
              <w:t>傳統型</w:t>
            </w:r>
          </w:p>
        </w:tc>
        <w:tc>
          <w:tcPr>
            <w:tcW w:w="1134" w:type="dxa"/>
            <w:shd w:val="clear" w:color="auto" w:fill="auto"/>
            <w:vAlign w:val="center"/>
          </w:tcPr>
          <w:p w:rsidR="00083D5A" w:rsidRPr="004D451D" w:rsidRDefault="00083D5A" w:rsidP="00DD2A92">
            <w:pPr>
              <w:spacing w:line="360" w:lineRule="auto"/>
              <w:jc w:val="center"/>
              <w:rPr>
                <w:rFonts w:eastAsia="標楷體"/>
              </w:rPr>
            </w:pPr>
            <w:r w:rsidRPr="004D451D">
              <w:rPr>
                <w:rFonts w:eastAsia="標楷體"/>
              </w:rPr>
              <w:t>組合型</w:t>
            </w:r>
          </w:p>
        </w:tc>
        <w:tc>
          <w:tcPr>
            <w:tcW w:w="978" w:type="dxa"/>
            <w:shd w:val="clear" w:color="auto" w:fill="auto"/>
            <w:vAlign w:val="center"/>
          </w:tcPr>
          <w:p w:rsidR="00083D5A" w:rsidRPr="004D451D" w:rsidRDefault="00083D5A" w:rsidP="00DD2A92">
            <w:pPr>
              <w:spacing w:line="360" w:lineRule="auto"/>
              <w:jc w:val="center"/>
              <w:rPr>
                <w:rFonts w:eastAsia="標楷體"/>
              </w:rPr>
            </w:pPr>
            <w:r w:rsidRPr="004D451D">
              <w:rPr>
                <w:rFonts w:eastAsia="標楷體"/>
              </w:rPr>
              <w:t>小計</w:t>
            </w:r>
          </w:p>
        </w:tc>
        <w:tc>
          <w:tcPr>
            <w:tcW w:w="1148" w:type="dxa"/>
            <w:shd w:val="clear" w:color="auto" w:fill="auto"/>
            <w:vAlign w:val="center"/>
          </w:tcPr>
          <w:p w:rsidR="00083D5A" w:rsidRPr="004D451D" w:rsidRDefault="00083D5A" w:rsidP="00DD2A92">
            <w:pPr>
              <w:jc w:val="center"/>
              <w:rPr>
                <w:rFonts w:eastAsia="標楷體"/>
              </w:rPr>
            </w:pPr>
            <w:r w:rsidRPr="004D451D">
              <w:rPr>
                <w:rFonts w:eastAsia="標楷體"/>
              </w:rPr>
              <w:t>傳統型</w:t>
            </w:r>
          </w:p>
        </w:tc>
        <w:tc>
          <w:tcPr>
            <w:tcW w:w="993" w:type="dxa"/>
            <w:shd w:val="clear" w:color="auto" w:fill="auto"/>
            <w:vAlign w:val="center"/>
          </w:tcPr>
          <w:p w:rsidR="00083D5A" w:rsidRPr="004D451D" w:rsidRDefault="00083D5A" w:rsidP="00DD2A92">
            <w:pPr>
              <w:jc w:val="center"/>
              <w:rPr>
                <w:rFonts w:eastAsia="標楷體"/>
              </w:rPr>
            </w:pPr>
            <w:r w:rsidRPr="004D451D">
              <w:rPr>
                <w:rFonts w:eastAsia="標楷體"/>
              </w:rPr>
              <w:t>組合型</w:t>
            </w:r>
          </w:p>
        </w:tc>
        <w:tc>
          <w:tcPr>
            <w:tcW w:w="1181" w:type="dxa"/>
            <w:shd w:val="clear" w:color="auto" w:fill="auto"/>
            <w:vAlign w:val="center"/>
          </w:tcPr>
          <w:p w:rsidR="00083D5A" w:rsidRPr="004D451D" w:rsidRDefault="00083D5A" w:rsidP="00DD2A92">
            <w:pPr>
              <w:jc w:val="center"/>
              <w:rPr>
                <w:rFonts w:eastAsia="標楷體"/>
              </w:rPr>
            </w:pPr>
            <w:r w:rsidRPr="004D451D">
              <w:rPr>
                <w:rFonts w:eastAsia="標楷體"/>
              </w:rPr>
              <w:t>小計</w:t>
            </w:r>
          </w:p>
        </w:tc>
      </w:tr>
      <w:tr w:rsidR="004D451D" w:rsidRPr="004D451D" w:rsidTr="00DD2A92">
        <w:trPr>
          <w:jc w:val="center"/>
        </w:trPr>
        <w:tc>
          <w:tcPr>
            <w:tcW w:w="2905" w:type="dxa"/>
            <w:shd w:val="clear" w:color="auto" w:fill="auto"/>
          </w:tcPr>
          <w:p w:rsidR="00083D5A" w:rsidRPr="004D451D" w:rsidRDefault="00083D5A" w:rsidP="00C67EC5">
            <w:pPr>
              <w:spacing w:line="360" w:lineRule="auto"/>
              <w:rPr>
                <w:rFonts w:eastAsia="標楷體"/>
                <w:b/>
              </w:rPr>
            </w:pPr>
            <w:r w:rsidRPr="004D451D">
              <w:rPr>
                <w:rFonts w:eastAsia="標楷體"/>
                <w:b/>
              </w:rPr>
              <w:t>零售型</w:t>
            </w:r>
            <w:r w:rsidRPr="004D451D">
              <w:rPr>
                <w:rFonts w:eastAsia="標楷體"/>
                <w:b/>
              </w:rPr>
              <w:t>(</w:t>
            </w:r>
            <w:r w:rsidRPr="004D451D">
              <w:rPr>
                <w:rFonts w:eastAsia="標楷體"/>
                <w:b/>
              </w:rPr>
              <w:t>總計</w:t>
            </w:r>
            <w:r w:rsidRPr="004D451D">
              <w:rPr>
                <w:rFonts w:eastAsia="標楷體"/>
                <w:b/>
              </w:rPr>
              <w:t>)</w:t>
            </w:r>
          </w:p>
        </w:tc>
        <w:tc>
          <w:tcPr>
            <w:tcW w:w="1276" w:type="dxa"/>
            <w:shd w:val="clear" w:color="auto" w:fill="auto"/>
            <w:vAlign w:val="center"/>
          </w:tcPr>
          <w:p w:rsidR="00083D5A" w:rsidRPr="004D451D" w:rsidRDefault="00A837D8" w:rsidP="00DD2A92">
            <w:pPr>
              <w:jc w:val="right"/>
              <w:rPr>
                <w:rFonts w:ascii="Arial" w:hAnsi="Arial" w:cs="Arial"/>
              </w:rPr>
            </w:pPr>
            <w:r w:rsidRPr="004D451D">
              <w:rPr>
                <w:rFonts w:ascii="Arial" w:hAnsi="Arial" w:cs="Arial" w:hint="eastAsia"/>
              </w:rPr>
              <w:t>0</w:t>
            </w:r>
          </w:p>
        </w:tc>
        <w:tc>
          <w:tcPr>
            <w:tcW w:w="1134" w:type="dxa"/>
            <w:shd w:val="clear" w:color="auto" w:fill="auto"/>
            <w:vAlign w:val="center"/>
          </w:tcPr>
          <w:p w:rsidR="00083D5A" w:rsidRPr="004D451D" w:rsidRDefault="00A837D8" w:rsidP="00DD2A92">
            <w:pPr>
              <w:jc w:val="right"/>
              <w:rPr>
                <w:rFonts w:ascii="Arial" w:hAnsi="Arial" w:cs="Arial"/>
              </w:rPr>
            </w:pPr>
            <w:r w:rsidRPr="004D451D">
              <w:rPr>
                <w:rFonts w:ascii="Arial" w:hAnsi="Arial" w:cs="Arial" w:hint="eastAsia"/>
              </w:rPr>
              <w:t>0</w:t>
            </w:r>
          </w:p>
        </w:tc>
        <w:tc>
          <w:tcPr>
            <w:tcW w:w="978" w:type="dxa"/>
            <w:shd w:val="clear" w:color="auto" w:fill="auto"/>
            <w:vAlign w:val="center"/>
          </w:tcPr>
          <w:p w:rsidR="00083D5A" w:rsidRPr="004D451D" w:rsidRDefault="00A837D8" w:rsidP="00DD2A92">
            <w:pPr>
              <w:jc w:val="right"/>
              <w:rPr>
                <w:rFonts w:ascii="Arial" w:hAnsi="Arial" w:cs="Arial"/>
              </w:rPr>
            </w:pPr>
            <w:r w:rsidRPr="004D451D">
              <w:rPr>
                <w:rFonts w:ascii="Arial" w:hAnsi="Arial" w:cs="Arial" w:hint="eastAsia"/>
              </w:rPr>
              <w:t>0</w:t>
            </w:r>
          </w:p>
        </w:tc>
        <w:tc>
          <w:tcPr>
            <w:tcW w:w="1148" w:type="dxa"/>
            <w:shd w:val="clear" w:color="auto" w:fill="auto"/>
            <w:vAlign w:val="center"/>
          </w:tcPr>
          <w:p w:rsidR="00083D5A" w:rsidRPr="004D451D" w:rsidRDefault="00A837D8" w:rsidP="00DD2A92">
            <w:pPr>
              <w:jc w:val="right"/>
              <w:rPr>
                <w:rFonts w:ascii="Arial" w:hAnsi="Arial" w:cs="Arial"/>
              </w:rPr>
            </w:pPr>
            <w:r w:rsidRPr="004D451D">
              <w:rPr>
                <w:rFonts w:ascii="Arial" w:hAnsi="Arial" w:cs="Arial" w:hint="eastAsia"/>
              </w:rPr>
              <w:t>0</w:t>
            </w:r>
          </w:p>
        </w:tc>
        <w:tc>
          <w:tcPr>
            <w:tcW w:w="993" w:type="dxa"/>
            <w:shd w:val="clear" w:color="auto" w:fill="auto"/>
            <w:vAlign w:val="center"/>
          </w:tcPr>
          <w:p w:rsidR="00083D5A" w:rsidRPr="004D451D" w:rsidRDefault="00A837D8" w:rsidP="00DD2A92">
            <w:pPr>
              <w:jc w:val="right"/>
              <w:rPr>
                <w:rFonts w:ascii="Arial" w:hAnsi="Arial" w:cs="Arial"/>
              </w:rPr>
            </w:pPr>
            <w:r w:rsidRPr="004D451D">
              <w:rPr>
                <w:rFonts w:ascii="Arial" w:hAnsi="Arial" w:cs="Arial" w:hint="eastAsia"/>
              </w:rPr>
              <w:t>0</w:t>
            </w:r>
          </w:p>
        </w:tc>
        <w:tc>
          <w:tcPr>
            <w:tcW w:w="1181" w:type="dxa"/>
            <w:shd w:val="clear" w:color="auto" w:fill="auto"/>
            <w:vAlign w:val="center"/>
          </w:tcPr>
          <w:p w:rsidR="00083D5A" w:rsidRPr="004D451D" w:rsidRDefault="00A837D8" w:rsidP="00DD2A92">
            <w:pPr>
              <w:jc w:val="right"/>
              <w:rPr>
                <w:rFonts w:ascii="Arial" w:hAnsi="Arial" w:cs="Arial"/>
              </w:rPr>
            </w:pPr>
            <w:r w:rsidRPr="004D451D">
              <w:rPr>
                <w:rFonts w:ascii="Arial" w:hAnsi="Arial" w:cs="Arial" w:hint="eastAsia"/>
              </w:rPr>
              <w:t>0</w:t>
            </w:r>
          </w:p>
        </w:tc>
      </w:tr>
      <w:tr w:rsidR="004D451D" w:rsidRPr="004D451D" w:rsidTr="00DD2A92">
        <w:trPr>
          <w:jc w:val="center"/>
        </w:trPr>
        <w:tc>
          <w:tcPr>
            <w:tcW w:w="2905" w:type="dxa"/>
            <w:shd w:val="clear" w:color="auto" w:fill="auto"/>
          </w:tcPr>
          <w:p w:rsidR="00083D5A" w:rsidRPr="004D451D" w:rsidRDefault="00083D5A" w:rsidP="003365E9">
            <w:pPr>
              <w:spacing w:line="360" w:lineRule="auto"/>
              <w:ind w:leftChars="100" w:left="240"/>
              <w:rPr>
                <w:rFonts w:eastAsia="標楷體"/>
              </w:rPr>
            </w:pPr>
            <w:r w:rsidRPr="004D451D">
              <w:rPr>
                <w:rFonts w:eastAsia="標楷體"/>
              </w:rPr>
              <w:t>房屋貸款</w:t>
            </w:r>
          </w:p>
        </w:tc>
        <w:tc>
          <w:tcPr>
            <w:tcW w:w="1276" w:type="dxa"/>
            <w:shd w:val="clear" w:color="auto" w:fill="auto"/>
            <w:vAlign w:val="center"/>
          </w:tcPr>
          <w:p w:rsidR="00083D5A" w:rsidRPr="004D451D" w:rsidRDefault="00083D5A" w:rsidP="00DD2A92">
            <w:pPr>
              <w:jc w:val="right"/>
              <w:rPr>
                <w:rFonts w:ascii="Arial" w:hAnsi="Arial" w:cs="Arial"/>
              </w:rPr>
            </w:pPr>
          </w:p>
        </w:tc>
        <w:tc>
          <w:tcPr>
            <w:tcW w:w="1134" w:type="dxa"/>
            <w:shd w:val="clear" w:color="auto" w:fill="auto"/>
            <w:vAlign w:val="center"/>
          </w:tcPr>
          <w:p w:rsidR="00083D5A" w:rsidRPr="004D451D" w:rsidRDefault="00083D5A" w:rsidP="00DD2A92">
            <w:pPr>
              <w:jc w:val="right"/>
              <w:rPr>
                <w:rFonts w:ascii="Arial" w:hAnsi="Arial" w:cs="Arial"/>
              </w:rPr>
            </w:pPr>
          </w:p>
        </w:tc>
        <w:tc>
          <w:tcPr>
            <w:tcW w:w="978" w:type="dxa"/>
            <w:shd w:val="clear" w:color="auto" w:fill="auto"/>
            <w:vAlign w:val="center"/>
          </w:tcPr>
          <w:p w:rsidR="00083D5A" w:rsidRPr="004D451D" w:rsidRDefault="00083D5A" w:rsidP="00DD2A92">
            <w:pPr>
              <w:jc w:val="right"/>
              <w:rPr>
                <w:rFonts w:ascii="Arial" w:hAnsi="Arial" w:cs="Arial"/>
              </w:rPr>
            </w:pPr>
          </w:p>
        </w:tc>
        <w:tc>
          <w:tcPr>
            <w:tcW w:w="1148" w:type="dxa"/>
            <w:shd w:val="clear" w:color="auto" w:fill="auto"/>
            <w:vAlign w:val="center"/>
          </w:tcPr>
          <w:p w:rsidR="00083D5A" w:rsidRPr="004D451D" w:rsidRDefault="00083D5A" w:rsidP="00DD2A92">
            <w:pPr>
              <w:jc w:val="right"/>
              <w:rPr>
                <w:rFonts w:ascii="Arial" w:hAnsi="Arial" w:cs="Arial"/>
              </w:rPr>
            </w:pPr>
          </w:p>
        </w:tc>
        <w:tc>
          <w:tcPr>
            <w:tcW w:w="993" w:type="dxa"/>
            <w:shd w:val="clear" w:color="auto" w:fill="auto"/>
            <w:vAlign w:val="center"/>
          </w:tcPr>
          <w:p w:rsidR="00083D5A" w:rsidRPr="004D451D" w:rsidRDefault="00083D5A" w:rsidP="00DD2A92">
            <w:pPr>
              <w:jc w:val="right"/>
              <w:rPr>
                <w:rFonts w:ascii="Arial" w:hAnsi="Arial" w:cs="Arial"/>
              </w:rPr>
            </w:pPr>
          </w:p>
        </w:tc>
        <w:tc>
          <w:tcPr>
            <w:tcW w:w="1181" w:type="dxa"/>
            <w:shd w:val="clear" w:color="auto" w:fill="auto"/>
            <w:vAlign w:val="center"/>
          </w:tcPr>
          <w:p w:rsidR="00083D5A" w:rsidRPr="004D451D" w:rsidRDefault="00083D5A" w:rsidP="00DD2A92">
            <w:pPr>
              <w:jc w:val="right"/>
              <w:rPr>
                <w:rFonts w:ascii="Arial" w:hAnsi="Arial" w:cs="Arial"/>
              </w:rPr>
            </w:pPr>
          </w:p>
        </w:tc>
      </w:tr>
      <w:tr w:rsidR="004D451D" w:rsidRPr="004D451D" w:rsidTr="00DD2A92">
        <w:trPr>
          <w:jc w:val="center"/>
        </w:trPr>
        <w:tc>
          <w:tcPr>
            <w:tcW w:w="2905" w:type="dxa"/>
            <w:shd w:val="clear" w:color="auto" w:fill="auto"/>
          </w:tcPr>
          <w:p w:rsidR="00083D5A" w:rsidRPr="004D451D" w:rsidRDefault="00083D5A" w:rsidP="003365E9">
            <w:pPr>
              <w:spacing w:line="360" w:lineRule="auto"/>
              <w:ind w:leftChars="100" w:left="240"/>
              <w:rPr>
                <w:rFonts w:eastAsia="標楷體"/>
              </w:rPr>
            </w:pPr>
            <w:r w:rsidRPr="004D451D">
              <w:rPr>
                <w:rFonts w:eastAsia="標楷體"/>
              </w:rPr>
              <w:t>信用卡</w:t>
            </w:r>
          </w:p>
        </w:tc>
        <w:tc>
          <w:tcPr>
            <w:tcW w:w="1276" w:type="dxa"/>
            <w:shd w:val="clear" w:color="auto" w:fill="auto"/>
            <w:vAlign w:val="center"/>
          </w:tcPr>
          <w:p w:rsidR="00083D5A" w:rsidRPr="004D451D" w:rsidRDefault="00083D5A" w:rsidP="00DD2A92">
            <w:pPr>
              <w:jc w:val="right"/>
              <w:rPr>
                <w:rFonts w:ascii="Arial" w:hAnsi="Arial" w:cs="Arial"/>
              </w:rPr>
            </w:pPr>
          </w:p>
        </w:tc>
        <w:tc>
          <w:tcPr>
            <w:tcW w:w="1134" w:type="dxa"/>
            <w:shd w:val="clear" w:color="auto" w:fill="auto"/>
            <w:vAlign w:val="center"/>
          </w:tcPr>
          <w:p w:rsidR="00083D5A" w:rsidRPr="004D451D" w:rsidRDefault="00083D5A" w:rsidP="00DD2A92">
            <w:pPr>
              <w:jc w:val="right"/>
              <w:rPr>
                <w:rFonts w:ascii="Arial" w:hAnsi="Arial" w:cs="Arial"/>
              </w:rPr>
            </w:pPr>
          </w:p>
        </w:tc>
        <w:tc>
          <w:tcPr>
            <w:tcW w:w="978" w:type="dxa"/>
            <w:shd w:val="clear" w:color="auto" w:fill="auto"/>
            <w:vAlign w:val="center"/>
          </w:tcPr>
          <w:p w:rsidR="00083D5A" w:rsidRPr="004D451D" w:rsidRDefault="00083D5A" w:rsidP="00DD2A92">
            <w:pPr>
              <w:jc w:val="right"/>
              <w:rPr>
                <w:rFonts w:ascii="Arial" w:hAnsi="Arial" w:cs="Arial"/>
              </w:rPr>
            </w:pPr>
          </w:p>
        </w:tc>
        <w:tc>
          <w:tcPr>
            <w:tcW w:w="1148" w:type="dxa"/>
            <w:shd w:val="clear" w:color="auto" w:fill="auto"/>
            <w:vAlign w:val="center"/>
          </w:tcPr>
          <w:p w:rsidR="00083D5A" w:rsidRPr="004D451D" w:rsidRDefault="00083D5A" w:rsidP="00DD2A92">
            <w:pPr>
              <w:jc w:val="right"/>
              <w:rPr>
                <w:rFonts w:ascii="Arial" w:hAnsi="Arial" w:cs="Arial"/>
              </w:rPr>
            </w:pPr>
          </w:p>
        </w:tc>
        <w:tc>
          <w:tcPr>
            <w:tcW w:w="993" w:type="dxa"/>
            <w:shd w:val="clear" w:color="auto" w:fill="auto"/>
            <w:vAlign w:val="center"/>
          </w:tcPr>
          <w:p w:rsidR="00083D5A" w:rsidRPr="004D451D" w:rsidRDefault="00083D5A" w:rsidP="00DD2A92">
            <w:pPr>
              <w:jc w:val="right"/>
              <w:rPr>
                <w:rFonts w:ascii="Arial" w:hAnsi="Arial" w:cs="Arial"/>
              </w:rPr>
            </w:pPr>
          </w:p>
        </w:tc>
        <w:tc>
          <w:tcPr>
            <w:tcW w:w="1181" w:type="dxa"/>
            <w:shd w:val="clear" w:color="auto" w:fill="auto"/>
            <w:vAlign w:val="center"/>
          </w:tcPr>
          <w:p w:rsidR="00083D5A" w:rsidRPr="004D451D" w:rsidRDefault="00083D5A" w:rsidP="00DD2A92">
            <w:pPr>
              <w:jc w:val="right"/>
              <w:rPr>
                <w:rFonts w:ascii="Arial" w:hAnsi="Arial" w:cs="Arial"/>
              </w:rPr>
            </w:pPr>
          </w:p>
        </w:tc>
      </w:tr>
      <w:tr w:rsidR="004D451D" w:rsidRPr="004D451D" w:rsidTr="00DD2A92">
        <w:trPr>
          <w:jc w:val="center"/>
        </w:trPr>
        <w:tc>
          <w:tcPr>
            <w:tcW w:w="2905" w:type="dxa"/>
            <w:shd w:val="clear" w:color="auto" w:fill="auto"/>
          </w:tcPr>
          <w:p w:rsidR="00083D5A" w:rsidRPr="004D451D" w:rsidRDefault="00083D5A" w:rsidP="003365E9">
            <w:pPr>
              <w:spacing w:line="360" w:lineRule="auto"/>
              <w:ind w:leftChars="100" w:left="240"/>
              <w:rPr>
                <w:rFonts w:eastAsia="標楷體"/>
              </w:rPr>
            </w:pPr>
            <w:r w:rsidRPr="004D451D">
              <w:rPr>
                <w:rFonts w:eastAsia="標楷體"/>
              </w:rPr>
              <w:t>其他零售暴險</w:t>
            </w:r>
          </w:p>
        </w:tc>
        <w:tc>
          <w:tcPr>
            <w:tcW w:w="1276" w:type="dxa"/>
            <w:shd w:val="clear" w:color="auto" w:fill="auto"/>
            <w:vAlign w:val="center"/>
          </w:tcPr>
          <w:p w:rsidR="00083D5A" w:rsidRPr="004D451D" w:rsidRDefault="00083D5A" w:rsidP="00DD2A92">
            <w:pPr>
              <w:jc w:val="right"/>
              <w:rPr>
                <w:rFonts w:ascii="Arial" w:hAnsi="Arial" w:cs="Arial"/>
              </w:rPr>
            </w:pPr>
          </w:p>
        </w:tc>
        <w:tc>
          <w:tcPr>
            <w:tcW w:w="1134" w:type="dxa"/>
            <w:shd w:val="clear" w:color="auto" w:fill="auto"/>
            <w:vAlign w:val="center"/>
          </w:tcPr>
          <w:p w:rsidR="00083D5A" w:rsidRPr="004D451D" w:rsidRDefault="00083D5A" w:rsidP="00DD2A92">
            <w:pPr>
              <w:jc w:val="right"/>
              <w:rPr>
                <w:rFonts w:ascii="Arial" w:hAnsi="Arial" w:cs="Arial"/>
              </w:rPr>
            </w:pPr>
          </w:p>
        </w:tc>
        <w:tc>
          <w:tcPr>
            <w:tcW w:w="978" w:type="dxa"/>
            <w:shd w:val="clear" w:color="auto" w:fill="auto"/>
            <w:vAlign w:val="center"/>
          </w:tcPr>
          <w:p w:rsidR="00083D5A" w:rsidRPr="004D451D" w:rsidRDefault="00083D5A" w:rsidP="00DD2A92">
            <w:pPr>
              <w:jc w:val="right"/>
              <w:rPr>
                <w:rFonts w:ascii="Arial" w:hAnsi="Arial" w:cs="Arial"/>
              </w:rPr>
            </w:pPr>
          </w:p>
        </w:tc>
        <w:tc>
          <w:tcPr>
            <w:tcW w:w="1148" w:type="dxa"/>
            <w:shd w:val="clear" w:color="auto" w:fill="auto"/>
            <w:vAlign w:val="center"/>
          </w:tcPr>
          <w:p w:rsidR="00083D5A" w:rsidRPr="004D451D" w:rsidRDefault="00083D5A" w:rsidP="00DD2A92">
            <w:pPr>
              <w:jc w:val="right"/>
              <w:rPr>
                <w:rFonts w:ascii="Arial" w:hAnsi="Arial" w:cs="Arial"/>
              </w:rPr>
            </w:pPr>
          </w:p>
        </w:tc>
        <w:tc>
          <w:tcPr>
            <w:tcW w:w="993" w:type="dxa"/>
            <w:shd w:val="clear" w:color="auto" w:fill="auto"/>
            <w:vAlign w:val="center"/>
          </w:tcPr>
          <w:p w:rsidR="00083D5A" w:rsidRPr="004D451D" w:rsidRDefault="00083D5A" w:rsidP="00DD2A92">
            <w:pPr>
              <w:jc w:val="right"/>
              <w:rPr>
                <w:rFonts w:ascii="Arial" w:hAnsi="Arial" w:cs="Arial"/>
              </w:rPr>
            </w:pPr>
          </w:p>
        </w:tc>
        <w:tc>
          <w:tcPr>
            <w:tcW w:w="1181" w:type="dxa"/>
            <w:shd w:val="clear" w:color="auto" w:fill="auto"/>
            <w:vAlign w:val="center"/>
          </w:tcPr>
          <w:p w:rsidR="00083D5A" w:rsidRPr="004D451D" w:rsidRDefault="00083D5A" w:rsidP="00DD2A92">
            <w:pPr>
              <w:jc w:val="right"/>
              <w:rPr>
                <w:rFonts w:ascii="Arial" w:hAnsi="Arial" w:cs="Arial"/>
              </w:rPr>
            </w:pPr>
          </w:p>
        </w:tc>
      </w:tr>
      <w:tr w:rsidR="004D451D" w:rsidRPr="004D451D" w:rsidTr="00DD2A92">
        <w:trPr>
          <w:jc w:val="center"/>
        </w:trPr>
        <w:tc>
          <w:tcPr>
            <w:tcW w:w="2905" w:type="dxa"/>
            <w:shd w:val="clear" w:color="auto" w:fill="auto"/>
          </w:tcPr>
          <w:p w:rsidR="00083D5A" w:rsidRPr="004D451D" w:rsidRDefault="00083D5A" w:rsidP="003365E9">
            <w:pPr>
              <w:spacing w:line="360" w:lineRule="auto"/>
              <w:ind w:leftChars="100" w:left="240"/>
              <w:rPr>
                <w:rFonts w:eastAsia="標楷體"/>
              </w:rPr>
            </w:pPr>
            <w:r w:rsidRPr="004D451D">
              <w:rPr>
                <w:rFonts w:eastAsia="標楷體"/>
              </w:rPr>
              <w:t>再證券化</w:t>
            </w:r>
          </w:p>
        </w:tc>
        <w:tc>
          <w:tcPr>
            <w:tcW w:w="1276" w:type="dxa"/>
            <w:shd w:val="clear" w:color="auto" w:fill="auto"/>
            <w:vAlign w:val="center"/>
          </w:tcPr>
          <w:p w:rsidR="00083D5A" w:rsidRPr="004D451D" w:rsidRDefault="00083D5A" w:rsidP="00DD2A92">
            <w:pPr>
              <w:jc w:val="right"/>
              <w:rPr>
                <w:rFonts w:ascii="Arial" w:hAnsi="Arial" w:cs="Arial"/>
              </w:rPr>
            </w:pPr>
          </w:p>
        </w:tc>
        <w:tc>
          <w:tcPr>
            <w:tcW w:w="1134" w:type="dxa"/>
            <w:shd w:val="clear" w:color="auto" w:fill="auto"/>
            <w:vAlign w:val="center"/>
          </w:tcPr>
          <w:p w:rsidR="00083D5A" w:rsidRPr="004D451D" w:rsidRDefault="00083D5A" w:rsidP="00DD2A92">
            <w:pPr>
              <w:jc w:val="right"/>
              <w:rPr>
                <w:rFonts w:ascii="Arial" w:hAnsi="Arial" w:cs="Arial"/>
              </w:rPr>
            </w:pPr>
          </w:p>
        </w:tc>
        <w:tc>
          <w:tcPr>
            <w:tcW w:w="978" w:type="dxa"/>
            <w:shd w:val="clear" w:color="auto" w:fill="auto"/>
            <w:vAlign w:val="center"/>
          </w:tcPr>
          <w:p w:rsidR="00083D5A" w:rsidRPr="004D451D" w:rsidRDefault="00083D5A" w:rsidP="00DD2A92">
            <w:pPr>
              <w:jc w:val="right"/>
              <w:rPr>
                <w:rFonts w:ascii="Arial" w:hAnsi="Arial" w:cs="Arial"/>
              </w:rPr>
            </w:pPr>
          </w:p>
        </w:tc>
        <w:tc>
          <w:tcPr>
            <w:tcW w:w="1148" w:type="dxa"/>
            <w:shd w:val="clear" w:color="auto" w:fill="auto"/>
            <w:vAlign w:val="center"/>
          </w:tcPr>
          <w:p w:rsidR="00083D5A" w:rsidRPr="004D451D" w:rsidRDefault="00083D5A" w:rsidP="00DD2A92">
            <w:pPr>
              <w:jc w:val="right"/>
              <w:rPr>
                <w:rFonts w:ascii="Arial" w:hAnsi="Arial" w:cs="Arial"/>
              </w:rPr>
            </w:pPr>
          </w:p>
        </w:tc>
        <w:tc>
          <w:tcPr>
            <w:tcW w:w="993" w:type="dxa"/>
            <w:shd w:val="clear" w:color="auto" w:fill="auto"/>
            <w:vAlign w:val="center"/>
          </w:tcPr>
          <w:p w:rsidR="00083D5A" w:rsidRPr="004D451D" w:rsidRDefault="00083D5A" w:rsidP="00DD2A92">
            <w:pPr>
              <w:jc w:val="right"/>
              <w:rPr>
                <w:rFonts w:ascii="Arial" w:hAnsi="Arial" w:cs="Arial"/>
              </w:rPr>
            </w:pPr>
          </w:p>
        </w:tc>
        <w:tc>
          <w:tcPr>
            <w:tcW w:w="1181" w:type="dxa"/>
            <w:shd w:val="clear" w:color="auto" w:fill="auto"/>
            <w:vAlign w:val="center"/>
          </w:tcPr>
          <w:p w:rsidR="00083D5A" w:rsidRPr="004D451D" w:rsidRDefault="00083D5A" w:rsidP="00DD2A92">
            <w:pPr>
              <w:jc w:val="right"/>
              <w:rPr>
                <w:rFonts w:ascii="Arial" w:hAnsi="Arial" w:cs="Arial"/>
              </w:rPr>
            </w:pPr>
          </w:p>
        </w:tc>
      </w:tr>
      <w:tr w:rsidR="004D451D" w:rsidRPr="004D451D" w:rsidTr="00DD2A92">
        <w:trPr>
          <w:jc w:val="center"/>
        </w:trPr>
        <w:tc>
          <w:tcPr>
            <w:tcW w:w="2905" w:type="dxa"/>
            <w:shd w:val="clear" w:color="auto" w:fill="auto"/>
          </w:tcPr>
          <w:p w:rsidR="00DD2A92" w:rsidRPr="004D451D" w:rsidRDefault="00DD2A92" w:rsidP="00C67EC5">
            <w:pPr>
              <w:spacing w:line="360" w:lineRule="auto"/>
              <w:rPr>
                <w:rFonts w:eastAsia="標楷體"/>
                <w:b/>
              </w:rPr>
            </w:pPr>
            <w:r w:rsidRPr="004D451D">
              <w:rPr>
                <w:rFonts w:eastAsia="標楷體"/>
                <w:b/>
              </w:rPr>
              <w:t>企業型</w:t>
            </w:r>
            <w:r w:rsidRPr="004D451D">
              <w:rPr>
                <w:rFonts w:eastAsia="標楷體"/>
                <w:b/>
              </w:rPr>
              <w:t>(</w:t>
            </w:r>
            <w:r w:rsidRPr="004D451D">
              <w:rPr>
                <w:rFonts w:eastAsia="標楷體"/>
                <w:b/>
              </w:rPr>
              <w:t>總計</w:t>
            </w:r>
            <w:r w:rsidRPr="004D451D">
              <w:rPr>
                <w:rFonts w:eastAsia="標楷體"/>
                <w:b/>
              </w:rPr>
              <w:t>)</w:t>
            </w:r>
          </w:p>
        </w:tc>
        <w:tc>
          <w:tcPr>
            <w:tcW w:w="1276"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1134"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978"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1148"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993"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1181"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r>
      <w:tr w:rsidR="004D451D" w:rsidRPr="004D451D" w:rsidTr="00DD2A92">
        <w:trPr>
          <w:jc w:val="center"/>
        </w:trPr>
        <w:tc>
          <w:tcPr>
            <w:tcW w:w="2905" w:type="dxa"/>
            <w:shd w:val="clear" w:color="auto" w:fill="auto"/>
          </w:tcPr>
          <w:p w:rsidR="00DD2A92" w:rsidRPr="004D451D" w:rsidRDefault="00DD2A92" w:rsidP="003365E9">
            <w:pPr>
              <w:spacing w:line="360" w:lineRule="auto"/>
              <w:ind w:leftChars="100" w:left="240"/>
              <w:rPr>
                <w:rFonts w:eastAsia="標楷體"/>
              </w:rPr>
            </w:pPr>
            <w:r w:rsidRPr="004D451D">
              <w:rPr>
                <w:rFonts w:eastAsia="標楷體"/>
              </w:rPr>
              <w:t>企業貸款</w:t>
            </w:r>
          </w:p>
        </w:tc>
        <w:tc>
          <w:tcPr>
            <w:tcW w:w="1276" w:type="dxa"/>
            <w:shd w:val="clear" w:color="auto" w:fill="auto"/>
            <w:vAlign w:val="center"/>
          </w:tcPr>
          <w:p w:rsidR="00DD2A92" w:rsidRPr="004D451D" w:rsidRDefault="00DD2A92" w:rsidP="00DD2A92">
            <w:pPr>
              <w:jc w:val="right"/>
              <w:rPr>
                <w:rFonts w:ascii="Arial" w:hAnsi="Arial" w:cs="Arial"/>
              </w:rPr>
            </w:pPr>
          </w:p>
        </w:tc>
        <w:tc>
          <w:tcPr>
            <w:tcW w:w="1134" w:type="dxa"/>
            <w:shd w:val="clear" w:color="auto" w:fill="auto"/>
            <w:vAlign w:val="center"/>
          </w:tcPr>
          <w:p w:rsidR="00DD2A92" w:rsidRPr="004D451D" w:rsidRDefault="00DD2A92" w:rsidP="00DD2A92">
            <w:pPr>
              <w:jc w:val="right"/>
              <w:rPr>
                <w:rFonts w:ascii="Arial" w:hAnsi="Arial" w:cs="Arial"/>
              </w:rPr>
            </w:pPr>
          </w:p>
        </w:tc>
        <w:tc>
          <w:tcPr>
            <w:tcW w:w="978" w:type="dxa"/>
            <w:shd w:val="clear" w:color="auto" w:fill="auto"/>
            <w:vAlign w:val="center"/>
          </w:tcPr>
          <w:p w:rsidR="00DD2A92" w:rsidRPr="004D451D" w:rsidRDefault="00DD2A92" w:rsidP="00DD2A92">
            <w:pPr>
              <w:jc w:val="right"/>
              <w:rPr>
                <w:rFonts w:ascii="Arial" w:hAnsi="Arial" w:cs="Arial"/>
              </w:rPr>
            </w:pPr>
          </w:p>
        </w:tc>
        <w:tc>
          <w:tcPr>
            <w:tcW w:w="1148" w:type="dxa"/>
            <w:shd w:val="clear" w:color="auto" w:fill="auto"/>
            <w:vAlign w:val="center"/>
          </w:tcPr>
          <w:p w:rsidR="00DD2A92" w:rsidRPr="004D451D" w:rsidRDefault="00DD2A92" w:rsidP="00DD2A92">
            <w:pPr>
              <w:jc w:val="right"/>
              <w:rPr>
                <w:rFonts w:ascii="Arial" w:hAnsi="Arial" w:cs="Arial"/>
              </w:rPr>
            </w:pPr>
          </w:p>
        </w:tc>
        <w:tc>
          <w:tcPr>
            <w:tcW w:w="993" w:type="dxa"/>
            <w:shd w:val="clear" w:color="auto" w:fill="auto"/>
            <w:vAlign w:val="center"/>
          </w:tcPr>
          <w:p w:rsidR="00DD2A92" w:rsidRPr="004D451D" w:rsidRDefault="00DD2A92" w:rsidP="00DD2A92">
            <w:pPr>
              <w:jc w:val="right"/>
              <w:rPr>
                <w:rFonts w:ascii="Arial" w:hAnsi="Arial" w:cs="Arial"/>
              </w:rPr>
            </w:pPr>
          </w:p>
        </w:tc>
        <w:tc>
          <w:tcPr>
            <w:tcW w:w="1181" w:type="dxa"/>
            <w:shd w:val="clear" w:color="auto" w:fill="auto"/>
            <w:vAlign w:val="center"/>
          </w:tcPr>
          <w:p w:rsidR="00DD2A92" w:rsidRPr="004D451D" w:rsidRDefault="00DD2A92" w:rsidP="00DD2A92">
            <w:pPr>
              <w:jc w:val="right"/>
              <w:rPr>
                <w:rFonts w:ascii="Arial" w:hAnsi="Arial" w:cs="Arial"/>
              </w:rPr>
            </w:pPr>
          </w:p>
        </w:tc>
      </w:tr>
      <w:tr w:rsidR="004D451D" w:rsidRPr="004D451D" w:rsidTr="00DD2A92">
        <w:trPr>
          <w:jc w:val="center"/>
        </w:trPr>
        <w:tc>
          <w:tcPr>
            <w:tcW w:w="2905" w:type="dxa"/>
            <w:shd w:val="clear" w:color="auto" w:fill="auto"/>
          </w:tcPr>
          <w:p w:rsidR="00DD2A92" w:rsidRPr="004D451D" w:rsidRDefault="00DD2A92" w:rsidP="003365E9">
            <w:pPr>
              <w:spacing w:line="360" w:lineRule="auto"/>
              <w:ind w:leftChars="100" w:left="240"/>
              <w:rPr>
                <w:rFonts w:eastAsia="標楷體"/>
              </w:rPr>
            </w:pPr>
            <w:r w:rsidRPr="004D451D">
              <w:rPr>
                <w:rFonts w:eastAsia="標楷體"/>
              </w:rPr>
              <w:t>商用不動產貸款</w:t>
            </w:r>
          </w:p>
        </w:tc>
        <w:tc>
          <w:tcPr>
            <w:tcW w:w="1276" w:type="dxa"/>
            <w:shd w:val="clear" w:color="auto" w:fill="auto"/>
            <w:vAlign w:val="center"/>
          </w:tcPr>
          <w:p w:rsidR="00DD2A92" w:rsidRPr="004D451D" w:rsidRDefault="00DD2A92" w:rsidP="00DD2A92">
            <w:pPr>
              <w:jc w:val="right"/>
              <w:rPr>
                <w:rFonts w:ascii="Arial" w:hAnsi="Arial" w:cs="Arial"/>
              </w:rPr>
            </w:pPr>
          </w:p>
        </w:tc>
        <w:tc>
          <w:tcPr>
            <w:tcW w:w="1134" w:type="dxa"/>
            <w:shd w:val="clear" w:color="auto" w:fill="auto"/>
            <w:vAlign w:val="center"/>
          </w:tcPr>
          <w:p w:rsidR="00DD2A92" w:rsidRPr="004D451D" w:rsidRDefault="00DD2A92" w:rsidP="00DD2A92">
            <w:pPr>
              <w:jc w:val="right"/>
              <w:rPr>
                <w:rFonts w:ascii="Arial" w:hAnsi="Arial" w:cs="Arial"/>
              </w:rPr>
            </w:pPr>
          </w:p>
        </w:tc>
        <w:tc>
          <w:tcPr>
            <w:tcW w:w="978" w:type="dxa"/>
            <w:shd w:val="clear" w:color="auto" w:fill="auto"/>
            <w:vAlign w:val="center"/>
          </w:tcPr>
          <w:p w:rsidR="00DD2A92" w:rsidRPr="004D451D" w:rsidRDefault="00DD2A92" w:rsidP="00DD2A92">
            <w:pPr>
              <w:jc w:val="right"/>
              <w:rPr>
                <w:rFonts w:ascii="Arial" w:hAnsi="Arial" w:cs="Arial"/>
              </w:rPr>
            </w:pPr>
          </w:p>
        </w:tc>
        <w:tc>
          <w:tcPr>
            <w:tcW w:w="1148" w:type="dxa"/>
            <w:shd w:val="clear" w:color="auto" w:fill="auto"/>
            <w:vAlign w:val="center"/>
          </w:tcPr>
          <w:p w:rsidR="00DD2A92" w:rsidRPr="004D451D" w:rsidRDefault="00DD2A92" w:rsidP="00DD2A92">
            <w:pPr>
              <w:jc w:val="right"/>
              <w:rPr>
                <w:rFonts w:ascii="Arial" w:hAnsi="Arial" w:cs="Arial"/>
              </w:rPr>
            </w:pPr>
          </w:p>
        </w:tc>
        <w:tc>
          <w:tcPr>
            <w:tcW w:w="993" w:type="dxa"/>
            <w:shd w:val="clear" w:color="auto" w:fill="auto"/>
            <w:vAlign w:val="center"/>
          </w:tcPr>
          <w:p w:rsidR="00DD2A92" w:rsidRPr="004D451D" w:rsidRDefault="00DD2A92" w:rsidP="00DD2A92">
            <w:pPr>
              <w:jc w:val="right"/>
              <w:rPr>
                <w:rFonts w:ascii="Arial" w:hAnsi="Arial" w:cs="Arial"/>
              </w:rPr>
            </w:pPr>
          </w:p>
        </w:tc>
        <w:tc>
          <w:tcPr>
            <w:tcW w:w="1181" w:type="dxa"/>
            <w:shd w:val="clear" w:color="auto" w:fill="auto"/>
            <w:vAlign w:val="center"/>
          </w:tcPr>
          <w:p w:rsidR="00DD2A92" w:rsidRPr="004D451D" w:rsidRDefault="00DD2A92" w:rsidP="00DD2A92">
            <w:pPr>
              <w:jc w:val="right"/>
              <w:rPr>
                <w:rFonts w:ascii="Arial" w:hAnsi="Arial" w:cs="Arial"/>
              </w:rPr>
            </w:pPr>
          </w:p>
        </w:tc>
      </w:tr>
      <w:tr w:rsidR="004D451D" w:rsidRPr="004D451D" w:rsidTr="00DD2A92">
        <w:trPr>
          <w:jc w:val="center"/>
        </w:trPr>
        <w:tc>
          <w:tcPr>
            <w:tcW w:w="2905" w:type="dxa"/>
            <w:shd w:val="clear" w:color="auto" w:fill="auto"/>
          </w:tcPr>
          <w:p w:rsidR="00DD2A92" w:rsidRPr="004D451D" w:rsidRDefault="00DD2A92" w:rsidP="003365E9">
            <w:pPr>
              <w:spacing w:line="360" w:lineRule="auto"/>
              <w:ind w:leftChars="100" w:left="240"/>
              <w:rPr>
                <w:rFonts w:eastAsia="標楷體"/>
              </w:rPr>
            </w:pPr>
            <w:r w:rsidRPr="004D451D">
              <w:rPr>
                <w:rFonts w:eastAsia="標楷體"/>
              </w:rPr>
              <w:t>租賃及應收帳款</w:t>
            </w:r>
          </w:p>
        </w:tc>
        <w:tc>
          <w:tcPr>
            <w:tcW w:w="1276" w:type="dxa"/>
            <w:shd w:val="clear" w:color="auto" w:fill="auto"/>
            <w:vAlign w:val="center"/>
          </w:tcPr>
          <w:p w:rsidR="00DD2A92" w:rsidRPr="004D451D" w:rsidRDefault="00DD2A92" w:rsidP="00DD2A92">
            <w:pPr>
              <w:jc w:val="right"/>
              <w:rPr>
                <w:rFonts w:ascii="Arial" w:hAnsi="Arial" w:cs="Arial"/>
              </w:rPr>
            </w:pPr>
          </w:p>
        </w:tc>
        <w:tc>
          <w:tcPr>
            <w:tcW w:w="1134" w:type="dxa"/>
            <w:shd w:val="clear" w:color="auto" w:fill="auto"/>
            <w:vAlign w:val="center"/>
          </w:tcPr>
          <w:p w:rsidR="00DD2A92" w:rsidRPr="004D451D" w:rsidRDefault="00DD2A92" w:rsidP="00DD2A92">
            <w:pPr>
              <w:jc w:val="right"/>
              <w:rPr>
                <w:rFonts w:ascii="Arial" w:hAnsi="Arial" w:cs="Arial"/>
              </w:rPr>
            </w:pPr>
          </w:p>
        </w:tc>
        <w:tc>
          <w:tcPr>
            <w:tcW w:w="978" w:type="dxa"/>
            <w:shd w:val="clear" w:color="auto" w:fill="auto"/>
            <w:vAlign w:val="center"/>
          </w:tcPr>
          <w:p w:rsidR="00DD2A92" w:rsidRPr="004D451D" w:rsidRDefault="00DD2A92" w:rsidP="00DD2A92">
            <w:pPr>
              <w:jc w:val="right"/>
              <w:rPr>
                <w:rFonts w:ascii="Arial" w:hAnsi="Arial" w:cs="Arial"/>
              </w:rPr>
            </w:pPr>
          </w:p>
        </w:tc>
        <w:tc>
          <w:tcPr>
            <w:tcW w:w="1148" w:type="dxa"/>
            <w:shd w:val="clear" w:color="auto" w:fill="auto"/>
            <w:vAlign w:val="center"/>
          </w:tcPr>
          <w:p w:rsidR="00DD2A92" w:rsidRPr="004D451D" w:rsidRDefault="00DD2A92" w:rsidP="00DD2A92">
            <w:pPr>
              <w:jc w:val="right"/>
              <w:rPr>
                <w:rFonts w:ascii="Arial" w:hAnsi="Arial" w:cs="Arial"/>
              </w:rPr>
            </w:pPr>
          </w:p>
        </w:tc>
        <w:tc>
          <w:tcPr>
            <w:tcW w:w="993" w:type="dxa"/>
            <w:shd w:val="clear" w:color="auto" w:fill="auto"/>
            <w:vAlign w:val="center"/>
          </w:tcPr>
          <w:p w:rsidR="00DD2A92" w:rsidRPr="004D451D" w:rsidRDefault="00DD2A92" w:rsidP="00DD2A92">
            <w:pPr>
              <w:jc w:val="right"/>
              <w:rPr>
                <w:rFonts w:ascii="Arial" w:hAnsi="Arial" w:cs="Arial"/>
              </w:rPr>
            </w:pPr>
          </w:p>
        </w:tc>
        <w:tc>
          <w:tcPr>
            <w:tcW w:w="1181" w:type="dxa"/>
            <w:shd w:val="clear" w:color="auto" w:fill="auto"/>
            <w:vAlign w:val="center"/>
          </w:tcPr>
          <w:p w:rsidR="00DD2A92" w:rsidRPr="004D451D" w:rsidRDefault="00DD2A92" w:rsidP="00DD2A92">
            <w:pPr>
              <w:jc w:val="right"/>
              <w:rPr>
                <w:rFonts w:ascii="Arial" w:hAnsi="Arial" w:cs="Arial"/>
              </w:rPr>
            </w:pPr>
          </w:p>
        </w:tc>
      </w:tr>
      <w:tr w:rsidR="004D451D" w:rsidRPr="004D451D" w:rsidTr="00DD2A92">
        <w:trPr>
          <w:jc w:val="center"/>
        </w:trPr>
        <w:tc>
          <w:tcPr>
            <w:tcW w:w="2905" w:type="dxa"/>
            <w:shd w:val="clear" w:color="auto" w:fill="auto"/>
          </w:tcPr>
          <w:p w:rsidR="00DD2A92" w:rsidRPr="004D451D" w:rsidRDefault="00DD2A92" w:rsidP="003365E9">
            <w:pPr>
              <w:spacing w:line="360" w:lineRule="auto"/>
              <w:ind w:leftChars="100" w:left="240"/>
              <w:rPr>
                <w:rFonts w:eastAsia="標楷體"/>
              </w:rPr>
            </w:pPr>
            <w:r w:rsidRPr="004D451D">
              <w:rPr>
                <w:rFonts w:eastAsia="標楷體"/>
              </w:rPr>
              <w:t>其他企業型暴險</w:t>
            </w:r>
          </w:p>
        </w:tc>
        <w:tc>
          <w:tcPr>
            <w:tcW w:w="1276" w:type="dxa"/>
            <w:shd w:val="clear" w:color="auto" w:fill="auto"/>
            <w:vAlign w:val="center"/>
          </w:tcPr>
          <w:p w:rsidR="00DD2A92" w:rsidRPr="004D451D" w:rsidRDefault="00DD2A92" w:rsidP="00DD2A92">
            <w:pPr>
              <w:jc w:val="right"/>
              <w:rPr>
                <w:rFonts w:ascii="Arial" w:hAnsi="Arial" w:cs="Arial"/>
              </w:rPr>
            </w:pPr>
          </w:p>
        </w:tc>
        <w:tc>
          <w:tcPr>
            <w:tcW w:w="1134" w:type="dxa"/>
            <w:shd w:val="clear" w:color="auto" w:fill="auto"/>
            <w:vAlign w:val="center"/>
          </w:tcPr>
          <w:p w:rsidR="00DD2A92" w:rsidRPr="004D451D" w:rsidRDefault="00DD2A92" w:rsidP="00DD2A92">
            <w:pPr>
              <w:jc w:val="right"/>
              <w:rPr>
                <w:rFonts w:ascii="Arial" w:hAnsi="Arial" w:cs="Arial"/>
              </w:rPr>
            </w:pPr>
          </w:p>
        </w:tc>
        <w:tc>
          <w:tcPr>
            <w:tcW w:w="978" w:type="dxa"/>
            <w:shd w:val="clear" w:color="auto" w:fill="auto"/>
            <w:vAlign w:val="center"/>
          </w:tcPr>
          <w:p w:rsidR="00DD2A92" w:rsidRPr="004D451D" w:rsidRDefault="00DD2A92" w:rsidP="00DD2A92">
            <w:pPr>
              <w:jc w:val="right"/>
              <w:rPr>
                <w:rFonts w:ascii="Arial" w:hAnsi="Arial" w:cs="Arial"/>
              </w:rPr>
            </w:pPr>
          </w:p>
        </w:tc>
        <w:tc>
          <w:tcPr>
            <w:tcW w:w="1148" w:type="dxa"/>
            <w:shd w:val="clear" w:color="auto" w:fill="auto"/>
            <w:vAlign w:val="center"/>
          </w:tcPr>
          <w:p w:rsidR="00DD2A92" w:rsidRPr="004D451D" w:rsidRDefault="00DD2A92" w:rsidP="00DD2A92">
            <w:pPr>
              <w:jc w:val="right"/>
              <w:rPr>
                <w:rFonts w:ascii="Arial" w:hAnsi="Arial" w:cs="Arial"/>
              </w:rPr>
            </w:pPr>
          </w:p>
        </w:tc>
        <w:tc>
          <w:tcPr>
            <w:tcW w:w="993" w:type="dxa"/>
            <w:shd w:val="clear" w:color="auto" w:fill="auto"/>
            <w:vAlign w:val="center"/>
          </w:tcPr>
          <w:p w:rsidR="00DD2A92" w:rsidRPr="004D451D" w:rsidRDefault="00DD2A92" w:rsidP="00DD2A92">
            <w:pPr>
              <w:jc w:val="right"/>
              <w:rPr>
                <w:rFonts w:ascii="Arial" w:hAnsi="Arial" w:cs="Arial"/>
              </w:rPr>
            </w:pPr>
          </w:p>
        </w:tc>
        <w:tc>
          <w:tcPr>
            <w:tcW w:w="1181" w:type="dxa"/>
            <w:shd w:val="clear" w:color="auto" w:fill="auto"/>
            <w:vAlign w:val="center"/>
          </w:tcPr>
          <w:p w:rsidR="00DD2A92" w:rsidRPr="004D451D" w:rsidRDefault="00DD2A92" w:rsidP="00DD2A92">
            <w:pPr>
              <w:jc w:val="right"/>
              <w:rPr>
                <w:rFonts w:ascii="Arial" w:hAnsi="Arial" w:cs="Arial"/>
              </w:rPr>
            </w:pPr>
          </w:p>
        </w:tc>
      </w:tr>
      <w:tr w:rsidR="004D451D" w:rsidRPr="004D451D" w:rsidTr="00DD2A92">
        <w:trPr>
          <w:jc w:val="center"/>
        </w:trPr>
        <w:tc>
          <w:tcPr>
            <w:tcW w:w="2905" w:type="dxa"/>
            <w:shd w:val="clear" w:color="auto" w:fill="auto"/>
          </w:tcPr>
          <w:p w:rsidR="00DD2A92" w:rsidRPr="004D451D" w:rsidRDefault="00DD2A92" w:rsidP="003365E9">
            <w:pPr>
              <w:spacing w:line="360" w:lineRule="auto"/>
              <w:ind w:leftChars="100" w:left="240"/>
              <w:rPr>
                <w:rFonts w:eastAsia="標楷體"/>
              </w:rPr>
            </w:pPr>
            <w:r w:rsidRPr="004D451D">
              <w:rPr>
                <w:rFonts w:eastAsia="標楷體"/>
              </w:rPr>
              <w:t>再證券化</w:t>
            </w:r>
          </w:p>
        </w:tc>
        <w:tc>
          <w:tcPr>
            <w:tcW w:w="1276" w:type="dxa"/>
            <w:shd w:val="clear" w:color="auto" w:fill="auto"/>
            <w:vAlign w:val="center"/>
          </w:tcPr>
          <w:p w:rsidR="00DD2A92" w:rsidRPr="004D451D" w:rsidRDefault="00DD2A92" w:rsidP="00DD2A92">
            <w:pPr>
              <w:jc w:val="right"/>
              <w:rPr>
                <w:rFonts w:ascii="Arial" w:hAnsi="Arial" w:cs="Arial"/>
              </w:rPr>
            </w:pPr>
          </w:p>
        </w:tc>
        <w:tc>
          <w:tcPr>
            <w:tcW w:w="1134" w:type="dxa"/>
            <w:shd w:val="clear" w:color="auto" w:fill="auto"/>
            <w:vAlign w:val="center"/>
          </w:tcPr>
          <w:p w:rsidR="00DD2A92" w:rsidRPr="004D451D" w:rsidRDefault="00DD2A92" w:rsidP="00DD2A92">
            <w:pPr>
              <w:jc w:val="right"/>
              <w:rPr>
                <w:rFonts w:ascii="Arial" w:hAnsi="Arial" w:cs="Arial"/>
              </w:rPr>
            </w:pPr>
          </w:p>
        </w:tc>
        <w:tc>
          <w:tcPr>
            <w:tcW w:w="978" w:type="dxa"/>
            <w:shd w:val="clear" w:color="auto" w:fill="auto"/>
            <w:vAlign w:val="center"/>
          </w:tcPr>
          <w:p w:rsidR="00DD2A92" w:rsidRPr="004D451D" w:rsidRDefault="00DD2A92" w:rsidP="00DD2A92">
            <w:pPr>
              <w:jc w:val="right"/>
              <w:rPr>
                <w:rFonts w:ascii="Arial" w:hAnsi="Arial" w:cs="Arial"/>
              </w:rPr>
            </w:pPr>
          </w:p>
        </w:tc>
        <w:tc>
          <w:tcPr>
            <w:tcW w:w="1148" w:type="dxa"/>
            <w:shd w:val="clear" w:color="auto" w:fill="auto"/>
            <w:vAlign w:val="center"/>
          </w:tcPr>
          <w:p w:rsidR="00DD2A92" w:rsidRPr="004D451D" w:rsidRDefault="00DD2A92" w:rsidP="00DD2A92">
            <w:pPr>
              <w:jc w:val="right"/>
              <w:rPr>
                <w:rFonts w:ascii="Arial" w:hAnsi="Arial" w:cs="Arial"/>
              </w:rPr>
            </w:pPr>
          </w:p>
        </w:tc>
        <w:tc>
          <w:tcPr>
            <w:tcW w:w="993" w:type="dxa"/>
            <w:shd w:val="clear" w:color="auto" w:fill="auto"/>
            <w:vAlign w:val="center"/>
          </w:tcPr>
          <w:p w:rsidR="00DD2A92" w:rsidRPr="004D451D" w:rsidRDefault="00DD2A92" w:rsidP="00DD2A92">
            <w:pPr>
              <w:jc w:val="right"/>
              <w:rPr>
                <w:rFonts w:ascii="Arial" w:hAnsi="Arial" w:cs="Arial"/>
              </w:rPr>
            </w:pPr>
          </w:p>
        </w:tc>
        <w:tc>
          <w:tcPr>
            <w:tcW w:w="1181" w:type="dxa"/>
            <w:shd w:val="clear" w:color="auto" w:fill="auto"/>
            <w:vAlign w:val="center"/>
          </w:tcPr>
          <w:p w:rsidR="00DD2A92" w:rsidRPr="004D451D" w:rsidRDefault="00DD2A92" w:rsidP="00DD2A92">
            <w:pPr>
              <w:jc w:val="right"/>
              <w:rPr>
                <w:rFonts w:ascii="Arial" w:hAnsi="Arial" w:cs="Arial"/>
              </w:rPr>
            </w:pPr>
          </w:p>
        </w:tc>
      </w:tr>
      <w:tr w:rsidR="004D451D" w:rsidRPr="004D451D" w:rsidTr="00DD2A92">
        <w:trPr>
          <w:jc w:val="center"/>
        </w:trPr>
        <w:tc>
          <w:tcPr>
            <w:tcW w:w="2905" w:type="dxa"/>
            <w:shd w:val="clear" w:color="auto" w:fill="auto"/>
          </w:tcPr>
          <w:p w:rsidR="00DD2A92" w:rsidRPr="004D451D" w:rsidRDefault="00DD2A92" w:rsidP="00C67EC5">
            <w:pPr>
              <w:spacing w:line="360" w:lineRule="auto"/>
              <w:rPr>
                <w:rFonts w:eastAsia="標楷體"/>
                <w:b/>
              </w:rPr>
            </w:pPr>
            <w:r w:rsidRPr="004D451D">
              <w:rPr>
                <w:rFonts w:eastAsia="標楷體"/>
                <w:b/>
              </w:rPr>
              <w:t>總計</w:t>
            </w:r>
          </w:p>
        </w:tc>
        <w:tc>
          <w:tcPr>
            <w:tcW w:w="1276"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1134"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978"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1148"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993"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c>
          <w:tcPr>
            <w:tcW w:w="1181" w:type="dxa"/>
            <w:shd w:val="clear" w:color="auto" w:fill="auto"/>
            <w:vAlign w:val="center"/>
          </w:tcPr>
          <w:p w:rsidR="00DD2A92" w:rsidRPr="004D451D" w:rsidRDefault="00A837D8" w:rsidP="00DD2A92">
            <w:pPr>
              <w:jc w:val="right"/>
              <w:rPr>
                <w:rFonts w:ascii="Arial" w:hAnsi="Arial" w:cs="Arial"/>
              </w:rPr>
            </w:pPr>
            <w:r w:rsidRPr="004D451D">
              <w:rPr>
                <w:rFonts w:ascii="Arial" w:hAnsi="Arial" w:cs="Arial" w:hint="eastAsia"/>
              </w:rPr>
              <w:t>0</w:t>
            </w:r>
          </w:p>
        </w:tc>
      </w:tr>
      <w:tr w:rsidR="004D451D" w:rsidRPr="004D451D" w:rsidTr="003365E9">
        <w:trPr>
          <w:trHeight w:val="766"/>
          <w:jc w:val="center"/>
        </w:trPr>
        <w:tc>
          <w:tcPr>
            <w:tcW w:w="9615" w:type="dxa"/>
            <w:gridSpan w:val="7"/>
            <w:shd w:val="clear" w:color="auto" w:fill="auto"/>
          </w:tcPr>
          <w:p w:rsidR="00083D5A" w:rsidRPr="004D451D" w:rsidRDefault="00083D5A" w:rsidP="00C67EC5">
            <w:pPr>
              <w:spacing w:line="360" w:lineRule="auto"/>
              <w:rPr>
                <w:rFonts w:eastAsia="標楷體"/>
              </w:rPr>
            </w:pPr>
            <w:r w:rsidRPr="004D451D">
              <w:rPr>
                <w:rFonts w:eastAsia="標楷體"/>
              </w:rPr>
              <w:t>重大變動原因及說明</w:t>
            </w:r>
            <w:r w:rsidR="003365E9" w:rsidRPr="004D451D">
              <w:rPr>
                <w:rFonts w:eastAsia="標楷體"/>
              </w:rPr>
              <w:t>：</w:t>
            </w:r>
          </w:p>
        </w:tc>
      </w:tr>
    </w:tbl>
    <w:p w:rsidR="00D26C2D" w:rsidRPr="004D451D" w:rsidRDefault="00D26C2D" w:rsidP="00D26C2D">
      <w:pPr>
        <w:rPr>
          <w:rFonts w:eastAsia="標楷體"/>
          <w:b/>
          <w:kern w:val="0"/>
        </w:rPr>
      </w:pPr>
    </w:p>
    <w:p w:rsidR="00D26C2D" w:rsidRPr="004D451D" w:rsidRDefault="00D26C2D" w:rsidP="003365E9">
      <w:pPr>
        <w:spacing w:line="240" w:lineRule="atLeast"/>
        <w:rPr>
          <w:rFonts w:eastAsia="標楷體"/>
          <w:b/>
          <w:kern w:val="0"/>
        </w:rPr>
      </w:pPr>
      <w:r w:rsidRPr="004D451D">
        <w:rPr>
          <w:rFonts w:eastAsia="標楷體"/>
          <w:b/>
          <w:kern w:val="0"/>
        </w:rPr>
        <w:t>填表說明：</w:t>
      </w:r>
    </w:p>
    <w:p w:rsidR="00D26C2D" w:rsidRPr="004D451D" w:rsidRDefault="00D26C2D" w:rsidP="00EF4134">
      <w:pPr>
        <w:numPr>
          <w:ilvl w:val="0"/>
          <w:numId w:val="77"/>
        </w:numPr>
        <w:spacing w:line="240" w:lineRule="atLeast"/>
        <w:ind w:leftChars="150" w:left="720" w:hangingChars="150"/>
        <w:jc w:val="both"/>
        <w:rPr>
          <w:rFonts w:eastAsia="標楷體"/>
        </w:rPr>
      </w:pPr>
      <w:r w:rsidRPr="004D451D">
        <w:rPr>
          <w:rFonts w:eastAsia="標楷體"/>
        </w:rPr>
        <w:t>本表更新頻率：半年。</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本表採個體基礎填報。</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本表係填寫帳面金額，銀行為創始機構，證券化暴險為保留部位、提供流動性融資額度或是提供信用增強之金額，當銀行為投資機構時，證券化暴險為購自第三者的投資部位。</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銀行符合以下條件之一者，即屬證券化交易之創始機構：</w:t>
      </w:r>
    </w:p>
    <w:p w:rsidR="003365E9" w:rsidRPr="004D451D" w:rsidRDefault="003365E9" w:rsidP="00482E54">
      <w:pPr>
        <w:numPr>
          <w:ilvl w:val="0"/>
          <w:numId w:val="78"/>
        </w:numPr>
        <w:spacing w:line="240" w:lineRule="atLeast"/>
        <w:ind w:leftChars="250" w:left="1080" w:hangingChars="200" w:hanging="480"/>
        <w:jc w:val="both"/>
        <w:rPr>
          <w:rFonts w:eastAsia="標楷體"/>
        </w:rPr>
      </w:pPr>
      <w:r w:rsidRPr="004D451D">
        <w:rPr>
          <w:rFonts w:eastAsia="標楷體"/>
        </w:rPr>
        <w:t>在證券化交易發生時，原持有證券化交易標的資產池，並透過證券化交易移轉其信用風險之銀行。</w:t>
      </w:r>
    </w:p>
    <w:p w:rsidR="003365E9" w:rsidRPr="004D451D" w:rsidRDefault="003365E9" w:rsidP="00482E54">
      <w:pPr>
        <w:numPr>
          <w:ilvl w:val="0"/>
          <w:numId w:val="78"/>
        </w:numPr>
        <w:spacing w:line="240" w:lineRule="atLeast"/>
        <w:ind w:leftChars="250" w:left="1080" w:hangingChars="200" w:hanging="480"/>
        <w:jc w:val="both"/>
        <w:rPr>
          <w:rFonts w:eastAsia="標楷體"/>
        </w:rPr>
      </w:pPr>
      <w:r w:rsidRPr="004D451D">
        <w:rPr>
          <w:rFonts w:eastAsia="標楷體"/>
        </w:rPr>
        <w:t>擔任資產基礎商業本票</w:t>
      </w:r>
      <w:r w:rsidRPr="004D451D">
        <w:rPr>
          <w:rFonts w:eastAsia="標楷體" w:hint="eastAsia"/>
        </w:rPr>
        <w:t>(</w:t>
      </w:r>
      <w:r w:rsidRPr="004D451D">
        <w:rPr>
          <w:rFonts w:eastAsia="標楷體"/>
        </w:rPr>
        <w:t>ABCP</w:t>
      </w:r>
      <w:r w:rsidRPr="004D451D">
        <w:rPr>
          <w:rFonts w:eastAsia="標楷體" w:hint="eastAsia"/>
        </w:rPr>
        <w:t>)</w:t>
      </w:r>
      <w:r w:rsidRPr="004D451D">
        <w:rPr>
          <w:rFonts w:eastAsia="標楷體"/>
        </w:rPr>
        <w:t>之導管</w:t>
      </w:r>
      <w:r w:rsidRPr="004D451D">
        <w:rPr>
          <w:rFonts w:eastAsia="標楷體" w:hint="eastAsia"/>
        </w:rPr>
        <w:t>(</w:t>
      </w:r>
      <w:r w:rsidRPr="004D451D">
        <w:rPr>
          <w:rFonts w:eastAsia="標楷體"/>
        </w:rPr>
        <w:t>conduit</w:t>
      </w:r>
      <w:r w:rsidRPr="004D451D">
        <w:rPr>
          <w:rFonts w:eastAsia="標楷體" w:hint="eastAsia"/>
        </w:rPr>
        <w:t>)</w:t>
      </w:r>
      <w:r w:rsidRPr="004D451D">
        <w:rPr>
          <w:rFonts w:eastAsia="標楷體"/>
        </w:rPr>
        <w:t>或此類發行計畫之贊助機構，而承擔標的資產池風險之銀行；如銀行實質上擔任資產基礎商業本票導管或此類發行計畫之諮詢管理者、將證券承銷至市場上，或有提供流動性、信用增強等情形，將被視為創始銀行。</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資產類別係依發行證券化之資產類型等細分。</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不論是否符合風險移轉認定標準之證券化暴險，均需填列於此表中。</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組合型交易中，銀行若有購買信用保障，則銀行應於擔任創始機構、贊助機構項下列示扣除信用保障後金額，若售出信用保障，則應於投資機構下列示出售信用保障金額。</w:t>
      </w:r>
    </w:p>
    <w:p w:rsidR="003365E9" w:rsidRPr="004D451D" w:rsidRDefault="003365E9" w:rsidP="00EF4134">
      <w:pPr>
        <w:numPr>
          <w:ilvl w:val="0"/>
          <w:numId w:val="77"/>
        </w:numPr>
        <w:spacing w:line="240" w:lineRule="atLeast"/>
        <w:ind w:leftChars="150" w:left="720" w:hangingChars="150"/>
        <w:jc w:val="both"/>
        <w:rPr>
          <w:rFonts w:eastAsia="標楷體"/>
        </w:rPr>
      </w:pPr>
      <w:r w:rsidRPr="004D451D">
        <w:rPr>
          <w:rFonts w:eastAsia="標楷體"/>
        </w:rPr>
        <w:t>再證券化暴險均須列於再證券化項目，並與其他資產類別區分。</w:t>
      </w:r>
    </w:p>
    <w:p w:rsidR="00026A3B" w:rsidRPr="004D451D" w:rsidRDefault="00026A3B" w:rsidP="003365E9">
      <w:pPr>
        <w:widowControl/>
        <w:spacing w:line="240" w:lineRule="atLeast"/>
        <w:rPr>
          <w:rFonts w:ascii="Arial" w:eastAsia="標楷體" w:hAnsi="Arial" w:cs="Arial"/>
        </w:rPr>
      </w:pPr>
    </w:p>
    <w:p w:rsidR="00026A3B" w:rsidRPr="004D451D" w:rsidRDefault="00026A3B" w:rsidP="003365E9">
      <w:pPr>
        <w:widowControl/>
        <w:spacing w:line="240" w:lineRule="atLeast"/>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026A3B" w:rsidRPr="004D451D" w:rsidRDefault="00026A3B" w:rsidP="005A738B">
      <w:pPr>
        <w:widowControl/>
        <w:rPr>
          <w:rFonts w:ascii="Arial" w:eastAsia="標楷體" w:hAnsi="Arial" w:cs="Arial"/>
        </w:rPr>
      </w:pPr>
    </w:p>
    <w:p w:rsidR="002B2D51" w:rsidRPr="004D451D" w:rsidRDefault="002B2D51" w:rsidP="005A738B">
      <w:pPr>
        <w:widowControl/>
        <w:rPr>
          <w:rFonts w:ascii="Arial" w:eastAsia="標楷體" w:hAnsi="Arial" w:cs="Arial"/>
        </w:rPr>
      </w:pPr>
    </w:p>
    <w:p w:rsidR="00D82BC6" w:rsidRPr="004D451D" w:rsidRDefault="00D82BC6" w:rsidP="00026A3B">
      <w:pPr>
        <w:widowControl/>
        <w:rPr>
          <w:rFonts w:ascii="Arial" w:eastAsia="標楷體" w:hAnsi="Arial" w:cs="Arial"/>
          <w:sz w:val="32"/>
          <w:szCs w:val="32"/>
        </w:rPr>
        <w:sectPr w:rsidR="00D82BC6" w:rsidRPr="004D451D" w:rsidSect="00EF42CC">
          <w:pgSz w:w="11906" w:h="16838" w:code="9"/>
          <w:pgMar w:top="1079" w:right="991" w:bottom="1440" w:left="1440" w:header="851" w:footer="352" w:gutter="0"/>
          <w:cols w:space="425"/>
          <w:docGrid w:type="lines" w:linePitch="360"/>
        </w:sectPr>
      </w:pPr>
    </w:p>
    <w:p w:rsidR="00026A3B" w:rsidRPr="004D451D" w:rsidRDefault="00026A3B" w:rsidP="00026A3B">
      <w:pPr>
        <w:widowControl/>
        <w:rPr>
          <w:rFonts w:eastAsia="標楷體"/>
          <w:sz w:val="32"/>
          <w:szCs w:val="32"/>
        </w:rPr>
      </w:pPr>
      <w:r w:rsidRPr="004D451D">
        <w:rPr>
          <w:rFonts w:eastAsia="標楷體"/>
          <w:b/>
          <w:sz w:val="32"/>
          <w:szCs w:val="32"/>
        </w:rPr>
        <w:t>【附表四十</w:t>
      </w:r>
      <w:r w:rsidR="00012B42" w:rsidRPr="004D451D">
        <w:rPr>
          <w:rFonts w:eastAsia="標楷體" w:hint="eastAsia"/>
          <w:b/>
          <w:sz w:val="32"/>
          <w:szCs w:val="32"/>
        </w:rPr>
        <w:t>七</w:t>
      </w:r>
      <w:r w:rsidRPr="004D451D">
        <w:rPr>
          <w:rFonts w:eastAsia="標楷體"/>
          <w:b/>
          <w:sz w:val="32"/>
          <w:szCs w:val="32"/>
        </w:rPr>
        <w:t>】</w:t>
      </w:r>
    </w:p>
    <w:p w:rsidR="00026A3B" w:rsidRPr="004D451D" w:rsidRDefault="00947BCC" w:rsidP="00026A3B">
      <w:pPr>
        <w:jc w:val="center"/>
        <w:rPr>
          <w:rFonts w:eastAsia="標楷體"/>
          <w:b/>
          <w:bCs/>
          <w:sz w:val="32"/>
          <w:szCs w:val="32"/>
        </w:rPr>
      </w:pPr>
      <w:r w:rsidRPr="004D451D">
        <w:rPr>
          <w:rFonts w:eastAsia="標楷體"/>
          <w:b/>
          <w:bCs/>
          <w:sz w:val="32"/>
          <w:szCs w:val="32"/>
        </w:rPr>
        <w:t>銀行簿之證券化暴險及法定資本要求</w:t>
      </w:r>
      <w:r w:rsidR="00D82B93" w:rsidRPr="004D451D">
        <w:rPr>
          <w:rFonts w:hint="eastAsia"/>
          <w:b/>
        </w:rPr>
        <w:t>─</w:t>
      </w:r>
      <w:r w:rsidRPr="004D451D">
        <w:rPr>
          <w:rFonts w:eastAsia="標楷體"/>
          <w:b/>
          <w:bCs/>
          <w:sz w:val="32"/>
          <w:szCs w:val="32"/>
        </w:rPr>
        <w:t>銀行為創始機構</w:t>
      </w:r>
    </w:p>
    <w:p w:rsidR="00026A3B" w:rsidRPr="004D451D" w:rsidRDefault="00026A3B" w:rsidP="00026A3B">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DD2A92" w:rsidRPr="004D451D">
        <w:rPr>
          <w:rFonts w:eastAsia="標楷體" w:hint="eastAsia"/>
          <w:bCs/>
          <w:sz w:val="32"/>
          <w:szCs w:val="32"/>
        </w:rPr>
        <w:t>10</w:t>
      </w:r>
      <w:r w:rsidR="00A837D8" w:rsidRPr="004D451D">
        <w:rPr>
          <w:rFonts w:eastAsia="標楷體" w:hint="eastAsia"/>
          <w:bCs/>
          <w:sz w:val="32"/>
          <w:szCs w:val="32"/>
        </w:rPr>
        <w:t>7</w:t>
      </w:r>
      <w:r w:rsidRPr="004D451D">
        <w:rPr>
          <w:rFonts w:eastAsia="標楷體"/>
          <w:bCs/>
          <w:sz w:val="32"/>
          <w:szCs w:val="32"/>
        </w:rPr>
        <w:t>年</w:t>
      </w:r>
      <w:r w:rsidR="00A837D8" w:rsidRPr="004D451D">
        <w:rPr>
          <w:rFonts w:eastAsia="標楷體" w:hint="eastAsia"/>
          <w:bCs/>
          <w:sz w:val="32"/>
          <w:szCs w:val="32"/>
        </w:rPr>
        <w:t>06</w:t>
      </w:r>
      <w:r w:rsidRPr="004D451D">
        <w:rPr>
          <w:rFonts w:eastAsia="標楷體"/>
          <w:bCs/>
          <w:sz w:val="32"/>
          <w:szCs w:val="32"/>
        </w:rPr>
        <w:t>月</w:t>
      </w:r>
      <w:r w:rsidR="00DD2A92" w:rsidRPr="004D451D">
        <w:rPr>
          <w:rFonts w:eastAsia="標楷體" w:hint="eastAsia"/>
          <w:bCs/>
          <w:sz w:val="32"/>
          <w:szCs w:val="32"/>
        </w:rPr>
        <w:t>3</w:t>
      </w:r>
      <w:r w:rsidR="00A837D8" w:rsidRPr="004D451D">
        <w:rPr>
          <w:rFonts w:eastAsia="標楷體" w:hint="eastAsia"/>
          <w:bCs/>
          <w:sz w:val="32"/>
          <w:szCs w:val="32"/>
        </w:rPr>
        <w:t>0</w:t>
      </w:r>
      <w:r w:rsidRPr="004D451D">
        <w:rPr>
          <w:rFonts w:eastAsia="標楷體"/>
          <w:bCs/>
          <w:sz w:val="32"/>
          <w:szCs w:val="32"/>
        </w:rPr>
        <w:t>日</w:t>
      </w:r>
      <w:r w:rsidR="003365E9" w:rsidRPr="004D451D">
        <w:rPr>
          <w:rFonts w:eastAsia="標楷體"/>
          <w:bCs/>
          <w:sz w:val="32"/>
          <w:szCs w:val="32"/>
        </w:rPr>
        <w:t xml:space="preserve">　　　　　　　　　　　　</w:t>
      </w:r>
      <w:r w:rsidR="00D82B93" w:rsidRPr="004D451D">
        <w:rPr>
          <w:rFonts w:eastAsia="標楷體" w:hint="eastAsia"/>
          <w:bCs/>
          <w:szCs w:val="32"/>
        </w:rPr>
        <w:t>（</w:t>
      </w:r>
      <w:r w:rsidRPr="004D451D">
        <w:rPr>
          <w:rFonts w:eastAsia="標楷體"/>
          <w:bCs/>
        </w:rPr>
        <w:t>單位</w:t>
      </w:r>
      <w:r w:rsidR="003365E9" w:rsidRPr="004D451D">
        <w:rPr>
          <w:rFonts w:eastAsia="標楷體"/>
          <w:bCs/>
        </w:rPr>
        <w:t>：</w:t>
      </w:r>
      <w:r w:rsidRPr="004D451D">
        <w:rPr>
          <w:rFonts w:eastAsia="標楷體"/>
          <w:bCs/>
        </w:rPr>
        <w:t>新臺幣千元</w:t>
      </w:r>
      <w:r w:rsidR="00D82B93" w:rsidRPr="004D451D">
        <w:rPr>
          <w:rFonts w:eastAsia="標楷體" w:hint="eastAsia"/>
          <w:bCs/>
        </w:rPr>
        <w:t>）</w:t>
      </w:r>
    </w:p>
    <w:tbl>
      <w:tblPr>
        <w:tblW w:w="15913" w:type="dxa"/>
        <w:jc w:val="center"/>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538"/>
        <w:gridCol w:w="1546"/>
        <w:gridCol w:w="567"/>
        <w:gridCol w:w="708"/>
        <w:gridCol w:w="709"/>
        <w:gridCol w:w="992"/>
        <w:gridCol w:w="709"/>
        <w:gridCol w:w="851"/>
        <w:gridCol w:w="850"/>
        <w:gridCol w:w="851"/>
        <w:gridCol w:w="708"/>
        <w:gridCol w:w="851"/>
        <w:gridCol w:w="850"/>
        <w:gridCol w:w="851"/>
        <w:gridCol w:w="709"/>
        <w:gridCol w:w="850"/>
        <w:gridCol w:w="851"/>
        <w:gridCol w:w="850"/>
        <w:gridCol w:w="709"/>
      </w:tblGrid>
      <w:tr w:rsidR="004D451D" w:rsidRPr="004D451D" w:rsidTr="0061572E">
        <w:trPr>
          <w:trHeight w:val="517"/>
          <w:jc w:val="center"/>
        </w:trPr>
        <w:tc>
          <w:tcPr>
            <w:tcW w:w="2447" w:type="dxa"/>
            <w:gridSpan w:val="3"/>
            <w:vMerge w:val="restart"/>
            <w:vAlign w:val="center"/>
          </w:tcPr>
          <w:p w:rsidR="0061572E" w:rsidRPr="004D451D" w:rsidRDefault="0061572E" w:rsidP="0061572E">
            <w:pPr>
              <w:widowControl/>
              <w:jc w:val="center"/>
              <w:rPr>
                <w:rFonts w:eastAsia="標楷體"/>
              </w:rPr>
            </w:pPr>
            <w:r w:rsidRPr="004D451D">
              <w:rPr>
                <w:rFonts w:eastAsia="標楷體" w:hint="eastAsia"/>
              </w:rPr>
              <w:t>項目</w:t>
            </w:r>
          </w:p>
        </w:tc>
        <w:tc>
          <w:tcPr>
            <w:tcW w:w="3685" w:type="dxa"/>
            <w:gridSpan w:val="5"/>
            <w:shd w:val="clear" w:color="auto" w:fill="auto"/>
            <w:vAlign w:val="center"/>
          </w:tcPr>
          <w:p w:rsidR="0061572E" w:rsidRPr="004D451D" w:rsidRDefault="0061572E" w:rsidP="008E5452">
            <w:pPr>
              <w:widowControl/>
              <w:jc w:val="center"/>
              <w:rPr>
                <w:rFonts w:eastAsia="標楷體"/>
                <w:szCs w:val="20"/>
              </w:rPr>
            </w:pPr>
            <w:r w:rsidRPr="004D451D">
              <w:rPr>
                <w:rFonts w:eastAsia="標楷體"/>
                <w:szCs w:val="20"/>
              </w:rPr>
              <w:t>暴險值</w:t>
            </w:r>
            <w:r w:rsidRPr="004D451D">
              <w:rPr>
                <w:rFonts w:eastAsia="標楷體"/>
                <w:szCs w:val="20"/>
              </w:rPr>
              <w:t>(</w:t>
            </w:r>
            <w:r w:rsidRPr="004D451D">
              <w:rPr>
                <w:rFonts w:eastAsia="標楷體"/>
                <w:szCs w:val="20"/>
              </w:rPr>
              <w:t>依風險權數</w:t>
            </w:r>
            <w:r w:rsidRPr="004D451D">
              <w:rPr>
                <w:rFonts w:eastAsia="標楷體"/>
                <w:szCs w:val="20"/>
              </w:rPr>
              <w:t>)</w:t>
            </w:r>
          </w:p>
        </w:tc>
        <w:tc>
          <w:tcPr>
            <w:tcW w:w="3260" w:type="dxa"/>
            <w:gridSpan w:val="4"/>
            <w:shd w:val="clear" w:color="auto" w:fill="auto"/>
            <w:vAlign w:val="center"/>
          </w:tcPr>
          <w:p w:rsidR="0061572E" w:rsidRPr="004D451D" w:rsidRDefault="0061572E" w:rsidP="008E5452">
            <w:pPr>
              <w:widowControl/>
              <w:jc w:val="center"/>
              <w:rPr>
                <w:rFonts w:eastAsia="標楷體"/>
                <w:szCs w:val="20"/>
              </w:rPr>
            </w:pPr>
            <w:r w:rsidRPr="004D451D">
              <w:rPr>
                <w:rFonts w:eastAsia="標楷體"/>
                <w:szCs w:val="20"/>
              </w:rPr>
              <w:t>暴險值</w:t>
            </w:r>
            <w:r w:rsidRPr="004D451D">
              <w:rPr>
                <w:rFonts w:eastAsia="標楷體"/>
                <w:szCs w:val="20"/>
              </w:rPr>
              <w:t>(</w:t>
            </w:r>
            <w:r w:rsidRPr="004D451D">
              <w:rPr>
                <w:rFonts w:eastAsia="標楷體"/>
                <w:szCs w:val="20"/>
              </w:rPr>
              <w:t>依法定方法</w:t>
            </w:r>
            <w:r w:rsidRPr="004D451D">
              <w:rPr>
                <w:rFonts w:eastAsia="標楷體"/>
                <w:szCs w:val="20"/>
              </w:rPr>
              <w:t>)</w:t>
            </w:r>
          </w:p>
        </w:tc>
        <w:tc>
          <w:tcPr>
            <w:tcW w:w="3261" w:type="dxa"/>
            <w:gridSpan w:val="4"/>
            <w:shd w:val="clear" w:color="auto" w:fill="auto"/>
            <w:vAlign w:val="center"/>
          </w:tcPr>
          <w:p w:rsidR="0061572E" w:rsidRPr="004D451D" w:rsidRDefault="0061572E" w:rsidP="008E5452">
            <w:pPr>
              <w:widowControl/>
              <w:jc w:val="center"/>
              <w:rPr>
                <w:rFonts w:eastAsia="標楷體"/>
                <w:szCs w:val="20"/>
              </w:rPr>
            </w:pPr>
            <w:r w:rsidRPr="004D451D">
              <w:rPr>
                <w:rFonts w:eastAsia="標楷體"/>
                <w:szCs w:val="20"/>
              </w:rPr>
              <w:t>風險性資產</w:t>
            </w:r>
            <w:r w:rsidRPr="004D451D">
              <w:rPr>
                <w:rFonts w:eastAsia="標楷體"/>
                <w:szCs w:val="20"/>
              </w:rPr>
              <w:t>(</w:t>
            </w:r>
            <w:r w:rsidRPr="004D451D">
              <w:rPr>
                <w:rFonts w:eastAsia="標楷體"/>
                <w:szCs w:val="20"/>
              </w:rPr>
              <w:t>依法定方法</w:t>
            </w:r>
            <w:r w:rsidRPr="004D451D">
              <w:rPr>
                <w:rFonts w:eastAsia="標楷體"/>
                <w:szCs w:val="20"/>
              </w:rPr>
              <w:t>)</w:t>
            </w:r>
          </w:p>
        </w:tc>
        <w:tc>
          <w:tcPr>
            <w:tcW w:w="3260" w:type="dxa"/>
            <w:gridSpan w:val="4"/>
            <w:shd w:val="clear" w:color="auto" w:fill="auto"/>
            <w:vAlign w:val="center"/>
          </w:tcPr>
          <w:p w:rsidR="0061572E" w:rsidRPr="004D451D" w:rsidRDefault="00B15AB8" w:rsidP="00C67EC5">
            <w:pPr>
              <w:widowControl/>
              <w:jc w:val="center"/>
              <w:rPr>
                <w:rFonts w:eastAsia="標楷體"/>
                <w:szCs w:val="20"/>
              </w:rPr>
            </w:pPr>
            <w:r w:rsidRPr="004D451D">
              <w:rPr>
                <w:rFonts w:eastAsia="標楷體" w:hint="eastAsia"/>
                <w:szCs w:val="20"/>
              </w:rPr>
              <w:t>考慮上限後之資本計提</w:t>
            </w:r>
          </w:p>
        </w:tc>
      </w:tr>
      <w:tr w:rsidR="004D451D" w:rsidRPr="004D451D" w:rsidTr="0061572E">
        <w:trPr>
          <w:jc w:val="center"/>
        </w:trPr>
        <w:tc>
          <w:tcPr>
            <w:tcW w:w="2447" w:type="dxa"/>
            <w:gridSpan w:val="3"/>
            <w:vMerge/>
          </w:tcPr>
          <w:p w:rsidR="0061572E" w:rsidRPr="004D451D" w:rsidRDefault="0061572E" w:rsidP="00C67EC5">
            <w:pPr>
              <w:widowControl/>
              <w:rPr>
                <w:rFonts w:eastAsia="標楷體"/>
              </w:rPr>
            </w:pPr>
          </w:p>
        </w:tc>
        <w:tc>
          <w:tcPr>
            <w:tcW w:w="567" w:type="dxa"/>
            <w:shd w:val="clear" w:color="auto" w:fill="auto"/>
            <w:vAlign w:val="center"/>
          </w:tcPr>
          <w:p w:rsidR="0061572E" w:rsidRPr="004D451D" w:rsidRDefault="0061572E" w:rsidP="00B61914">
            <w:pPr>
              <w:widowControl/>
              <w:spacing w:line="240" w:lineRule="atLeast"/>
              <w:jc w:val="center"/>
              <w:rPr>
                <w:rFonts w:eastAsia="標楷體"/>
                <w:sz w:val="16"/>
                <w:szCs w:val="14"/>
              </w:rPr>
            </w:pPr>
            <w:r w:rsidRPr="004D451D">
              <w:rPr>
                <w:rFonts w:ascii="標楷體" w:eastAsia="標楷體" w:hAnsi="標楷體" w:hint="eastAsia"/>
                <w:sz w:val="16"/>
                <w:szCs w:val="14"/>
              </w:rPr>
              <w:t>≦</w:t>
            </w:r>
            <w:r w:rsidRPr="004D451D">
              <w:rPr>
                <w:rFonts w:eastAsia="標楷體"/>
                <w:sz w:val="16"/>
                <w:szCs w:val="14"/>
              </w:rPr>
              <w:t>20%</w:t>
            </w:r>
          </w:p>
          <w:p w:rsidR="0061572E" w:rsidRPr="004D451D" w:rsidRDefault="0061572E" w:rsidP="00B61914">
            <w:pPr>
              <w:widowControl/>
              <w:spacing w:line="240" w:lineRule="atLeast"/>
              <w:jc w:val="center"/>
              <w:rPr>
                <w:rFonts w:eastAsia="標楷體"/>
                <w:sz w:val="16"/>
                <w:szCs w:val="14"/>
              </w:rPr>
            </w:pPr>
            <w:r w:rsidRPr="004D451D">
              <w:rPr>
                <w:rFonts w:eastAsia="標楷體" w:hint="eastAsia"/>
                <w:sz w:val="16"/>
                <w:szCs w:val="14"/>
              </w:rPr>
              <w:t>A</w:t>
            </w:r>
          </w:p>
        </w:tc>
        <w:tc>
          <w:tcPr>
            <w:tcW w:w="708" w:type="dxa"/>
            <w:shd w:val="clear" w:color="auto" w:fill="auto"/>
            <w:vAlign w:val="center"/>
          </w:tcPr>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20~50</w:t>
            </w:r>
          </w:p>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w:t>
            </w:r>
            <w:r w:rsidRPr="004D451D">
              <w:rPr>
                <w:rFonts w:eastAsia="標楷體"/>
                <w:sz w:val="16"/>
                <w:szCs w:val="14"/>
              </w:rPr>
              <w:t>含</w:t>
            </w:r>
            <w:r w:rsidRPr="004D451D">
              <w:rPr>
                <w:rFonts w:eastAsia="標楷體"/>
                <w:sz w:val="16"/>
                <w:szCs w:val="14"/>
              </w:rPr>
              <w:t>)%</w:t>
            </w:r>
          </w:p>
          <w:p w:rsidR="0061572E" w:rsidRPr="004D451D" w:rsidRDefault="0061572E" w:rsidP="00B61914">
            <w:pPr>
              <w:widowControl/>
              <w:spacing w:line="240" w:lineRule="atLeast"/>
              <w:jc w:val="center"/>
              <w:rPr>
                <w:rFonts w:eastAsia="標楷體"/>
                <w:sz w:val="16"/>
                <w:szCs w:val="14"/>
              </w:rPr>
            </w:pPr>
            <w:r w:rsidRPr="004D451D">
              <w:rPr>
                <w:rFonts w:eastAsia="標楷體" w:hint="eastAsia"/>
                <w:sz w:val="16"/>
                <w:szCs w:val="14"/>
              </w:rPr>
              <w:t>B</w:t>
            </w:r>
          </w:p>
        </w:tc>
        <w:tc>
          <w:tcPr>
            <w:tcW w:w="709" w:type="dxa"/>
            <w:shd w:val="clear" w:color="auto" w:fill="auto"/>
            <w:vAlign w:val="center"/>
          </w:tcPr>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50~100(</w:t>
            </w:r>
            <w:r w:rsidRPr="004D451D">
              <w:rPr>
                <w:rFonts w:eastAsia="標楷體"/>
                <w:sz w:val="16"/>
                <w:szCs w:val="14"/>
              </w:rPr>
              <w:t>含</w:t>
            </w:r>
            <w:r w:rsidRPr="004D451D">
              <w:rPr>
                <w:rFonts w:eastAsia="標楷體"/>
                <w:sz w:val="16"/>
                <w:szCs w:val="14"/>
              </w:rPr>
              <w:t>)%</w:t>
            </w:r>
          </w:p>
          <w:p w:rsidR="0061572E" w:rsidRPr="004D451D" w:rsidRDefault="0061572E" w:rsidP="00B61914">
            <w:pPr>
              <w:widowControl/>
              <w:spacing w:line="240" w:lineRule="atLeast"/>
              <w:jc w:val="center"/>
              <w:rPr>
                <w:rFonts w:eastAsia="標楷體"/>
                <w:sz w:val="16"/>
                <w:szCs w:val="14"/>
              </w:rPr>
            </w:pPr>
            <w:r w:rsidRPr="004D451D">
              <w:rPr>
                <w:rFonts w:eastAsia="標楷體" w:hint="eastAsia"/>
                <w:sz w:val="16"/>
                <w:szCs w:val="14"/>
              </w:rPr>
              <w:t>C</w:t>
            </w:r>
          </w:p>
        </w:tc>
        <w:tc>
          <w:tcPr>
            <w:tcW w:w="992" w:type="dxa"/>
            <w:shd w:val="clear" w:color="auto" w:fill="auto"/>
            <w:vAlign w:val="center"/>
          </w:tcPr>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100~1250</w:t>
            </w:r>
          </w:p>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w:t>
            </w:r>
            <w:r w:rsidRPr="004D451D">
              <w:rPr>
                <w:rFonts w:eastAsia="標楷體"/>
                <w:sz w:val="16"/>
                <w:szCs w:val="14"/>
              </w:rPr>
              <w:t>不含</w:t>
            </w:r>
            <w:r w:rsidRPr="004D451D">
              <w:rPr>
                <w:rFonts w:eastAsia="標楷體"/>
                <w:sz w:val="16"/>
                <w:szCs w:val="14"/>
              </w:rPr>
              <w:t>)%</w:t>
            </w:r>
          </w:p>
          <w:p w:rsidR="0061572E" w:rsidRPr="004D451D" w:rsidRDefault="0061572E" w:rsidP="00B61914">
            <w:pPr>
              <w:widowControl/>
              <w:spacing w:line="240" w:lineRule="atLeast"/>
              <w:jc w:val="center"/>
              <w:rPr>
                <w:rFonts w:eastAsia="標楷體"/>
                <w:sz w:val="16"/>
                <w:szCs w:val="14"/>
              </w:rPr>
            </w:pPr>
            <w:r w:rsidRPr="004D451D">
              <w:rPr>
                <w:rFonts w:eastAsia="標楷體" w:hint="eastAsia"/>
                <w:sz w:val="16"/>
                <w:szCs w:val="14"/>
              </w:rPr>
              <w:t>D</w:t>
            </w:r>
          </w:p>
        </w:tc>
        <w:tc>
          <w:tcPr>
            <w:tcW w:w="709" w:type="dxa"/>
            <w:shd w:val="clear" w:color="auto" w:fill="auto"/>
            <w:vAlign w:val="center"/>
          </w:tcPr>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1250%</w:t>
            </w:r>
            <w:r w:rsidRPr="004D451D">
              <w:rPr>
                <w:rFonts w:eastAsia="標楷體" w:hint="eastAsia"/>
                <w:sz w:val="16"/>
                <w:szCs w:val="14"/>
              </w:rPr>
              <w:t>E</w:t>
            </w:r>
          </w:p>
        </w:tc>
        <w:tc>
          <w:tcPr>
            <w:tcW w:w="851" w:type="dxa"/>
            <w:shd w:val="clear" w:color="auto" w:fill="auto"/>
            <w:vAlign w:val="center"/>
          </w:tcPr>
          <w:p w:rsidR="0061572E" w:rsidRPr="004D451D" w:rsidRDefault="0061572E" w:rsidP="00B61914">
            <w:pPr>
              <w:widowControl/>
              <w:spacing w:line="240" w:lineRule="atLeast"/>
              <w:jc w:val="center"/>
              <w:rPr>
                <w:rFonts w:eastAsia="標楷體"/>
                <w:sz w:val="20"/>
                <w:szCs w:val="20"/>
              </w:rPr>
            </w:pPr>
            <w:r w:rsidRPr="004D451D">
              <w:rPr>
                <w:rFonts w:eastAsia="標楷體"/>
                <w:sz w:val="20"/>
                <w:szCs w:val="20"/>
              </w:rPr>
              <w:t>內部評等法之評等基礎法</w:t>
            </w:r>
            <w:r w:rsidRPr="004D451D">
              <w:rPr>
                <w:rFonts w:eastAsia="標楷體" w:hint="eastAsia"/>
                <w:sz w:val="20"/>
                <w:szCs w:val="20"/>
              </w:rPr>
              <w:t>F</w:t>
            </w:r>
          </w:p>
        </w:tc>
        <w:tc>
          <w:tcPr>
            <w:tcW w:w="850" w:type="dxa"/>
            <w:shd w:val="clear" w:color="auto" w:fill="auto"/>
            <w:vAlign w:val="center"/>
          </w:tcPr>
          <w:p w:rsidR="0061572E" w:rsidRPr="004D451D" w:rsidRDefault="0061572E" w:rsidP="00B61914">
            <w:pPr>
              <w:widowControl/>
              <w:spacing w:line="240" w:lineRule="atLeast"/>
              <w:jc w:val="center"/>
              <w:rPr>
                <w:rFonts w:eastAsia="標楷體"/>
                <w:sz w:val="20"/>
                <w:szCs w:val="20"/>
              </w:rPr>
            </w:pPr>
            <w:r w:rsidRPr="004D451D">
              <w:rPr>
                <w:rFonts w:eastAsia="標楷體"/>
                <w:sz w:val="20"/>
                <w:szCs w:val="20"/>
              </w:rPr>
              <w:t>內部評等法之監理公式法</w:t>
            </w:r>
            <w:r w:rsidRPr="004D451D">
              <w:rPr>
                <w:rFonts w:eastAsia="標楷體" w:hint="eastAsia"/>
                <w:sz w:val="20"/>
                <w:szCs w:val="20"/>
              </w:rPr>
              <w:t>G</w:t>
            </w:r>
          </w:p>
        </w:tc>
        <w:tc>
          <w:tcPr>
            <w:tcW w:w="851" w:type="dxa"/>
            <w:shd w:val="clear" w:color="auto" w:fill="auto"/>
            <w:vAlign w:val="center"/>
          </w:tcPr>
          <w:p w:rsidR="0061572E" w:rsidRPr="004D451D" w:rsidRDefault="0061572E" w:rsidP="002100AD">
            <w:pPr>
              <w:widowControl/>
              <w:spacing w:line="240" w:lineRule="atLeast"/>
              <w:jc w:val="center"/>
              <w:rPr>
                <w:rFonts w:eastAsia="標楷體"/>
                <w:sz w:val="20"/>
                <w:szCs w:val="20"/>
              </w:rPr>
            </w:pPr>
            <w:r w:rsidRPr="004D451D">
              <w:rPr>
                <w:rFonts w:eastAsia="標楷體"/>
                <w:sz w:val="20"/>
                <w:szCs w:val="20"/>
              </w:rPr>
              <w:t>標準法</w:t>
            </w:r>
            <w:r w:rsidRPr="004D451D">
              <w:rPr>
                <w:rFonts w:eastAsia="標楷體" w:hint="eastAsia"/>
                <w:sz w:val="20"/>
                <w:szCs w:val="20"/>
              </w:rPr>
              <w:t>H</w:t>
            </w:r>
          </w:p>
        </w:tc>
        <w:tc>
          <w:tcPr>
            <w:tcW w:w="708" w:type="dxa"/>
            <w:shd w:val="clear" w:color="auto" w:fill="auto"/>
            <w:vAlign w:val="center"/>
          </w:tcPr>
          <w:p w:rsidR="0061572E" w:rsidRPr="004D451D" w:rsidRDefault="0061572E" w:rsidP="00B61914">
            <w:pPr>
              <w:widowControl/>
              <w:spacing w:line="240" w:lineRule="atLeast"/>
              <w:jc w:val="center"/>
              <w:rPr>
                <w:rFonts w:eastAsia="標楷體"/>
                <w:sz w:val="16"/>
                <w:szCs w:val="14"/>
              </w:rPr>
            </w:pPr>
            <w:r w:rsidRPr="004D451D">
              <w:rPr>
                <w:rFonts w:eastAsia="標楷體"/>
                <w:sz w:val="16"/>
                <w:szCs w:val="14"/>
              </w:rPr>
              <w:t>1250%</w:t>
            </w:r>
            <w:r w:rsidRPr="004D451D">
              <w:rPr>
                <w:rFonts w:eastAsia="標楷體" w:hint="eastAsia"/>
                <w:sz w:val="16"/>
                <w:szCs w:val="14"/>
              </w:rPr>
              <w:t>I</w:t>
            </w:r>
          </w:p>
        </w:tc>
        <w:tc>
          <w:tcPr>
            <w:tcW w:w="851" w:type="dxa"/>
            <w:shd w:val="clear" w:color="auto" w:fill="auto"/>
            <w:vAlign w:val="center"/>
          </w:tcPr>
          <w:p w:rsidR="0061572E" w:rsidRPr="004D451D" w:rsidRDefault="0061572E" w:rsidP="00B61914">
            <w:pPr>
              <w:spacing w:line="240" w:lineRule="atLeast"/>
              <w:jc w:val="center"/>
              <w:rPr>
                <w:sz w:val="20"/>
                <w:szCs w:val="20"/>
              </w:rPr>
            </w:pPr>
            <w:r w:rsidRPr="004D451D">
              <w:rPr>
                <w:rFonts w:eastAsia="標楷體"/>
                <w:sz w:val="20"/>
                <w:szCs w:val="20"/>
              </w:rPr>
              <w:t>內部評等法之評等基礎法</w:t>
            </w:r>
            <w:r w:rsidRPr="004D451D">
              <w:rPr>
                <w:rFonts w:eastAsia="標楷體" w:hint="eastAsia"/>
                <w:sz w:val="20"/>
                <w:szCs w:val="20"/>
              </w:rPr>
              <w:t>J</w:t>
            </w:r>
          </w:p>
        </w:tc>
        <w:tc>
          <w:tcPr>
            <w:tcW w:w="850" w:type="dxa"/>
            <w:shd w:val="clear" w:color="auto" w:fill="auto"/>
            <w:vAlign w:val="center"/>
          </w:tcPr>
          <w:p w:rsidR="0061572E" w:rsidRPr="004D451D" w:rsidRDefault="0061572E" w:rsidP="00B61914">
            <w:pPr>
              <w:spacing w:line="240" w:lineRule="atLeast"/>
              <w:jc w:val="center"/>
              <w:rPr>
                <w:sz w:val="20"/>
                <w:szCs w:val="20"/>
              </w:rPr>
            </w:pPr>
            <w:r w:rsidRPr="004D451D">
              <w:rPr>
                <w:rFonts w:eastAsia="標楷體"/>
                <w:sz w:val="20"/>
                <w:szCs w:val="20"/>
              </w:rPr>
              <w:t>內部評等法之監理公式法</w:t>
            </w:r>
            <w:r w:rsidRPr="004D451D">
              <w:rPr>
                <w:rFonts w:eastAsia="標楷體" w:hint="eastAsia"/>
                <w:sz w:val="20"/>
                <w:szCs w:val="20"/>
              </w:rPr>
              <w:t>K</w:t>
            </w:r>
          </w:p>
        </w:tc>
        <w:tc>
          <w:tcPr>
            <w:tcW w:w="851" w:type="dxa"/>
            <w:shd w:val="clear" w:color="auto" w:fill="auto"/>
            <w:vAlign w:val="center"/>
          </w:tcPr>
          <w:p w:rsidR="0061572E" w:rsidRPr="004D451D" w:rsidRDefault="0061572E" w:rsidP="002100AD">
            <w:pPr>
              <w:widowControl/>
              <w:spacing w:line="240" w:lineRule="atLeast"/>
              <w:jc w:val="center"/>
              <w:rPr>
                <w:sz w:val="20"/>
                <w:szCs w:val="20"/>
              </w:rPr>
            </w:pPr>
            <w:r w:rsidRPr="004D451D">
              <w:rPr>
                <w:rFonts w:eastAsia="標楷體"/>
                <w:sz w:val="20"/>
                <w:szCs w:val="20"/>
              </w:rPr>
              <w:t>標準法</w:t>
            </w:r>
            <w:r w:rsidRPr="004D451D">
              <w:rPr>
                <w:rFonts w:eastAsia="標楷體" w:hint="eastAsia"/>
                <w:sz w:val="20"/>
                <w:szCs w:val="20"/>
              </w:rPr>
              <w:t>L</w:t>
            </w:r>
          </w:p>
        </w:tc>
        <w:tc>
          <w:tcPr>
            <w:tcW w:w="709" w:type="dxa"/>
            <w:shd w:val="clear" w:color="auto" w:fill="auto"/>
            <w:vAlign w:val="center"/>
          </w:tcPr>
          <w:p w:rsidR="0061572E" w:rsidRPr="004D451D" w:rsidRDefault="0061572E" w:rsidP="00B61914">
            <w:pPr>
              <w:spacing w:line="240" w:lineRule="atLeast"/>
              <w:jc w:val="center"/>
              <w:rPr>
                <w:sz w:val="16"/>
                <w:szCs w:val="14"/>
              </w:rPr>
            </w:pPr>
            <w:r w:rsidRPr="004D451D">
              <w:rPr>
                <w:rFonts w:eastAsia="標楷體"/>
                <w:sz w:val="16"/>
                <w:szCs w:val="14"/>
              </w:rPr>
              <w:t>1250%</w:t>
            </w:r>
            <w:r w:rsidRPr="004D451D">
              <w:rPr>
                <w:rFonts w:eastAsia="標楷體" w:hint="eastAsia"/>
                <w:sz w:val="16"/>
                <w:szCs w:val="14"/>
              </w:rPr>
              <w:t>M</w:t>
            </w:r>
          </w:p>
        </w:tc>
        <w:tc>
          <w:tcPr>
            <w:tcW w:w="850" w:type="dxa"/>
            <w:shd w:val="clear" w:color="auto" w:fill="auto"/>
            <w:vAlign w:val="center"/>
          </w:tcPr>
          <w:p w:rsidR="0061572E" w:rsidRPr="004D451D" w:rsidRDefault="0061572E" w:rsidP="00B61914">
            <w:pPr>
              <w:spacing w:line="240" w:lineRule="atLeast"/>
              <w:jc w:val="center"/>
              <w:rPr>
                <w:rFonts w:eastAsia="標楷體"/>
                <w:sz w:val="20"/>
                <w:szCs w:val="20"/>
              </w:rPr>
            </w:pPr>
            <w:r w:rsidRPr="004D451D">
              <w:rPr>
                <w:rFonts w:eastAsia="標楷體"/>
                <w:sz w:val="20"/>
                <w:szCs w:val="20"/>
              </w:rPr>
              <w:t>內部評等法之評等基礎法</w:t>
            </w:r>
            <w:r w:rsidRPr="004D451D">
              <w:rPr>
                <w:rFonts w:eastAsia="標楷體" w:hint="eastAsia"/>
                <w:sz w:val="20"/>
                <w:szCs w:val="20"/>
              </w:rPr>
              <w:t>N</w:t>
            </w:r>
          </w:p>
        </w:tc>
        <w:tc>
          <w:tcPr>
            <w:tcW w:w="851" w:type="dxa"/>
            <w:shd w:val="clear" w:color="auto" w:fill="auto"/>
            <w:vAlign w:val="center"/>
          </w:tcPr>
          <w:p w:rsidR="0061572E" w:rsidRPr="004D451D" w:rsidRDefault="0061572E" w:rsidP="00B61914">
            <w:pPr>
              <w:spacing w:line="240" w:lineRule="atLeast"/>
              <w:jc w:val="center"/>
              <w:rPr>
                <w:rFonts w:eastAsia="標楷體"/>
                <w:sz w:val="20"/>
                <w:szCs w:val="20"/>
              </w:rPr>
            </w:pPr>
            <w:r w:rsidRPr="004D451D">
              <w:rPr>
                <w:rFonts w:eastAsia="標楷體"/>
                <w:sz w:val="20"/>
                <w:szCs w:val="20"/>
              </w:rPr>
              <w:t>內部評等法之監理公式法</w:t>
            </w:r>
            <w:r w:rsidRPr="004D451D">
              <w:rPr>
                <w:rFonts w:eastAsia="標楷體" w:hint="eastAsia"/>
                <w:sz w:val="20"/>
                <w:szCs w:val="20"/>
              </w:rPr>
              <w:t>O</w:t>
            </w:r>
          </w:p>
        </w:tc>
        <w:tc>
          <w:tcPr>
            <w:tcW w:w="850" w:type="dxa"/>
            <w:shd w:val="clear" w:color="auto" w:fill="auto"/>
            <w:vAlign w:val="center"/>
          </w:tcPr>
          <w:p w:rsidR="0061572E" w:rsidRPr="004D451D" w:rsidRDefault="0061572E" w:rsidP="002100AD">
            <w:pPr>
              <w:widowControl/>
              <w:spacing w:line="240" w:lineRule="atLeast"/>
              <w:jc w:val="center"/>
              <w:rPr>
                <w:rFonts w:eastAsia="標楷體"/>
                <w:sz w:val="20"/>
                <w:szCs w:val="20"/>
              </w:rPr>
            </w:pPr>
            <w:r w:rsidRPr="004D451D">
              <w:rPr>
                <w:rFonts w:eastAsia="標楷體"/>
                <w:sz w:val="20"/>
                <w:szCs w:val="20"/>
              </w:rPr>
              <w:t>標準法</w:t>
            </w:r>
            <w:r w:rsidRPr="004D451D">
              <w:rPr>
                <w:rFonts w:eastAsia="標楷體" w:hint="eastAsia"/>
                <w:sz w:val="20"/>
                <w:szCs w:val="20"/>
              </w:rPr>
              <w:t>P</w:t>
            </w:r>
          </w:p>
        </w:tc>
        <w:tc>
          <w:tcPr>
            <w:tcW w:w="709" w:type="dxa"/>
            <w:shd w:val="clear" w:color="auto" w:fill="auto"/>
            <w:vAlign w:val="center"/>
          </w:tcPr>
          <w:p w:rsidR="0061572E" w:rsidRPr="004D451D" w:rsidRDefault="0061572E" w:rsidP="00B61914">
            <w:pPr>
              <w:spacing w:line="240" w:lineRule="atLeast"/>
              <w:jc w:val="center"/>
              <w:rPr>
                <w:rFonts w:eastAsia="標楷體"/>
                <w:sz w:val="16"/>
                <w:szCs w:val="14"/>
              </w:rPr>
            </w:pPr>
            <w:r w:rsidRPr="004D451D">
              <w:rPr>
                <w:rFonts w:eastAsia="標楷體"/>
                <w:sz w:val="16"/>
                <w:szCs w:val="14"/>
              </w:rPr>
              <w:t>1250%</w:t>
            </w:r>
            <w:r w:rsidRPr="004D451D">
              <w:rPr>
                <w:rFonts w:eastAsia="標楷體" w:hint="eastAsia"/>
                <w:sz w:val="16"/>
                <w:szCs w:val="14"/>
              </w:rPr>
              <w:t>Q</w:t>
            </w:r>
          </w:p>
        </w:tc>
      </w:tr>
      <w:tr w:rsidR="004D451D" w:rsidRPr="004D451D" w:rsidTr="0061572E">
        <w:trPr>
          <w:trHeight w:val="513"/>
          <w:jc w:val="center"/>
        </w:trPr>
        <w:tc>
          <w:tcPr>
            <w:tcW w:w="363" w:type="dxa"/>
            <w:vMerge w:val="restart"/>
            <w:vAlign w:val="center"/>
          </w:tcPr>
          <w:p w:rsidR="0061572E" w:rsidRPr="004D451D" w:rsidRDefault="0061572E" w:rsidP="0061572E">
            <w:pPr>
              <w:widowControl/>
              <w:jc w:val="center"/>
              <w:rPr>
                <w:rFonts w:eastAsia="標楷體"/>
              </w:rPr>
            </w:pPr>
            <w:r w:rsidRPr="004D451D">
              <w:rPr>
                <w:rFonts w:eastAsia="標楷體" w:hint="eastAsia"/>
              </w:rPr>
              <w:t>1</w:t>
            </w:r>
          </w:p>
        </w:tc>
        <w:tc>
          <w:tcPr>
            <w:tcW w:w="538" w:type="dxa"/>
            <w:vMerge w:val="restart"/>
            <w:shd w:val="clear" w:color="auto" w:fill="auto"/>
            <w:vAlign w:val="center"/>
          </w:tcPr>
          <w:p w:rsidR="0061572E" w:rsidRPr="004D451D" w:rsidRDefault="0061572E" w:rsidP="0061572E">
            <w:pPr>
              <w:widowControl/>
              <w:jc w:val="center"/>
              <w:rPr>
                <w:rFonts w:eastAsia="標楷體"/>
              </w:rPr>
            </w:pPr>
            <w:r w:rsidRPr="004D451D">
              <w:rPr>
                <w:rFonts w:eastAsia="標楷體"/>
              </w:rPr>
              <w:t>傳統型證券化商品</w:t>
            </w:r>
          </w:p>
        </w:tc>
        <w:tc>
          <w:tcPr>
            <w:tcW w:w="1546" w:type="dxa"/>
            <w:shd w:val="clear" w:color="auto" w:fill="auto"/>
            <w:vAlign w:val="center"/>
          </w:tcPr>
          <w:p w:rsidR="0061572E" w:rsidRPr="004D451D" w:rsidRDefault="0061572E" w:rsidP="00C67EC5">
            <w:pPr>
              <w:widowControl/>
              <w:jc w:val="both"/>
              <w:rPr>
                <w:rFonts w:eastAsia="標楷體"/>
                <w:sz w:val="20"/>
                <w:szCs w:val="20"/>
              </w:rPr>
            </w:pPr>
            <w:r w:rsidRPr="004D451D">
              <w:rPr>
                <w:rFonts w:eastAsia="標楷體"/>
                <w:sz w:val="20"/>
                <w:szCs w:val="20"/>
              </w:rPr>
              <w:t>證券化商品</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62"/>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vAlign w:val="center"/>
          </w:tcPr>
          <w:p w:rsidR="0061572E" w:rsidRPr="004D451D" w:rsidRDefault="0061572E" w:rsidP="0061572E">
            <w:pPr>
              <w:widowControl/>
              <w:jc w:val="center"/>
              <w:rPr>
                <w:rFonts w:eastAsia="標楷體"/>
              </w:rPr>
            </w:pPr>
          </w:p>
        </w:tc>
        <w:tc>
          <w:tcPr>
            <w:tcW w:w="1546" w:type="dxa"/>
            <w:shd w:val="clear" w:color="auto" w:fill="auto"/>
            <w:vAlign w:val="center"/>
          </w:tcPr>
          <w:p w:rsidR="0061572E" w:rsidRPr="004D451D" w:rsidRDefault="0061572E" w:rsidP="00B61914">
            <w:pPr>
              <w:widowControl/>
              <w:ind w:leftChars="100" w:left="240"/>
              <w:jc w:val="both"/>
              <w:rPr>
                <w:rFonts w:eastAsia="標楷體"/>
                <w:sz w:val="20"/>
                <w:szCs w:val="20"/>
              </w:rPr>
            </w:pPr>
            <w:r w:rsidRPr="004D451D">
              <w:rPr>
                <w:rFonts w:eastAsia="標楷體"/>
                <w:sz w:val="20"/>
                <w:szCs w:val="20"/>
              </w:rPr>
              <w:t>零售型</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70"/>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vAlign w:val="center"/>
          </w:tcPr>
          <w:p w:rsidR="0061572E" w:rsidRPr="004D451D" w:rsidRDefault="0061572E" w:rsidP="0061572E">
            <w:pPr>
              <w:widowControl/>
              <w:jc w:val="center"/>
              <w:rPr>
                <w:rFonts w:eastAsia="標楷體"/>
              </w:rPr>
            </w:pPr>
          </w:p>
        </w:tc>
        <w:tc>
          <w:tcPr>
            <w:tcW w:w="1546" w:type="dxa"/>
            <w:shd w:val="clear" w:color="auto" w:fill="auto"/>
            <w:vAlign w:val="center"/>
          </w:tcPr>
          <w:p w:rsidR="0061572E" w:rsidRPr="004D451D" w:rsidRDefault="0061572E" w:rsidP="00B61914">
            <w:pPr>
              <w:widowControl/>
              <w:ind w:leftChars="100" w:left="240"/>
              <w:jc w:val="both"/>
              <w:rPr>
                <w:rFonts w:eastAsia="標楷體"/>
                <w:sz w:val="20"/>
                <w:szCs w:val="20"/>
              </w:rPr>
            </w:pPr>
            <w:r w:rsidRPr="004D451D">
              <w:rPr>
                <w:rFonts w:eastAsia="標楷體"/>
                <w:sz w:val="20"/>
                <w:szCs w:val="20"/>
              </w:rPr>
              <w:t>企業型</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50"/>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vAlign w:val="center"/>
          </w:tcPr>
          <w:p w:rsidR="0061572E" w:rsidRPr="004D451D" w:rsidRDefault="0061572E" w:rsidP="0061572E">
            <w:pPr>
              <w:widowControl/>
              <w:jc w:val="center"/>
              <w:rPr>
                <w:rFonts w:eastAsia="標楷體"/>
              </w:rPr>
            </w:pPr>
          </w:p>
        </w:tc>
        <w:tc>
          <w:tcPr>
            <w:tcW w:w="1546" w:type="dxa"/>
            <w:shd w:val="clear" w:color="auto" w:fill="auto"/>
            <w:vAlign w:val="center"/>
          </w:tcPr>
          <w:p w:rsidR="0061572E" w:rsidRPr="004D451D" w:rsidRDefault="0061572E" w:rsidP="00C67EC5">
            <w:pPr>
              <w:widowControl/>
              <w:jc w:val="both"/>
              <w:rPr>
                <w:rFonts w:eastAsia="標楷體"/>
                <w:sz w:val="20"/>
                <w:szCs w:val="20"/>
              </w:rPr>
            </w:pPr>
            <w:r w:rsidRPr="004D451D">
              <w:rPr>
                <w:rFonts w:eastAsia="標楷體"/>
                <w:sz w:val="20"/>
                <w:szCs w:val="20"/>
              </w:rPr>
              <w:t>再證券化商品</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58"/>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vAlign w:val="center"/>
          </w:tcPr>
          <w:p w:rsidR="0061572E" w:rsidRPr="004D451D" w:rsidRDefault="0061572E" w:rsidP="0061572E">
            <w:pPr>
              <w:widowControl/>
              <w:jc w:val="center"/>
              <w:rPr>
                <w:rFonts w:eastAsia="標楷體"/>
              </w:rPr>
            </w:pPr>
          </w:p>
        </w:tc>
        <w:tc>
          <w:tcPr>
            <w:tcW w:w="1546" w:type="dxa"/>
            <w:shd w:val="clear" w:color="auto" w:fill="auto"/>
            <w:vAlign w:val="center"/>
          </w:tcPr>
          <w:p w:rsidR="0061572E" w:rsidRPr="004D451D" w:rsidRDefault="0061572E" w:rsidP="00B61914">
            <w:pPr>
              <w:widowControl/>
              <w:ind w:leftChars="100" w:left="240"/>
              <w:jc w:val="both"/>
              <w:rPr>
                <w:rFonts w:eastAsia="標楷體"/>
                <w:sz w:val="20"/>
                <w:szCs w:val="20"/>
              </w:rPr>
            </w:pPr>
            <w:r w:rsidRPr="004D451D">
              <w:rPr>
                <w:rFonts w:eastAsia="標楷體"/>
                <w:sz w:val="20"/>
                <w:szCs w:val="20"/>
              </w:rPr>
              <w:t>優先部位</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38"/>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vAlign w:val="center"/>
          </w:tcPr>
          <w:p w:rsidR="0061572E" w:rsidRPr="004D451D" w:rsidRDefault="0061572E" w:rsidP="0061572E">
            <w:pPr>
              <w:widowControl/>
              <w:jc w:val="center"/>
              <w:rPr>
                <w:rFonts w:eastAsia="標楷體"/>
              </w:rPr>
            </w:pPr>
          </w:p>
        </w:tc>
        <w:tc>
          <w:tcPr>
            <w:tcW w:w="1546" w:type="dxa"/>
            <w:shd w:val="clear" w:color="auto" w:fill="auto"/>
            <w:vAlign w:val="center"/>
          </w:tcPr>
          <w:p w:rsidR="0061572E" w:rsidRPr="004D451D" w:rsidRDefault="0061572E" w:rsidP="00B61914">
            <w:pPr>
              <w:widowControl/>
              <w:ind w:leftChars="100" w:left="240"/>
              <w:jc w:val="both"/>
              <w:rPr>
                <w:rFonts w:eastAsia="標楷體"/>
                <w:sz w:val="20"/>
                <w:szCs w:val="20"/>
              </w:rPr>
            </w:pPr>
            <w:r w:rsidRPr="004D451D">
              <w:rPr>
                <w:rFonts w:eastAsia="標楷體"/>
                <w:sz w:val="20"/>
                <w:szCs w:val="20"/>
              </w:rPr>
              <w:t>非優先部位</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DD2A92">
        <w:trPr>
          <w:trHeight w:val="574"/>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vAlign w:val="center"/>
          </w:tcPr>
          <w:p w:rsidR="0061572E" w:rsidRPr="004D451D" w:rsidRDefault="0061572E" w:rsidP="0061572E">
            <w:pPr>
              <w:widowControl/>
              <w:jc w:val="center"/>
              <w:rPr>
                <w:rFonts w:eastAsia="標楷體"/>
              </w:rPr>
            </w:pPr>
          </w:p>
        </w:tc>
        <w:tc>
          <w:tcPr>
            <w:tcW w:w="1546" w:type="dxa"/>
            <w:shd w:val="clear" w:color="auto" w:fill="auto"/>
            <w:vAlign w:val="center"/>
          </w:tcPr>
          <w:p w:rsidR="0061572E" w:rsidRPr="004D451D" w:rsidRDefault="0061572E" w:rsidP="00C67EC5">
            <w:pPr>
              <w:widowControl/>
              <w:jc w:val="both"/>
              <w:rPr>
                <w:rFonts w:eastAsia="標楷體"/>
                <w:sz w:val="20"/>
                <w:szCs w:val="20"/>
              </w:rPr>
            </w:pPr>
            <w:r w:rsidRPr="004D451D">
              <w:rPr>
                <w:rFonts w:eastAsia="標楷體"/>
                <w:sz w:val="20"/>
                <w:szCs w:val="20"/>
              </w:rPr>
              <w:t>小計</w:t>
            </w:r>
          </w:p>
        </w:tc>
        <w:tc>
          <w:tcPr>
            <w:tcW w:w="567"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708"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709"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992"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709"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1"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0"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1"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708"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1"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0"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1"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709"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0"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1"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850"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c>
          <w:tcPr>
            <w:tcW w:w="709" w:type="dxa"/>
            <w:shd w:val="clear" w:color="auto" w:fill="auto"/>
            <w:vAlign w:val="center"/>
          </w:tcPr>
          <w:p w:rsidR="0061572E" w:rsidRPr="004D451D" w:rsidRDefault="00DD2A92" w:rsidP="00DD2A92">
            <w:pPr>
              <w:jc w:val="right"/>
              <w:rPr>
                <w:rFonts w:ascii="Arial" w:hAnsi="Arial" w:cs="Arial"/>
              </w:rPr>
            </w:pPr>
            <w:r w:rsidRPr="004D451D">
              <w:rPr>
                <w:rFonts w:ascii="Arial" w:hAnsi="Arial" w:cs="Arial" w:hint="eastAsia"/>
              </w:rPr>
              <w:t>0</w:t>
            </w:r>
          </w:p>
        </w:tc>
      </w:tr>
      <w:tr w:rsidR="004D451D" w:rsidRPr="004D451D" w:rsidTr="00867331">
        <w:trPr>
          <w:trHeight w:val="558"/>
          <w:jc w:val="center"/>
        </w:trPr>
        <w:tc>
          <w:tcPr>
            <w:tcW w:w="363" w:type="dxa"/>
            <w:vMerge w:val="restart"/>
            <w:vAlign w:val="center"/>
          </w:tcPr>
          <w:p w:rsidR="0061572E" w:rsidRPr="004D451D" w:rsidRDefault="0061572E" w:rsidP="0061572E">
            <w:pPr>
              <w:widowControl/>
              <w:jc w:val="center"/>
              <w:rPr>
                <w:rFonts w:eastAsia="標楷體"/>
              </w:rPr>
            </w:pPr>
            <w:r w:rsidRPr="004D451D">
              <w:rPr>
                <w:rFonts w:eastAsia="標楷體" w:hint="eastAsia"/>
              </w:rPr>
              <w:t>2</w:t>
            </w:r>
          </w:p>
        </w:tc>
        <w:tc>
          <w:tcPr>
            <w:tcW w:w="538" w:type="dxa"/>
            <w:vMerge w:val="restart"/>
            <w:shd w:val="clear" w:color="auto" w:fill="auto"/>
            <w:vAlign w:val="center"/>
          </w:tcPr>
          <w:p w:rsidR="0061572E" w:rsidRPr="004D451D" w:rsidRDefault="0061572E" w:rsidP="00867331">
            <w:pPr>
              <w:widowControl/>
              <w:jc w:val="center"/>
              <w:rPr>
                <w:rFonts w:eastAsia="標楷體"/>
              </w:rPr>
            </w:pPr>
            <w:r w:rsidRPr="004D451D">
              <w:rPr>
                <w:rFonts w:eastAsia="標楷體"/>
              </w:rPr>
              <w:t>非傳統型證券化商品</w:t>
            </w:r>
          </w:p>
        </w:tc>
        <w:tc>
          <w:tcPr>
            <w:tcW w:w="1546" w:type="dxa"/>
            <w:shd w:val="clear" w:color="auto" w:fill="auto"/>
            <w:vAlign w:val="center"/>
          </w:tcPr>
          <w:p w:rsidR="0061572E" w:rsidRPr="004D451D" w:rsidRDefault="0061572E" w:rsidP="00C67EC5">
            <w:pPr>
              <w:jc w:val="both"/>
              <w:rPr>
                <w:rFonts w:eastAsia="標楷體"/>
                <w:sz w:val="20"/>
                <w:szCs w:val="20"/>
              </w:rPr>
            </w:pPr>
            <w:r w:rsidRPr="004D451D">
              <w:rPr>
                <w:rFonts w:eastAsia="標楷體"/>
                <w:sz w:val="20"/>
                <w:szCs w:val="20"/>
              </w:rPr>
              <w:t>證券化商品</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867331">
        <w:trPr>
          <w:trHeight w:val="566"/>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tcPr>
          <w:p w:rsidR="0061572E" w:rsidRPr="004D451D" w:rsidRDefault="0061572E" w:rsidP="00C67EC5">
            <w:pPr>
              <w:widowControl/>
              <w:rPr>
                <w:rFonts w:eastAsia="標楷體"/>
              </w:rPr>
            </w:pPr>
          </w:p>
        </w:tc>
        <w:tc>
          <w:tcPr>
            <w:tcW w:w="1546" w:type="dxa"/>
            <w:shd w:val="clear" w:color="auto" w:fill="auto"/>
            <w:vAlign w:val="center"/>
          </w:tcPr>
          <w:p w:rsidR="0061572E" w:rsidRPr="004D451D" w:rsidRDefault="0061572E" w:rsidP="00B61914">
            <w:pPr>
              <w:ind w:leftChars="100" w:left="240"/>
              <w:jc w:val="both"/>
              <w:rPr>
                <w:rFonts w:eastAsia="標楷體"/>
                <w:sz w:val="20"/>
                <w:szCs w:val="20"/>
              </w:rPr>
            </w:pPr>
            <w:r w:rsidRPr="004D451D">
              <w:rPr>
                <w:rFonts w:eastAsia="標楷體"/>
                <w:sz w:val="20"/>
                <w:szCs w:val="20"/>
              </w:rPr>
              <w:t>零售型</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78"/>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tcPr>
          <w:p w:rsidR="0061572E" w:rsidRPr="004D451D" w:rsidRDefault="0061572E" w:rsidP="00C67EC5">
            <w:pPr>
              <w:widowControl/>
              <w:rPr>
                <w:rFonts w:eastAsia="標楷體"/>
              </w:rPr>
            </w:pPr>
          </w:p>
        </w:tc>
        <w:tc>
          <w:tcPr>
            <w:tcW w:w="1546" w:type="dxa"/>
            <w:shd w:val="clear" w:color="auto" w:fill="auto"/>
            <w:vAlign w:val="center"/>
          </w:tcPr>
          <w:p w:rsidR="0061572E" w:rsidRPr="004D451D" w:rsidRDefault="0061572E" w:rsidP="00B61914">
            <w:pPr>
              <w:ind w:leftChars="100" w:left="240"/>
              <w:jc w:val="both"/>
              <w:rPr>
                <w:rFonts w:eastAsia="標楷體"/>
                <w:sz w:val="20"/>
                <w:szCs w:val="20"/>
              </w:rPr>
            </w:pPr>
            <w:r w:rsidRPr="004D451D">
              <w:rPr>
                <w:rFonts w:eastAsia="標楷體"/>
                <w:sz w:val="20"/>
                <w:szCs w:val="20"/>
              </w:rPr>
              <w:t>企業型</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44"/>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tcPr>
          <w:p w:rsidR="0061572E" w:rsidRPr="004D451D" w:rsidRDefault="0061572E" w:rsidP="00C67EC5">
            <w:pPr>
              <w:widowControl/>
              <w:rPr>
                <w:rFonts w:eastAsia="標楷體"/>
              </w:rPr>
            </w:pPr>
          </w:p>
        </w:tc>
        <w:tc>
          <w:tcPr>
            <w:tcW w:w="1546" w:type="dxa"/>
            <w:shd w:val="clear" w:color="auto" w:fill="auto"/>
            <w:vAlign w:val="center"/>
          </w:tcPr>
          <w:p w:rsidR="0061572E" w:rsidRPr="004D451D" w:rsidRDefault="0061572E" w:rsidP="00C67EC5">
            <w:pPr>
              <w:jc w:val="both"/>
              <w:rPr>
                <w:rFonts w:eastAsia="標楷體"/>
                <w:sz w:val="20"/>
                <w:szCs w:val="20"/>
              </w:rPr>
            </w:pPr>
            <w:r w:rsidRPr="004D451D">
              <w:rPr>
                <w:rFonts w:eastAsia="標楷體"/>
                <w:sz w:val="20"/>
                <w:szCs w:val="20"/>
              </w:rPr>
              <w:t>再證券化商品</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65"/>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tcPr>
          <w:p w:rsidR="0061572E" w:rsidRPr="004D451D" w:rsidRDefault="0061572E" w:rsidP="00C67EC5">
            <w:pPr>
              <w:widowControl/>
              <w:rPr>
                <w:rFonts w:eastAsia="標楷體"/>
              </w:rPr>
            </w:pPr>
          </w:p>
        </w:tc>
        <w:tc>
          <w:tcPr>
            <w:tcW w:w="1546" w:type="dxa"/>
            <w:shd w:val="clear" w:color="auto" w:fill="auto"/>
            <w:vAlign w:val="center"/>
          </w:tcPr>
          <w:p w:rsidR="0061572E" w:rsidRPr="004D451D" w:rsidRDefault="0061572E" w:rsidP="00B61914">
            <w:pPr>
              <w:ind w:leftChars="100" w:left="240"/>
              <w:jc w:val="both"/>
              <w:rPr>
                <w:rFonts w:eastAsia="標楷體"/>
                <w:sz w:val="20"/>
                <w:szCs w:val="20"/>
              </w:rPr>
            </w:pPr>
            <w:r w:rsidRPr="004D451D">
              <w:rPr>
                <w:rFonts w:eastAsia="標楷體"/>
                <w:sz w:val="20"/>
                <w:szCs w:val="20"/>
              </w:rPr>
              <w:t>優先部位</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61572E">
        <w:trPr>
          <w:trHeight w:val="545"/>
          <w:jc w:val="center"/>
        </w:trPr>
        <w:tc>
          <w:tcPr>
            <w:tcW w:w="363" w:type="dxa"/>
            <w:vMerge/>
            <w:vAlign w:val="center"/>
          </w:tcPr>
          <w:p w:rsidR="0061572E" w:rsidRPr="004D451D" w:rsidRDefault="0061572E" w:rsidP="0061572E">
            <w:pPr>
              <w:widowControl/>
              <w:jc w:val="center"/>
              <w:rPr>
                <w:rFonts w:eastAsia="標楷體"/>
              </w:rPr>
            </w:pPr>
          </w:p>
        </w:tc>
        <w:tc>
          <w:tcPr>
            <w:tcW w:w="538" w:type="dxa"/>
            <w:vMerge/>
            <w:shd w:val="clear" w:color="auto" w:fill="auto"/>
          </w:tcPr>
          <w:p w:rsidR="0061572E" w:rsidRPr="004D451D" w:rsidRDefault="0061572E" w:rsidP="00C67EC5">
            <w:pPr>
              <w:widowControl/>
              <w:rPr>
                <w:rFonts w:eastAsia="標楷體"/>
              </w:rPr>
            </w:pPr>
          </w:p>
        </w:tc>
        <w:tc>
          <w:tcPr>
            <w:tcW w:w="1546" w:type="dxa"/>
            <w:shd w:val="clear" w:color="auto" w:fill="auto"/>
            <w:vAlign w:val="center"/>
          </w:tcPr>
          <w:p w:rsidR="0061572E" w:rsidRPr="004D451D" w:rsidRDefault="0061572E" w:rsidP="00B61914">
            <w:pPr>
              <w:ind w:leftChars="100" w:left="240"/>
              <w:jc w:val="both"/>
              <w:rPr>
                <w:rFonts w:eastAsia="標楷體"/>
                <w:sz w:val="20"/>
                <w:szCs w:val="20"/>
              </w:rPr>
            </w:pPr>
            <w:r w:rsidRPr="004D451D">
              <w:rPr>
                <w:rFonts w:eastAsia="標楷體"/>
                <w:sz w:val="20"/>
                <w:szCs w:val="20"/>
              </w:rPr>
              <w:t>非優先部位</w:t>
            </w:r>
          </w:p>
        </w:tc>
        <w:tc>
          <w:tcPr>
            <w:tcW w:w="567"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992"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8"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851" w:type="dxa"/>
            <w:shd w:val="clear" w:color="auto" w:fill="auto"/>
          </w:tcPr>
          <w:p w:rsidR="0061572E" w:rsidRPr="004D451D" w:rsidRDefault="0061572E" w:rsidP="00C67EC5">
            <w:pPr>
              <w:widowControl/>
              <w:rPr>
                <w:rFonts w:eastAsia="標楷體"/>
              </w:rPr>
            </w:pPr>
          </w:p>
        </w:tc>
        <w:tc>
          <w:tcPr>
            <w:tcW w:w="850" w:type="dxa"/>
            <w:shd w:val="clear" w:color="auto" w:fill="auto"/>
          </w:tcPr>
          <w:p w:rsidR="0061572E" w:rsidRPr="004D451D" w:rsidRDefault="0061572E" w:rsidP="00C67EC5">
            <w:pPr>
              <w:widowControl/>
              <w:rPr>
                <w:rFonts w:eastAsia="標楷體"/>
              </w:rPr>
            </w:pPr>
          </w:p>
        </w:tc>
        <w:tc>
          <w:tcPr>
            <w:tcW w:w="709" w:type="dxa"/>
            <w:shd w:val="clear" w:color="auto" w:fill="auto"/>
          </w:tcPr>
          <w:p w:rsidR="0061572E" w:rsidRPr="004D451D" w:rsidRDefault="0061572E" w:rsidP="00C67EC5">
            <w:pPr>
              <w:widowControl/>
              <w:rPr>
                <w:rFonts w:eastAsia="標楷體"/>
              </w:rPr>
            </w:pPr>
          </w:p>
        </w:tc>
      </w:tr>
      <w:tr w:rsidR="004D451D" w:rsidRPr="004D451D" w:rsidTr="00FB03BE">
        <w:trPr>
          <w:trHeight w:val="553"/>
          <w:jc w:val="center"/>
        </w:trPr>
        <w:tc>
          <w:tcPr>
            <w:tcW w:w="363" w:type="dxa"/>
            <w:vMerge/>
            <w:vAlign w:val="center"/>
          </w:tcPr>
          <w:p w:rsidR="003B2842" w:rsidRPr="004D451D" w:rsidRDefault="003B2842" w:rsidP="0061572E">
            <w:pPr>
              <w:widowControl/>
              <w:jc w:val="center"/>
              <w:rPr>
                <w:rFonts w:eastAsia="標楷體"/>
              </w:rPr>
            </w:pPr>
          </w:p>
        </w:tc>
        <w:tc>
          <w:tcPr>
            <w:tcW w:w="538" w:type="dxa"/>
            <w:vMerge/>
            <w:shd w:val="clear" w:color="auto" w:fill="auto"/>
          </w:tcPr>
          <w:p w:rsidR="003B2842" w:rsidRPr="004D451D" w:rsidRDefault="003B2842" w:rsidP="00C67EC5">
            <w:pPr>
              <w:widowControl/>
              <w:rPr>
                <w:rFonts w:eastAsia="標楷體"/>
              </w:rPr>
            </w:pPr>
          </w:p>
        </w:tc>
        <w:tc>
          <w:tcPr>
            <w:tcW w:w="1546" w:type="dxa"/>
            <w:shd w:val="clear" w:color="auto" w:fill="auto"/>
            <w:vAlign w:val="center"/>
          </w:tcPr>
          <w:p w:rsidR="003B2842" w:rsidRPr="004D451D" w:rsidRDefault="003B2842" w:rsidP="00C67EC5">
            <w:pPr>
              <w:jc w:val="both"/>
              <w:rPr>
                <w:rFonts w:eastAsia="標楷體"/>
                <w:sz w:val="20"/>
                <w:szCs w:val="20"/>
              </w:rPr>
            </w:pPr>
            <w:r w:rsidRPr="004D451D">
              <w:rPr>
                <w:rFonts w:eastAsia="標楷體"/>
                <w:sz w:val="20"/>
                <w:szCs w:val="20"/>
              </w:rPr>
              <w:t>小計</w:t>
            </w:r>
          </w:p>
        </w:tc>
        <w:tc>
          <w:tcPr>
            <w:tcW w:w="567"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992"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r>
      <w:tr w:rsidR="004D451D" w:rsidRPr="004D451D" w:rsidTr="003B2842">
        <w:trPr>
          <w:trHeight w:val="561"/>
          <w:jc w:val="center"/>
        </w:trPr>
        <w:tc>
          <w:tcPr>
            <w:tcW w:w="363" w:type="dxa"/>
            <w:vAlign w:val="center"/>
          </w:tcPr>
          <w:p w:rsidR="003B2842" w:rsidRPr="004D451D" w:rsidRDefault="003B2842" w:rsidP="0061572E">
            <w:pPr>
              <w:widowControl/>
              <w:jc w:val="center"/>
              <w:rPr>
                <w:rFonts w:eastAsia="標楷體"/>
              </w:rPr>
            </w:pPr>
            <w:r w:rsidRPr="004D451D">
              <w:rPr>
                <w:rFonts w:eastAsia="標楷體" w:hint="eastAsia"/>
              </w:rPr>
              <w:t>3</w:t>
            </w:r>
          </w:p>
        </w:tc>
        <w:tc>
          <w:tcPr>
            <w:tcW w:w="2084" w:type="dxa"/>
            <w:gridSpan w:val="2"/>
            <w:shd w:val="clear" w:color="auto" w:fill="auto"/>
            <w:vAlign w:val="center"/>
          </w:tcPr>
          <w:p w:rsidR="003B2842" w:rsidRPr="004D451D" w:rsidRDefault="003B2842" w:rsidP="0061572E">
            <w:pPr>
              <w:widowControl/>
              <w:jc w:val="center"/>
              <w:rPr>
                <w:rFonts w:eastAsia="標楷體"/>
              </w:rPr>
            </w:pPr>
            <w:r w:rsidRPr="004D451D">
              <w:rPr>
                <w:rFonts w:eastAsia="標楷體"/>
              </w:rPr>
              <w:t>合計</w:t>
            </w:r>
          </w:p>
        </w:tc>
        <w:tc>
          <w:tcPr>
            <w:tcW w:w="567" w:type="dxa"/>
            <w:shd w:val="clear" w:color="auto" w:fill="auto"/>
            <w:vAlign w:val="center"/>
          </w:tcPr>
          <w:p w:rsidR="003B2842" w:rsidRPr="004D451D" w:rsidRDefault="003B2842" w:rsidP="003B2842">
            <w:pPr>
              <w:jc w:val="right"/>
              <w:rPr>
                <w:rFonts w:eastAsia="標楷體"/>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992"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r>
      <w:tr w:rsidR="004D451D" w:rsidRPr="004D451D" w:rsidTr="0061572E">
        <w:trPr>
          <w:trHeight w:val="710"/>
          <w:jc w:val="center"/>
        </w:trPr>
        <w:tc>
          <w:tcPr>
            <w:tcW w:w="15913" w:type="dxa"/>
            <w:gridSpan w:val="20"/>
          </w:tcPr>
          <w:p w:rsidR="0061572E" w:rsidRPr="004D451D" w:rsidRDefault="0061572E" w:rsidP="00C67EC5">
            <w:pPr>
              <w:widowControl/>
              <w:rPr>
                <w:rFonts w:eastAsia="標楷體"/>
              </w:rPr>
            </w:pPr>
            <w:r w:rsidRPr="004D451D">
              <w:rPr>
                <w:rFonts w:eastAsia="標楷體"/>
              </w:rPr>
              <w:t>重大變動原因及說明</w:t>
            </w:r>
            <w:r w:rsidRPr="004D451D">
              <w:rPr>
                <w:rFonts w:eastAsia="標楷體" w:hint="eastAsia"/>
              </w:rPr>
              <w:t>：</w:t>
            </w:r>
          </w:p>
        </w:tc>
      </w:tr>
    </w:tbl>
    <w:p w:rsidR="00B61914" w:rsidRPr="004D451D" w:rsidRDefault="00B61914" w:rsidP="00325003">
      <w:pPr>
        <w:rPr>
          <w:rFonts w:eastAsia="標楷體"/>
          <w:b/>
          <w:kern w:val="0"/>
        </w:rPr>
      </w:pPr>
    </w:p>
    <w:p w:rsidR="00325003" w:rsidRPr="004D451D" w:rsidRDefault="00325003" w:rsidP="00B61914">
      <w:pPr>
        <w:spacing w:line="240" w:lineRule="atLeast"/>
        <w:rPr>
          <w:rFonts w:eastAsia="標楷體"/>
          <w:b/>
          <w:kern w:val="0"/>
        </w:rPr>
      </w:pPr>
      <w:r w:rsidRPr="004D451D">
        <w:rPr>
          <w:rFonts w:eastAsia="標楷體"/>
          <w:b/>
          <w:kern w:val="0"/>
        </w:rPr>
        <w:t>填表說明：</w:t>
      </w:r>
    </w:p>
    <w:p w:rsidR="00325003" w:rsidRPr="004D451D" w:rsidRDefault="00325003" w:rsidP="00EF4134">
      <w:pPr>
        <w:numPr>
          <w:ilvl w:val="0"/>
          <w:numId w:val="79"/>
        </w:numPr>
        <w:spacing w:line="240" w:lineRule="atLeast"/>
        <w:ind w:leftChars="150" w:left="720" w:hangingChars="150"/>
        <w:jc w:val="both"/>
        <w:rPr>
          <w:rFonts w:eastAsia="標楷體"/>
        </w:rPr>
      </w:pPr>
      <w:r w:rsidRPr="004D451D">
        <w:rPr>
          <w:rFonts w:eastAsia="標楷體"/>
        </w:rPr>
        <w:t>本表更新頻率：半年。</w:t>
      </w:r>
    </w:p>
    <w:p w:rsidR="00B61914" w:rsidRPr="004D451D" w:rsidRDefault="00B61914" w:rsidP="00EF4134">
      <w:pPr>
        <w:numPr>
          <w:ilvl w:val="0"/>
          <w:numId w:val="79"/>
        </w:numPr>
        <w:spacing w:line="240" w:lineRule="atLeast"/>
        <w:ind w:leftChars="150" w:left="720" w:hangingChars="150"/>
        <w:jc w:val="both"/>
        <w:rPr>
          <w:rFonts w:eastAsia="標楷體"/>
        </w:rPr>
      </w:pPr>
      <w:r w:rsidRPr="004D451D">
        <w:rPr>
          <w:rFonts w:eastAsia="標楷體"/>
        </w:rPr>
        <w:t>本表採個體基礎填報。</w:t>
      </w:r>
    </w:p>
    <w:p w:rsidR="00B61914" w:rsidRPr="004D451D" w:rsidRDefault="00B61914" w:rsidP="00EF4134">
      <w:pPr>
        <w:numPr>
          <w:ilvl w:val="0"/>
          <w:numId w:val="79"/>
        </w:numPr>
        <w:spacing w:line="240" w:lineRule="atLeast"/>
        <w:ind w:leftChars="150" w:left="720" w:hangingChars="150"/>
        <w:jc w:val="both"/>
        <w:rPr>
          <w:rFonts w:eastAsia="標楷體"/>
        </w:rPr>
      </w:pPr>
      <w:r w:rsidRPr="004D451D">
        <w:rPr>
          <w:rFonts w:eastAsia="標楷體"/>
        </w:rPr>
        <w:t>暴險值</w:t>
      </w:r>
      <w:r w:rsidRPr="004D451D">
        <w:rPr>
          <w:rFonts w:eastAsia="標楷體"/>
        </w:rPr>
        <w:t>(</w:t>
      </w:r>
      <w:r w:rsidRPr="004D451D">
        <w:rPr>
          <w:rFonts w:eastAsia="標楷體"/>
        </w:rPr>
        <w:t>依風險權數</w:t>
      </w:r>
      <w:r w:rsidRPr="004D451D">
        <w:rPr>
          <w:rFonts w:eastAsia="標楷體"/>
        </w:rPr>
        <w:t>)</w:t>
      </w:r>
      <w:r w:rsidRPr="004D451D">
        <w:rPr>
          <w:rFonts w:eastAsia="標楷體"/>
        </w:rPr>
        <w:t>係指依法定風險權數。</w:t>
      </w:r>
    </w:p>
    <w:p w:rsidR="00AA075A" w:rsidRPr="004D451D" w:rsidRDefault="00AA075A" w:rsidP="00EF4134">
      <w:pPr>
        <w:numPr>
          <w:ilvl w:val="0"/>
          <w:numId w:val="79"/>
        </w:numPr>
        <w:spacing w:line="240" w:lineRule="atLeast"/>
        <w:ind w:leftChars="150" w:left="720" w:hangingChars="150"/>
        <w:jc w:val="both"/>
        <w:rPr>
          <w:rFonts w:eastAsia="標楷體"/>
        </w:rPr>
      </w:pPr>
      <w:r w:rsidRPr="004D451D">
        <w:rPr>
          <w:rFonts w:eastAsia="標楷體" w:hint="eastAsia"/>
        </w:rPr>
        <w:t>暴險值</w:t>
      </w:r>
      <w:r w:rsidRPr="004D451D">
        <w:rPr>
          <w:rFonts w:eastAsia="標楷體" w:hint="eastAsia"/>
        </w:rPr>
        <w:t>(</w:t>
      </w:r>
      <w:r w:rsidRPr="004D451D">
        <w:rPr>
          <w:rFonts w:eastAsia="標楷體" w:hint="eastAsia"/>
        </w:rPr>
        <w:t>依法定方法</w:t>
      </w:r>
      <w:r w:rsidRPr="004D451D">
        <w:rPr>
          <w:rFonts w:eastAsia="標楷體" w:hint="eastAsia"/>
        </w:rPr>
        <w:t>)</w:t>
      </w:r>
      <w:r w:rsidRPr="004D451D">
        <w:rPr>
          <w:rFonts w:eastAsia="標楷體" w:hint="eastAsia"/>
        </w:rPr>
        <w:t>係指所使用之資本計提方法，其中內部評等法之涵蓋評等基礎法含內部評估法、標準法涵蓋了評等基礎法和對優先順位暴險額適用的「拆解法」</w:t>
      </w:r>
      <w:r w:rsidRPr="004D451D">
        <w:rPr>
          <w:rFonts w:eastAsia="標楷體" w:hint="eastAsia"/>
        </w:rPr>
        <w:t>(</w:t>
      </w:r>
      <w:r w:rsidRPr="004D451D">
        <w:rPr>
          <w:rFonts w:eastAsia="標楷體" w:hint="eastAsia"/>
        </w:rPr>
        <w:t>“</w:t>
      </w:r>
      <w:r w:rsidRPr="004D451D">
        <w:rPr>
          <w:rFonts w:eastAsia="標楷體" w:hint="eastAsia"/>
        </w:rPr>
        <w:t>look-through</w:t>
      </w:r>
      <w:r w:rsidRPr="004D451D">
        <w:rPr>
          <w:rFonts w:eastAsia="標楷體" w:hint="eastAsia"/>
        </w:rPr>
        <w:t>”</w:t>
      </w:r>
      <w:r w:rsidRPr="004D451D">
        <w:rPr>
          <w:rFonts w:eastAsia="標楷體" w:hint="eastAsia"/>
        </w:rPr>
        <w:t xml:space="preserve"> approach)</w:t>
      </w:r>
      <w:r w:rsidRPr="004D451D">
        <w:rPr>
          <w:rFonts w:eastAsia="標楷體" w:hint="eastAsia"/>
        </w:rPr>
        <w:t>。</w:t>
      </w:r>
    </w:p>
    <w:p w:rsidR="00B61914" w:rsidRPr="004D451D" w:rsidRDefault="00B61914" w:rsidP="00EF4134">
      <w:pPr>
        <w:numPr>
          <w:ilvl w:val="0"/>
          <w:numId w:val="79"/>
        </w:numPr>
        <w:spacing w:line="240" w:lineRule="atLeast"/>
        <w:ind w:leftChars="150" w:left="720" w:hangingChars="150"/>
        <w:jc w:val="both"/>
        <w:rPr>
          <w:rFonts w:eastAsia="標楷體"/>
        </w:rPr>
      </w:pPr>
      <w:r w:rsidRPr="004D451D">
        <w:rPr>
          <w:rFonts w:eastAsia="標楷體"/>
        </w:rPr>
        <w:t>創始銀行對證券化交易所需計提資本，以其證券化交易標的資產池如未予證券化前之應計提資本為上限。</w:t>
      </w:r>
    </w:p>
    <w:p w:rsidR="000048E8" w:rsidRPr="004D451D" w:rsidRDefault="000048E8" w:rsidP="00B61914">
      <w:pPr>
        <w:widowControl/>
        <w:spacing w:line="240" w:lineRule="atLeast"/>
        <w:rPr>
          <w:rFonts w:eastAsia="標楷體"/>
        </w:rPr>
      </w:pPr>
    </w:p>
    <w:p w:rsidR="000048E8" w:rsidRPr="004D451D" w:rsidRDefault="000048E8" w:rsidP="005A738B">
      <w:pPr>
        <w:widowControl/>
        <w:rPr>
          <w:rFonts w:eastAsia="標楷體"/>
        </w:rPr>
      </w:pPr>
    </w:p>
    <w:p w:rsidR="00360BF1" w:rsidRPr="004D451D" w:rsidRDefault="00D82BC6" w:rsidP="00360BF1">
      <w:pPr>
        <w:widowControl/>
        <w:rPr>
          <w:rFonts w:eastAsia="標楷體"/>
          <w:sz w:val="32"/>
          <w:szCs w:val="32"/>
        </w:rPr>
      </w:pPr>
      <w:r w:rsidRPr="004D451D">
        <w:rPr>
          <w:rFonts w:eastAsia="標楷體"/>
          <w:sz w:val="32"/>
          <w:szCs w:val="32"/>
        </w:rPr>
        <w:br w:type="page"/>
      </w:r>
      <w:r w:rsidR="00360BF1" w:rsidRPr="004D451D">
        <w:rPr>
          <w:rFonts w:eastAsia="標楷體"/>
          <w:b/>
          <w:sz w:val="32"/>
          <w:szCs w:val="32"/>
        </w:rPr>
        <w:t>【附表四十</w:t>
      </w:r>
      <w:r w:rsidR="001E565E" w:rsidRPr="004D451D">
        <w:rPr>
          <w:rFonts w:eastAsia="標楷體" w:hint="eastAsia"/>
          <w:b/>
          <w:sz w:val="32"/>
          <w:szCs w:val="32"/>
        </w:rPr>
        <w:t>八</w:t>
      </w:r>
      <w:r w:rsidR="00360BF1" w:rsidRPr="004D451D">
        <w:rPr>
          <w:rFonts w:eastAsia="標楷體"/>
          <w:b/>
          <w:sz w:val="32"/>
          <w:szCs w:val="32"/>
        </w:rPr>
        <w:t>】</w:t>
      </w:r>
    </w:p>
    <w:p w:rsidR="00A153DB" w:rsidRPr="004D451D" w:rsidRDefault="00A153DB" w:rsidP="00A153DB">
      <w:pPr>
        <w:jc w:val="center"/>
        <w:rPr>
          <w:rFonts w:eastAsia="標楷體"/>
          <w:b/>
          <w:bCs/>
          <w:sz w:val="32"/>
          <w:szCs w:val="32"/>
        </w:rPr>
      </w:pPr>
      <w:r w:rsidRPr="004D451D">
        <w:rPr>
          <w:rFonts w:eastAsia="標楷體"/>
          <w:b/>
          <w:bCs/>
          <w:sz w:val="32"/>
          <w:szCs w:val="32"/>
        </w:rPr>
        <w:t>銀行簿之證券化暴險及法定資本要求</w:t>
      </w:r>
      <w:r w:rsidR="00D82B93" w:rsidRPr="004D451D">
        <w:rPr>
          <w:rFonts w:hint="eastAsia"/>
          <w:b/>
        </w:rPr>
        <w:t>─</w:t>
      </w:r>
      <w:r w:rsidRPr="004D451D">
        <w:rPr>
          <w:rFonts w:eastAsia="標楷體"/>
          <w:b/>
          <w:bCs/>
          <w:sz w:val="32"/>
          <w:szCs w:val="32"/>
        </w:rPr>
        <w:t>銀行為投資機構</w:t>
      </w:r>
    </w:p>
    <w:p w:rsidR="00A8393D" w:rsidRPr="004D451D" w:rsidRDefault="00A8393D" w:rsidP="00A8393D">
      <w:pPr>
        <w:wordWrap w:val="0"/>
        <w:jc w:val="right"/>
        <w:rPr>
          <w:rFonts w:eastAsia="標楷體"/>
          <w:bCs/>
        </w:rPr>
      </w:pPr>
      <w:r w:rsidRPr="004D451D">
        <w:rPr>
          <w:rFonts w:eastAsia="標楷體"/>
          <w:b/>
          <w:bCs/>
          <w:sz w:val="32"/>
          <w:szCs w:val="32"/>
        </w:rPr>
        <w:t xml:space="preserve"> </w:t>
      </w:r>
      <w:r w:rsidRPr="004D451D">
        <w:rPr>
          <w:rFonts w:eastAsia="標楷體"/>
          <w:bCs/>
          <w:sz w:val="32"/>
          <w:szCs w:val="32"/>
        </w:rPr>
        <w:t xml:space="preserve">   </w:t>
      </w:r>
      <w:r w:rsidR="003B2842" w:rsidRPr="004D451D">
        <w:rPr>
          <w:rFonts w:eastAsia="標楷體" w:hint="eastAsia"/>
          <w:bCs/>
          <w:sz w:val="32"/>
          <w:szCs w:val="32"/>
        </w:rPr>
        <w:t>10</w:t>
      </w:r>
      <w:r w:rsidR="00A837D8" w:rsidRPr="004D451D">
        <w:rPr>
          <w:rFonts w:eastAsia="標楷體" w:hint="eastAsia"/>
          <w:bCs/>
          <w:sz w:val="32"/>
          <w:szCs w:val="32"/>
        </w:rPr>
        <w:t>7</w:t>
      </w:r>
      <w:r w:rsidRPr="004D451D">
        <w:rPr>
          <w:rFonts w:eastAsia="標楷體"/>
          <w:bCs/>
          <w:sz w:val="32"/>
          <w:szCs w:val="32"/>
        </w:rPr>
        <w:t>年</w:t>
      </w:r>
      <w:r w:rsidR="00A837D8" w:rsidRPr="004D451D">
        <w:rPr>
          <w:rFonts w:eastAsia="標楷體" w:hint="eastAsia"/>
          <w:bCs/>
          <w:sz w:val="32"/>
          <w:szCs w:val="32"/>
        </w:rPr>
        <w:t>06</w:t>
      </w:r>
      <w:r w:rsidRPr="004D451D">
        <w:rPr>
          <w:rFonts w:eastAsia="標楷體"/>
          <w:bCs/>
          <w:sz w:val="32"/>
          <w:szCs w:val="32"/>
        </w:rPr>
        <w:t>月</w:t>
      </w:r>
      <w:r w:rsidR="003B2842" w:rsidRPr="004D451D">
        <w:rPr>
          <w:rFonts w:eastAsia="標楷體" w:hint="eastAsia"/>
          <w:bCs/>
          <w:sz w:val="32"/>
          <w:szCs w:val="32"/>
        </w:rPr>
        <w:t>3</w:t>
      </w:r>
      <w:r w:rsidR="00A837D8" w:rsidRPr="004D451D">
        <w:rPr>
          <w:rFonts w:eastAsia="標楷體" w:hint="eastAsia"/>
          <w:bCs/>
          <w:sz w:val="32"/>
          <w:szCs w:val="32"/>
        </w:rPr>
        <w:t>0</w:t>
      </w:r>
      <w:r w:rsidRPr="004D451D">
        <w:rPr>
          <w:rFonts w:eastAsia="標楷體"/>
          <w:bCs/>
          <w:sz w:val="32"/>
          <w:szCs w:val="32"/>
        </w:rPr>
        <w:t xml:space="preserve">日　　　　　　　　　　　　</w:t>
      </w:r>
      <w:r w:rsidR="00D82B93" w:rsidRPr="004D451D">
        <w:rPr>
          <w:rFonts w:eastAsia="標楷體" w:hint="eastAsia"/>
          <w:bCs/>
          <w:szCs w:val="32"/>
        </w:rPr>
        <w:t>（</w:t>
      </w:r>
      <w:r w:rsidRPr="004D451D">
        <w:rPr>
          <w:rFonts w:eastAsia="標楷體"/>
          <w:bCs/>
        </w:rPr>
        <w:t>單位：新臺幣千元</w:t>
      </w:r>
      <w:r w:rsidR="00D82B93" w:rsidRPr="004D451D">
        <w:rPr>
          <w:rFonts w:eastAsia="標楷體" w:hint="eastAsia"/>
          <w:bCs/>
        </w:rPr>
        <w:t>）</w:t>
      </w:r>
    </w:p>
    <w:tbl>
      <w:tblPr>
        <w:tblW w:w="15913" w:type="dxa"/>
        <w:jc w:val="center"/>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538"/>
        <w:gridCol w:w="1546"/>
        <w:gridCol w:w="567"/>
        <w:gridCol w:w="708"/>
        <w:gridCol w:w="709"/>
        <w:gridCol w:w="992"/>
        <w:gridCol w:w="709"/>
        <w:gridCol w:w="851"/>
        <w:gridCol w:w="850"/>
        <w:gridCol w:w="851"/>
        <w:gridCol w:w="708"/>
        <w:gridCol w:w="851"/>
        <w:gridCol w:w="850"/>
        <w:gridCol w:w="851"/>
        <w:gridCol w:w="709"/>
        <w:gridCol w:w="850"/>
        <w:gridCol w:w="851"/>
        <w:gridCol w:w="850"/>
        <w:gridCol w:w="709"/>
      </w:tblGrid>
      <w:tr w:rsidR="004D451D" w:rsidRPr="004D451D" w:rsidTr="0052536F">
        <w:trPr>
          <w:trHeight w:val="517"/>
          <w:jc w:val="center"/>
        </w:trPr>
        <w:tc>
          <w:tcPr>
            <w:tcW w:w="2447" w:type="dxa"/>
            <w:gridSpan w:val="3"/>
            <w:vMerge w:val="restart"/>
            <w:vAlign w:val="center"/>
          </w:tcPr>
          <w:p w:rsidR="003E2470" w:rsidRPr="004D451D" w:rsidRDefault="003E2470" w:rsidP="0052536F">
            <w:pPr>
              <w:widowControl/>
              <w:jc w:val="center"/>
              <w:rPr>
                <w:rFonts w:eastAsia="標楷體"/>
              </w:rPr>
            </w:pPr>
            <w:r w:rsidRPr="004D451D">
              <w:rPr>
                <w:rFonts w:eastAsia="標楷體" w:hint="eastAsia"/>
              </w:rPr>
              <w:t>項目</w:t>
            </w:r>
          </w:p>
        </w:tc>
        <w:tc>
          <w:tcPr>
            <w:tcW w:w="3685" w:type="dxa"/>
            <w:gridSpan w:val="5"/>
            <w:shd w:val="clear" w:color="auto" w:fill="auto"/>
            <w:vAlign w:val="center"/>
          </w:tcPr>
          <w:p w:rsidR="003E2470" w:rsidRPr="004D451D" w:rsidRDefault="003E2470" w:rsidP="0052536F">
            <w:pPr>
              <w:widowControl/>
              <w:jc w:val="center"/>
              <w:rPr>
                <w:rFonts w:eastAsia="標楷體"/>
                <w:szCs w:val="20"/>
              </w:rPr>
            </w:pPr>
            <w:r w:rsidRPr="004D451D">
              <w:rPr>
                <w:rFonts w:eastAsia="標楷體"/>
                <w:szCs w:val="20"/>
              </w:rPr>
              <w:t>暴險值</w:t>
            </w:r>
            <w:r w:rsidRPr="004D451D">
              <w:rPr>
                <w:rFonts w:eastAsia="標楷體"/>
                <w:szCs w:val="20"/>
              </w:rPr>
              <w:t>(</w:t>
            </w:r>
            <w:r w:rsidRPr="004D451D">
              <w:rPr>
                <w:rFonts w:eastAsia="標楷體"/>
                <w:szCs w:val="20"/>
              </w:rPr>
              <w:t>依風險權數</w:t>
            </w:r>
            <w:r w:rsidRPr="004D451D">
              <w:rPr>
                <w:rFonts w:eastAsia="標楷體"/>
                <w:szCs w:val="20"/>
              </w:rPr>
              <w:t>)</w:t>
            </w:r>
          </w:p>
        </w:tc>
        <w:tc>
          <w:tcPr>
            <w:tcW w:w="3260" w:type="dxa"/>
            <w:gridSpan w:val="4"/>
            <w:shd w:val="clear" w:color="auto" w:fill="auto"/>
            <w:vAlign w:val="center"/>
          </w:tcPr>
          <w:p w:rsidR="003E2470" w:rsidRPr="004D451D" w:rsidRDefault="003E2470" w:rsidP="0052536F">
            <w:pPr>
              <w:widowControl/>
              <w:jc w:val="center"/>
              <w:rPr>
                <w:rFonts w:eastAsia="標楷體"/>
                <w:szCs w:val="20"/>
              </w:rPr>
            </w:pPr>
            <w:r w:rsidRPr="004D451D">
              <w:rPr>
                <w:rFonts w:eastAsia="標楷體"/>
                <w:szCs w:val="20"/>
              </w:rPr>
              <w:t>暴險值</w:t>
            </w:r>
            <w:r w:rsidRPr="004D451D">
              <w:rPr>
                <w:rFonts w:eastAsia="標楷體"/>
                <w:szCs w:val="20"/>
              </w:rPr>
              <w:t>(</w:t>
            </w:r>
            <w:r w:rsidRPr="004D451D">
              <w:rPr>
                <w:rFonts w:eastAsia="標楷體"/>
                <w:szCs w:val="20"/>
              </w:rPr>
              <w:t>依法定方法</w:t>
            </w:r>
            <w:r w:rsidRPr="004D451D">
              <w:rPr>
                <w:rFonts w:eastAsia="標楷體"/>
                <w:szCs w:val="20"/>
              </w:rPr>
              <w:t>)</w:t>
            </w:r>
          </w:p>
        </w:tc>
        <w:tc>
          <w:tcPr>
            <w:tcW w:w="3261" w:type="dxa"/>
            <w:gridSpan w:val="4"/>
            <w:shd w:val="clear" w:color="auto" w:fill="auto"/>
            <w:vAlign w:val="center"/>
          </w:tcPr>
          <w:p w:rsidR="003E2470" w:rsidRPr="004D451D" w:rsidRDefault="003E2470" w:rsidP="0052536F">
            <w:pPr>
              <w:widowControl/>
              <w:jc w:val="center"/>
              <w:rPr>
                <w:rFonts w:eastAsia="標楷體"/>
                <w:szCs w:val="20"/>
              </w:rPr>
            </w:pPr>
            <w:r w:rsidRPr="004D451D">
              <w:rPr>
                <w:rFonts w:eastAsia="標楷體"/>
                <w:szCs w:val="20"/>
              </w:rPr>
              <w:t>風險性資產</w:t>
            </w:r>
            <w:r w:rsidRPr="004D451D">
              <w:rPr>
                <w:rFonts w:eastAsia="標楷體"/>
                <w:szCs w:val="20"/>
              </w:rPr>
              <w:t>(</w:t>
            </w:r>
            <w:r w:rsidRPr="004D451D">
              <w:rPr>
                <w:rFonts w:eastAsia="標楷體"/>
                <w:szCs w:val="20"/>
              </w:rPr>
              <w:t>依法定方法</w:t>
            </w:r>
            <w:r w:rsidRPr="004D451D">
              <w:rPr>
                <w:rFonts w:eastAsia="標楷體"/>
                <w:szCs w:val="20"/>
              </w:rPr>
              <w:t>)</w:t>
            </w:r>
          </w:p>
        </w:tc>
        <w:tc>
          <w:tcPr>
            <w:tcW w:w="3260" w:type="dxa"/>
            <w:gridSpan w:val="4"/>
            <w:shd w:val="clear" w:color="auto" w:fill="auto"/>
            <w:vAlign w:val="center"/>
          </w:tcPr>
          <w:p w:rsidR="003E2470" w:rsidRPr="004D451D" w:rsidRDefault="00B15AB8" w:rsidP="0052536F">
            <w:pPr>
              <w:widowControl/>
              <w:jc w:val="center"/>
              <w:rPr>
                <w:rFonts w:eastAsia="標楷體"/>
                <w:szCs w:val="20"/>
              </w:rPr>
            </w:pPr>
            <w:r w:rsidRPr="004D451D">
              <w:rPr>
                <w:rFonts w:eastAsia="標楷體" w:hint="eastAsia"/>
                <w:szCs w:val="20"/>
              </w:rPr>
              <w:t>考慮上限後之資本計提</w:t>
            </w:r>
          </w:p>
        </w:tc>
      </w:tr>
      <w:tr w:rsidR="004D451D" w:rsidRPr="004D451D" w:rsidTr="0052536F">
        <w:trPr>
          <w:jc w:val="center"/>
        </w:trPr>
        <w:tc>
          <w:tcPr>
            <w:tcW w:w="2447" w:type="dxa"/>
            <w:gridSpan w:val="3"/>
            <w:vMerge/>
          </w:tcPr>
          <w:p w:rsidR="003E2470" w:rsidRPr="004D451D" w:rsidRDefault="003E2470" w:rsidP="0052536F">
            <w:pPr>
              <w:widowControl/>
              <w:rPr>
                <w:rFonts w:eastAsia="標楷體"/>
              </w:rPr>
            </w:pPr>
          </w:p>
        </w:tc>
        <w:tc>
          <w:tcPr>
            <w:tcW w:w="567" w:type="dxa"/>
            <w:shd w:val="clear" w:color="auto" w:fill="auto"/>
            <w:vAlign w:val="center"/>
          </w:tcPr>
          <w:p w:rsidR="003E2470" w:rsidRPr="004D451D" w:rsidRDefault="003E2470" w:rsidP="0052536F">
            <w:pPr>
              <w:widowControl/>
              <w:spacing w:line="240" w:lineRule="atLeast"/>
              <w:jc w:val="center"/>
              <w:rPr>
                <w:rFonts w:eastAsia="標楷體"/>
                <w:sz w:val="16"/>
                <w:szCs w:val="14"/>
              </w:rPr>
            </w:pPr>
            <w:r w:rsidRPr="004D451D">
              <w:rPr>
                <w:rFonts w:ascii="標楷體" w:eastAsia="標楷體" w:hAnsi="標楷體" w:hint="eastAsia"/>
                <w:sz w:val="16"/>
                <w:szCs w:val="14"/>
              </w:rPr>
              <w:t>≦</w:t>
            </w:r>
            <w:r w:rsidRPr="004D451D">
              <w:rPr>
                <w:rFonts w:eastAsia="標楷體"/>
                <w:sz w:val="16"/>
                <w:szCs w:val="14"/>
              </w:rPr>
              <w:t>20%</w:t>
            </w:r>
          </w:p>
          <w:p w:rsidR="003E2470" w:rsidRPr="004D451D" w:rsidRDefault="003E2470" w:rsidP="0052536F">
            <w:pPr>
              <w:widowControl/>
              <w:spacing w:line="240" w:lineRule="atLeast"/>
              <w:jc w:val="center"/>
              <w:rPr>
                <w:rFonts w:eastAsia="標楷體"/>
                <w:sz w:val="16"/>
                <w:szCs w:val="14"/>
              </w:rPr>
            </w:pPr>
            <w:r w:rsidRPr="004D451D">
              <w:rPr>
                <w:rFonts w:eastAsia="標楷體" w:hint="eastAsia"/>
                <w:sz w:val="16"/>
                <w:szCs w:val="14"/>
              </w:rPr>
              <w:t>A</w:t>
            </w:r>
          </w:p>
        </w:tc>
        <w:tc>
          <w:tcPr>
            <w:tcW w:w="708" w:type="dxa"/>
            <w:shd w:val="clear" w:color="auto" w:fill="auto"/>
            <w:vAlign w:val="center"/>
          </w:tcPr>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20~50</w:t>
            </w:r>
          </w:p>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w:t>
            </w:r>
            <w:r w:rsidRPr="004D451D">
              <w:rPr>
                <w:rFonts w:eastAsia="標楷體"/>
                <w:sz w:val="16"/>
                <w:szCs w:val="14"/>
              </w:rPr>
              <w:t>含</w:t>
            </w:r>
            <w:r w:rsidRPr="004D451D">
              <w:rPr>
                <w:rFonts w:eastAsia="標楷體"/>
                <w:sz w:val="16"/>
                <w:szCs w:val="14"/>
              </w:rPr>
              <w:t>)%</w:t>
            </w:r>
          </w:p>
          <w:p w:rsidR="003E2470" w:rsidRPr="004D451D" w:rsidRDefault="003E2470" w:rsidP="0052536F">
            <w:pPr>
              <w:widowControl/>
              <w:spacing w:line="240" w:lineRule="atLeast"/>
              <w:jc w:val="center"/>
              <w:rPr>
                <w:rFonts w:eastAsia="標楷體"/>
                <w:sz w:val="16"/>
                <w:szCs w:val="14"/>
              </w:rPr>
            </w:pPr>
            <w:r w:rsidRPr="004D451D">
              <w:rPr>
                <w:rFonts w:eastAsia="標楷體" w:hint="eastAsia"/>
                <w:sz w:val="16"/>
                <w:szCs w:val="14"/>
              </w:rPr>
              <w:t>B</w:t>
            </w:r>
          </w:p>
        </w:tc>
        <w:tc>
          <w:tcPr>
            <w:tcW w:w="709" w:type="dxa"/>
            <w:shd w:val="clear" w:color="auto" w:fill="auto"/>
            <w:vAlign w:val="center"/>
          </w:tcPr>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50~100(</w:t>
            </w:r>
            <w:r w:rsidRPr="004D451D">
              <w:rPr>
                <w:rFonts w:eastAsia="標楷體"/>
                <w:sz w:val="16"/>
                <w:szCs w:val="14"/>
              </w:rPr>
              <w:t>含</w:t>
            </w:r>
            <w:r w:rsidRPr="004D451D">
              <w:rPr>
                <w:rFonts w:eastAsia="標楷體"/>
                <w:sz w:val="16"/>
                <w:szCs w:val="14"/>
              </w:rPr>
              <w:t>)%</w:t>
            </w:r>
          </w:p>
          <w:p w:rsidR="003E2470" w:rsidRPr="004D451D" w:rsidRDefault="003E2470" w:rsidP="0052536F">
            <w:pPr>
              <w:widowControl/>
              <w:spacing w:line="240" w:lineRule="atLeast"/>
              <w:jc w:val="center"/>
              <w:rPr>
                <w:rFonts w:eastAsia="標楷體"/>
                <w:sz w:val="16"/>
                <w:szCs w:val="14"/>
              </w:rPr>
            </w:pPr>
            <w:r w:rsidRPr="004D451D">
              <w:rPr>
                <w:rFonts w:eastAsia="標楷體" w:hint="eastAsia"/>
                <w:sz w:val="16"/>
                <w:szCs w:val="14"/>
              </w:rPr>
              <w:t>C</w:t>
            </w:r>
          </w:p>
        </w:tc>
        <w:tc>
          <w:tcPr>
            <w:tcW w:w="992" w:type="dxa"/>
            <w:shd w:val="clear" w:color="auto" w:fill="auto"/>
            <w:vAlign w:val="center"/>
          </w:tcPr>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100~1250</w:t>
            </w:r>
          </w:p>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w:t>
            </w:r>
            <w:r w:rsidRPr="004D451D">
              <w:rPr>
                <w:rFonts w:eastAsia="標楷體"/>
                <w:sz w:val="16"/>
                <w:szCs w:val="14"/>
              </w:rPr>
              <w:t>不含</w:t>
            </w:r>
            <w:r w:rsidRPr="004D451D">
              <w:rPr>
                <w:rFonts w:eastAsia="標楷體"/>
                <w:sz w:val="16"/>
                <w:szCs w:val="14"/>
              </w:rPr>
              <w:t>)%</w:t>
            </w:r>
          </w:p>
          <w:p w:rsidR="003E2470" w:rsidRPr="004D451D" w:rsidRDefault="003E2470" w:rsidP="0052536F">
            <w:pPr>
              <w:widowControl/>
              <w:spacing w:line="240" w:lineRule="atLeast"/>
              <w:jc w:val="center"/>
              <w:rPr>
                <w:rFonts w:eastAsia="標楷體"/>
                <w:sz w:val="16"/>
                <w:szCs w:val="14"/>
              </w:rPr>
            </w:pPr>
            <w:r w:rsidRPr="004D451D">
              <w:rPr>
                <w:rFonts w:eastAsia="標楷體" w:hint="eastAsia"/>
                <w:sz w:val="16"/>
                <w:szCs w:val="14"/>
              </w:rPr>
              <w:t>D</w:t>
            </w:r>
          </w:p>
        </w:tc>
        <w:tc>
          <w:tcPr>
            <w:tcW w:w="709" w:type="dxa"/>
            <w:shd w:val="clear" w:color="auto" w:fill="auto"/>
            <w:vAlign w:val="center"/>
          </w:tcPr>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1250%</w:t>
            </w:r>
            <w:r w:rsidRPr="004D451D">
              <w:rPr>
                <w:rFonts w:eastAsia="標楷體" w:hint="eastAsia"/>
                <w:sz w:val="16"/>
                <w:szCs w:val="14"/>
              </w:rPr>
              <w:t>E</w:t>
            </w:r>
          </w:p>
        </w:tc>
        <w:tc>
          <w:tcPr>
            <w:tcW w:w="851" w:type="dxa"/>
            <w:shd w:val="clear" w:color="auto" w:fill="auto"/>
            <w:vAlign w:val="center"/>
          </w:tcPr>
          <w:p w:rsidR="003E2470" w:rsidRPr="004D451D" w:rsidRDefault="003E2470" w:rsidP="0052536F">
            <w:pPr>
              <w:widowControl/>
              <w:spacing w:line="240" w:lineRule="atLeast"/>
              <w:jc w:val="center"/>
              <w:rPr>
                <w:rFonts w:eastAsia="標楷體"/>
                <w:sz w:val="20"/>
                <w:szCs w:val="20"/>
              </w:rPr>
            </w:pPr>
            <w:r w:rsidRPr="004D451D">
              <w:rPr>
                <w:rFonts w:eastAsia="標楷體"/>
                <w:sz w:val="20"/>
                <w:szCs w:val="20"/>
              </w:rPr>
              <w:t>內部評等法之評等基礎法</w:t>
            </w:r>
            <w:r w:rsidRPr="004D451D">
              <w:rPr>
                <w:rFonts w:eastAsia="標楷體" w:hint="eastAsia"/>
                <w:sz w:val="20"/>
                <w:szCs w:val="20"/>
              </w:rPr>
              <w:t>F</w:t>
            </w:r>
          </w:p>
        </w:tc>
        <w:tc>
          <w:tcPr>
            <w:tcW w:w="850" w:type="dxa"/>
            <w:shd w:val="clear" w:color="auto" w:fill="auto"/>
            <w:vAlign w:val="center"/>
          </w:tcPr>
          <w:p w:rsidR="003E2470" w:rsidRPr="004D451D" w:rsidRDefault="003E2470" w:rsidP="0052536F">
            <w:pPr>
              <w:widowControl/>
              <w:spacing w:line="240" w:lineRule="atLeast"/>
              <w:jc w:val="center"/>
              <w:rPr>
                <w:rFonts w:eastAsia="標楷體"/>
                <w:sz w:val="20"/>
                <w:szCs w:val="20"/>
              </w:rPr>
            </w:pPr>
            <w:r w:rsidRPr="004D451D">
              <w:rPr>
                <w:rFonts w:eastAsia="標楷體"/>
                <w:sz w:val="20"/>
                <w:szCs w:val="20"/>
              </w:rPr>
              <w:t>內部評等法之監理公式法</w:t>
            </w:r>
            <w:r w:rsidRPr="004D451D">
              <w:rPr>
                <w:rFonts w:eastAsia="標楷體" w:hint="eastAsia"/>
                <w:sz w:val="20"/>
                <w:szCs w:val="20"/>
              </w:rPr>
              <w:t>G</w:t>
            </w:r>
          </w:p>
        </w:tc>
        <w:tc>
          <w:tcPr>
            <w:tcW w:w="851" w:type="dxa"/>
            <w:shd w:val="clear" w:color="auto" w:fill="auto"/>
            <w:vAlign w:val="center"/>
          </w:tcPr>
          <w:p w:rsidR="003E2470" w:rsidRPr="004D451D" w:rsidRDefault="003E2470" w:rsidP="002100AD">
            <w:pPr>
              <w:widowControl/>
              <w:spacing w:line="240" w:lineRule="atLeast"/>
              <w:jc w:val="center"/>
              <w:rPr>
                <w:rFonts w:eastAsia="標楷體"/>
                <w:sz w:val="20"/>
                <w:szCs w:val="20"/>
              </w:rPr>
            </w:pPr>
            <w:r w:rsidRPr="004D451D">
              <w:rPr>
                <w:rFonts w:eastAsia="標楷體"/>
                <w:sz w:val="20"/>
                <w:szCs w:val="20"/>
              </w:rPr>
              <w:t>標準法</w:t>
            </w:r>
            <w:r w:rsidRPr="004D451D">
              <w:rPr>
                <w:rFonts w:eastAsia="標楷體" w:hint="eastAsia"/>
                <w:sz w:val="20"/>
                <w:szCs w:val="20"/>
              </w:rPr>
              <w:t>H</w:t>
            </w:r>
          </w:p>
        </w:tc>
        <w:tc>
          <w:tcPr>
            <w:tcW w:w="708" w:type="dxa"/>
            <w:shd w:val="clear" w:color="auto" w:fill="auto"/>
            <w:vAlign w:val="center"/>
          </w:tcPr>
          <w:p w:rsidR="003E2470" w:rsidRPr="004D451D" w:rsidRDefault="003E2470" w:rsidP="0052536F">
            <w:pPr>
              <w:widowControl/>
              <w:spacing w:line="240" w:lineRule="atLeast"/>
              <w:jc w:val="center"/>
              <w:rPr>
                <w:rFonts w:eastAsia="標楷體"/>
                <w:sz w:val="16"/>
                <w:szCs w:val="14"/>
              </w:rPr>
            </w:pPr>
            <w:r w:rsidRPr="004D451D">
              <w:rPr>
                <w:rFonts w:eastAsia="標楷體"/>
                <w:sz w:val="16"/>
                <w:szCs w:val="14"/>
              </w:rPr>
              <w:t>1250%</w:t>
            </w:r>
            <w:r w:rsidRPr="004D451D">
              <w:rPr>
                <w:rFonts w:eastAsia="標楷體" w:hint="eastAsia"/>
                <w:sz w:val="16"/>
                <w:szCs w:val="14"/>
              </w:rPr>
              <w:t>I</w:t>
            </w:r>
          </w:p>
        </w:tc>
        <w:tc>
          <w:tcPr>
            <w:tcW w:w="851" w:type="dxa"/>
            <w:shd w:val="clear" w:color="auto" w:fill="auto"/>
            <w:vAlign w:val="center"/>
          </w:tcPr>
          <w:p w:rsidR="003E2470" w:rsidRPr="004D451D" w:rsidRDefault="003E2470" w:rsidP="0052536F">
            <w:pPr>
              <w:spacing w:line="240" w:lineRule="atLeast"/>
              <w:jc w:val="center"/>
              <w:rPr>
                <w:sz w:val="20"/>
                <w:szCs w:val="20"/>
              </w:rPr>
            </w:pPr>
            <w:r w:rsidRPr="004D451D">
              <w:rPr>
                <w:rFonts w:eastAsia="標楷體"/>
                <w:sz w:val="20"/>
                <w:szCs w:val="20"/>
              </w:rPr>
              <w:t>內部評等法之評等基礎法</w:t>
            </w:r>
            <w:r w:rsidRPr="004D451D">
              <w:rPr>
                <w:rFonts w:eastAsia="標楷體" w:hint="eastAsia"/>
                <w:sz w:val="20"/>
                <w:szCs w:val="20"/>
              </w:rPr>
              <w:t>J</w:t>
            </w:r>
          </w:p>
        </w:tc>
        <w:tc>
          <w:tcPr>
            <w:tcW w:w="850" w:type="dxa"/>
            <w:shd w:val="clear" w:color="auto" w:fill="auto"/>
            <w:vAlign w:val="center"/>
          </w:tcPr>
          <w:p w:rsidR="003E2470" w:rsidRPr="004D451D" w:rsidRDefault="003E2470" w:rsidP="0052536F">
            <w:pPr>
              <w:spacing w:line="240" w:lineRule="atLeast"/>
              <w:jc w:val="center"/>
              <w:rPr>
                <w:sz w:val="20"/>
                <w:szCs w:val="20"/>
              </w:rPr>
            </w:pPr>
            <w:r w:rsidRPr="004D451D">
              <w:rPr>
                <w:rFonts w:eastAsia="標楷體"/>
                <w:sz w:val="20"/>
                <w:szCs w:val="20"/>
              </w:rPr>
              <w:t>內部評等法之監理公式法</w:t>
            </w:r>
            <w:r w:rsidRPr="004D451D">
              <w:rPr>
                <w:rFonts w:eastAsia="標楷體" w:hint="eastAsia"/>
                <w:sz w:val="20"/>
                <w:szCs w:val="20"/>
              </w:rPr>
              <w:t>K</w:t>
            </w:r>
          </w:p>
        </w:tc>
        <w:tc>
          <w:tcPr>
            <w:tcW w:w="851" w:type="dxa"/>
            <w:shd w:val="clear" w:color="auto" w:fill="auto"/>
            <w:vAlign w:val="center"/>
          </w:tcPr>
          <w:p w:rsidR="003E2470" w:rsidRPr="004D451D" w:rsidRDefault="003E2470" w:rsidP="002100AD">
            <w:pPr>
              <w:widowControl/>
              <w:spacing w:line="240" w:lineRule="atLeast"/>
              <w:jc w:val="center"/>
              <w:rPr>
                <w:sz w:val="20"/>
                <w:szCs w:val="20"/>
              </w:rPr>
            </w:pPr>
            <w:r w:rsidRPr="004D451D">
              <w:rPr>
                <w:rFonts w:eastAsia="標楷體"/>
                <w:sz w:val="20"/>
                <w:szCs w:val="20"/>
              </w:rPr>
              <w:t>標準法</w:t>
            </w:r>
            <w:r w:rsidRPr="004D451D">
              <w:rPr>
                <w:rFonts w:eastAsia="標楷體" w:hint="eastAsia"/>
                <w:sz w:val="20"/>
                <w:szCs w:val="20"/>
              </w:rPr>
              <w:t>L</w:t>
            </w:r>
          </w:p>
        </w:tc>
        <w:tc>
          <w:tcPr>
            <w:tcW w:w="709" w:type="dxa"/>
            <w:shd w:val="clear" w:color="auto" w:fill="auto"/>
            <w:vAlign w:val="center"/>
          </w:tcPr>
          <w:p w:rsidR="003E2470" w:rsidRPr="004D451D" w:rsidRDefault="003E2470" w:rsidP="0052536F">
            <w:pPr>
              <w:spacing w:line="240" w:lineRule="atLeast"/>
              <w:jc w:val="center"/>
              <w:rPr>
                <w:sz w:val="16"/>
                <w:szCs w:val="14"/>
              </w:rPr>
            </w:pPr>
            <w:r w:rsidRPr="004D451D">
              <w:rPr>
                <w:rFonts w:eastAsia="標楷體"/>
                <w:sz w:val="16"/>
                <w:szCs w:val="14"/>
              </w:rPr>
              <w:t>1250%</w:t>
            </w:r>
            <w:r w:rsidRPr="004D451D">
              <w:rPr>
                <w:rFonts w:eastAsia="標楷體" w:hint="eastAsia"/>
                <w:sz w:val="16"/>
                <w:szCs w:val="14"/>
              </w:rPr>
              <w:t>M</w:t>
            </w:r>
          </w:p>
        </w:tc>
        <w:tc>
          <w:tcPr>
            <w:tcW w:w="850" w:type="dxa"/>
            <w:shd w:val="clear" w:color="auto" w:fill="auto"/>
            <w:vAlign w:val="center"/>
          </w:tcPr>
          <w:p w:rsidR="003E2470" w:rsidRPr="004D451D" w:rsidRDefault="003E2470" w:rsidP="0052536F">
            <w:pPr>
              <w:spacing w:line="240" w:lineRule="atLeast"/>
              <w:jc w:val="center"/>
              <w:rPr>
                <w:rFonts w:eastAsia="標楷體"/>
                <w:sz w:val="20"/>
                <w:szCs w:val="20"/>
              </w:rPr>
            </w:pPr>
            <w:r w:rsidRPr="004D451D">
              <w:rPr>
                <w:rFonts w:eastAsia="標楷體"/>
                <w:sz w:val="20"/>
                <w:szCs w:val="20"/>
              </w:rPr>
              <w:t>內部評等法之評等基礎法</w:t>
            </w:r>
            <w:r w:rsidRPr="004D451D">
              <w:rPr>
                <w:rFonts w:eastAsia="標楷體" w:hint="eastAsia"/>
                <w:sz w:val="20"/>
                <w:szCs w:val="20"/>
              </w:rPr>
              <w:t>N</w:t>
            </w:r>
          </w:p>
        </w:tc>
        <w:tc>
          <w:tcPr>
            <w:tcW w:w="851" w:type="dxa"/>
            <w:shd w:val="clear" w:color="auto" w:fill="auto"/>
            <w:vAlign w:val="center"/>
          </w:tcPr>
          <w:p w:rsidR="003E2470" w:rsidRPr="004D451D" w:rsidRDefault="003E2470" w:rsidP="0052536F">
            <w:pPr>
              <w:spacing w:line="240" w:lineRule="atLeast"/>
              <w:jc w:val="center"/>
              <w:rPr>
                <w:rFonts w:eastAsia="標楷體"/>
                <w:sz w:val="20"/>
                <w:szCs w:val="20"/>
              </w:rPr>
            </w:pPr>
            <w:r w:rsidRPr="004D451D">
              <w:rPr>
                <w:rFonts w:eastAsia="標楷體"/>
                <w:sz w:val="20"/>
                <w:szCs w:val="20"/>
              </w:rPr>
              <w:t>內部評等法之監理公式法</w:t>
            </w:r>
            <w:r w:rsidRPr="004D451D">
              <w:rPr>
                <w:rFonts w:eastAsia="標楷體" w:hint="eastAsia"/>
                <w:sz w:val="20"/>
                <w:szCs w:val="20"/>
              </w:rPr>
              <w:t>O</w:t>
            </w:r>
          </w:p>
        </w:tc>
        <w:tc>
          <w:tcPr>
            <w:tcW w:w="850" w:type="dxa"/>
            <w:shd w:val="clear" w:color="auto" w:fill="auto"/>
            <w:vAlign w:val="center"/>
          </w:tcPr>
          <w:p w:rsidR="003E2470" w:rsidRPr="004D451D" w:rsidRDefault="003E2470" w:rsidP="002100AD">
            <w:pPr>
              <w:widowControl/>
              <w:spacing w:line="240" w:lineRule="atLeast"/>
              <w:jc w:val="center"/>
              <w:rPr>
                <w:rFonts w:eastAsia="標楷體"/>
                <w:sz w:val="20"/>
                <w:szCs w:val="20"/>
              </w:rPr>
            </w:pPr>
            <w:r w:rsidRPr="004D451D">
              <w:rPr>
                <w:rFonts w:eastAsia="標楷體"/>
                <w:sz w:val="20"/>
                <w:szCs w:val="20"/>
              </w:rPr>
              <w:t>標準法</w:t>
            </w:r>
            <w:r w:rsidRPr="004D451D">
              <w:rPr>
                <w:rFonts w:eastAsia="標楷體" w:hint="eastAsia"/>
                <w:sz w:val="20"/>
                <w:szCs w:val="20"/>
              </w:rPr>
              <w:t>P</w:t>
            </w:r>
          </w:p>
        </w:tc>
        <w:tc>
          <w:tcPr>
            <w:tcW w:w="709" w:type="dxa"/>
            <w:shd w:val="clear" w:color="auto" w:fill="auto"/>
            <w:vAlign w:val="center"/>
          </w:tcPr>
          <w:p w:rsidR="003E2470" w:rsidRPr="004D451D" w:rsidRDefault="003E2470" w:rsidP="0052536F">
            <w:pPr>
              <w:spacing w:line="240" w:lineRule="atLeast"/>
              <w:jc w:val="center"/>
              <w:rPr>
                <w:rFonts w:eastAsia="標楷體"/>
                <w:sz w:val="16"/>
                <w:szCs w:val="14"/>
              </w:rPr>
            </w:pPr>
            <w:r w:rsidRPr="004D451D">
              <w:rPr>
                <w:rFonts w:eastAsia="標楷體"/>
                <w:sz w:val="16"/>
                <w:szCs w:val="14"/>
              </w:rPr>
              <w:t>1250%</w:t>
            </w:r>
            <w:r w:rsidRPr="004D451D">
              <w:rPr>
                <w:rFonts w:eastAsia="標楷體" w:hint="eastAsia"/>
                <w:sz w:val="16"/>
                <w:szCs w:val="14"/>
              </w:rPr>
              <w:t>Q</w:t>
            </w:r>
          </w:p>
        </w:tc>
      </w:tr>
      <w:tr w:rsidR="004D451D" w:rsidRPr="004D451D" w:rsidTr="0052536F">
        <w:trPr>
          <w:trHeight w:val="513"/>
          <w:jc w:val="center"/>
        </w:trPr>
        <w:tc>
          <w:tcPr>
            <w:tcW w:w="363" w:type="dxa"/>
            <w:vMerge w:val="restart"/>
            <w:vAlign w:val="center"/>
          </w:tcPr>
          <w:p w:rsidR="003E2470" w:rsidRPr="004D451D" w:rsidRDefault="003E2470" w:rsidP="0052536F">
            <w:pPr>
              <w:widowControl/>
              <w:jc w:val="center"/>
              <w:rPr>
                <w:rFonts w:eastAsia="標楷體"/>
              </w:rPr>
            </w:pPr>
            <w:r w:rsidRPr="004D451D">
              <w:rPr>
                <w:rFonts w:eastAsia="標楷體" w:hint="eastAsia"/>
              </w:rPr>
              <w:t>1</w:t>
            </w:r>
          </w:p>
        </w:tc>
        <w:tc>
          <w:tcPr>
            <w:tcW w:w="538" w:type="dxa"/>
            <w:vMerge w:val="restart"/>
            <w:shd w:val="clear" w:color="auto" w:fill="auto"/>
            <w:vAlign w:val="center"/>
          </w:tcPr>
          <w:p w:rsidR="003E2470" w:rsidRPr="004D451D" w:rsidRDefault="003E2470" w:rsidP="0052536F">
            <w:pPr>
              <w:widowControl/>
              <w:jc w:val="center"/>
              <w:rPr>
                <w:rFonts w:eastAsia="標楷體"/>
              </w:rPr>
            </w:pPr>
            <w:r w:rsidRPr="004D451D">
              <w:rPr>
                <w:rFonts w:eastAsia="標楷體"/>
              </w:rPr>
              <w:t>傳統型證券化商品</w:t>
            </w:r>
          </w:p>
        </w:tc>
        <w:tc>
          <w:tcPr>
            <w:tcW w:w="1546" w:type="dxa"/>
            <w:shd w:val="clear" w:color="auto" w:fill="auto"/>
            <w:vAlign w:val="center"/>
          </w:tcPr>
          <w:p w:rsidR="003E2470" w:rsidRPr="004D451D" w:rsidRDefault="003E2470" w:rsidP="0052536F">
            <w:pPr>
              <w:widowControl/>
              <w:jc w:val="both"/>
              <w:rPr>
                <w:rFonts w:eastAsia="標楷體"/>
                <w:sz w:val="20"/>
                <w:szCs w:val="20"/>
              </w:rPr>
            </w:pPr>
            <w:r w:rsidRPr="004D451D">
              <w:rPr>
                <w:rFonts w:eastAsia="標楷體"/>
                <w:sz w:val="20"/>
                <w:szCs w:val="20"/>
              </w:rPr>
              <w:t>證券化商品</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62"/>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vAlign w:val="center"/>
          </w:tcPr>
          <w:p w:rsidR="003E2470" w:rsidRPr="004D451D" w:rsidRDefault="003E2470" w:rsidP="0052536F">
            <w:pPr>
              <w:widowControl/>
              <w:jc w:val="center"/>
              <w:rPr>
                <w:rFonts w:eastAsia="標楷體"/>
              </w:rPr>
            </w:pPr>
          </w:p>
        </w:tc>
        <w:tc>
          <w:tcPr>
            <w:tcW w:w="1546" w:type="dxa"/>
            <w:shd w:val="clear" w:color="auto" w:fill="auto"/>
            <w:vAlign w:val="center"/>
          </w:tcPr>
          <w:p w:rsidR="003E2470" w:rsidRPr="004D451D" w:rsidRDefault="003E2470" w:rsidP="0052536F">
            <w:pPr>
              <w:widowControl/>
              <w:ind w:leftChars="100" w:left="240"/>
              <w:jc w:val="both"/>
              <w:rPr>
                <w:rFonts w:eastAsia="標楷體"/>
                <w:sz w:val="20"/>
                <w:szCs w:val="20"/>
              </w:rPr>
            </w:pPr>
            <w:r w:rsidRPr="004D451D">
              <w:rPr>
                <w:rFonts w:eastAsia="標楷體"/>
                <w:sz w:val="20"/>
                <w:szCs w:val="20"/>
              </w:rPr>
              <w:t>零售型</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70"/>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vAlign w:val="center"/>
          </w:tcPr>
          <w:p w:rsidR="003E2470" w:rsidRPr="004D451D" w:rsidRDefault="003E2470" w:rsidP="0052536F">
            <w:pPr>
              <w:widowControl/>
              <w:jc w:val="center"/>
              <w:rPr>
                <w:rFonts w:eastAsia="標楷體"/>
              </w:rPr>
            </w:pPr>
          </w:p>
        </w:tc>
        <w:tc>
          <w:tcPr>
            <w:tcW w:w="1546" w:type="dxa"/>
            <w:shd w:val="clear" w:color="auto" w:fill="auto"/>
            <w:vAlign w:val="center"/>
          </w:tcPr>
          <w:p w:rsidR="003E2470" w:rsidRPr="004D451D" w:rsidRDefault="003E2470" w:rsidP="0052536F">
            <w:pPr>
              <w:widowControl/>
              <w:ind w:leftChars="100" w:left="240"/>
              <w:jc w:val="both"/>
              <w:rPr>
                <w:rFonts w:eastAsia="標楷體"/>
                <w:sz w:val="20"/>
                <w:szCs w:val="20"/>
              </w:rPr>
            </w:pPr>
            <w:r w:rsidRPr="004D451D">
              <w:rPr>
                <w:rFonts w:eastAsia="標楷體"/>
                <w:sz w:val="20"/>
                <w:szCs w:val="20"/>
              </w:rPr>
              <w:t>企業型</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50"/>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vAlign w:val="center"/>
          </w:tcPr>
          <w:p w:rsidR="003E2470" w:rsidRPr="004D451D" w:rsidRDefault="003E2470" w:rsidP="0052536F">
            <w:pPr>
              <w:widowControl/>
              <w:jc w:val="center"/>
              <w:rPr>
                <w:rFonts w:eastAsia="標楷體"/>
              </w:rPr>
            </w:pPr>
          </w:p>
        </w:tc>
        <w:tc>
          <w:tcPr>
            <w:tcW w:w="1546" w:type="dxa"/>
            <w:shd w:val="clear" w:color="auto" w:fill="auto"/>
            <w:vAlign w:val="center"/>
          </w:tcPr>
          <w:p w:rsidR="003E2470" w:rsidRPr="004D451D" w:rsidRDefault="003E2470" w:rsidP="0052536F">
            <w:pPr>
              <w:widowControl/>
              <w:jc w:val="both"/>
              <w:rPr>
                <w:rFonts w:eastAsia="標楷體"/>
                <w:sz w:val="20"/>
                <w:szCs w:val="20"/>
              </w:rPr>
            </w:pPr>
            <w:r w:rsidRPr="004D451D">
              <w:rPr>
                <w:rFonts w:eastAsia="標楷體"/>
                <w:sz w:val="20"/>
                <w:szCs w:val="20"/>
              </w:rPr>
              <w:t>再證券化商品</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58"/>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vAlign w:val="center"/>
          </w:tcPr>
          <w:p w:rsidR="003E2470" w:rsidRPr="004D451D" w:rsidRDefault="003E2470" w:rsidP="0052536F">
            <w:pPr>
              <w:widowControl/>
              <w:jc w:val="center"/>
              <w:rPr>
                <w:rFonts w:eastAsia="標楷體"/>
              </w:rPr>
            </w:pPr>
          </w:p>
        </w:tc>
        <w:tc>
          <w:tcPr>
            <w:tcW w:w="1546" w:type="dxa"/>
            <w:shd w:val="clear" w:color="auto" w:fill="auto"/>
            <w:vAlign w:val="center"/>
          </w:tcPr>
          <w:p w:rsidR="003E2470" w:rsidRPr="004D451D" w:rsidRDefault="003E2470" w:rsidP="0052536F">
            <w:pPr>
              <w:widowControl/>
              <w:ind w:leftChars="100" w:left="240"/>
              <w:jc w:val="both"/>
              <w:rPr>
                <w:rFonts w:eastAsia="標楷體"/>
                <w:sz w:val="20"/>
                <w:szCs w:val="20"/>
              </w:rPr>
            </w:pPr>
            <w:r w:rsidRPr="004D451D">
              <w:rPr>
                <w:rFonts w:eastAsia="標楷體"/>
                <w:sz w:val="20"/>
                <w:szCs w:val="20"/>
              </w:rPr>
              <w:t>優先部位</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38"/>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vAlign w:val="center"/>
          </w:tcPr>
          <w:p w:rsidR="003E2470" w:rsidRPr="004D451D" w:rsidRDefault="003E2470" w:rsidP="0052536F">
            <w:pPr>
              <w:widowControl/>
              <w:jc w:val="center"/>
              <w:rPr>
                <w:rFonts w:eastAsia="標楷體"/>
              </w:rPr>
            </w:pPr>
          </w:p>
        </w:tc>
        <w:tc>
          <w:tcPr>
            <w:tcW w:w="1546" w:type="dxa"/>
            <w:shd w:val="clear" w:color="auto" w:fill="auto"/>
            <w:vAlign w:val="center"/>
          </w:tcPr>
          <w:p w:rsidR="003E2470" w:rsidRPr="004D451D" w:rsidRDefault="003E2470" w:rsidP="0052536F">
            <w:pPr>
              <w:widowControl/>
              <w:ind w:leftChars="100" w:left="240"/>
              <w:jc w:val="both"/>
              <w:rPr>
                <w:rFonts w:eastAsia="標楷體"/>
                <w:sz w:val="20"/>
                <w:szCs w:val="20"/>
              </w:rPr>
            </w:pPr>
            <w:r w:rsidRPr="004D451D">
              <w:rPr>
                <w:rFonts w:eastAsia="標楷體"/>
                <w:sz w:val="20"/>
                <w:szCs w:val="20"/>
              </w:rPr>
              <w:t>非優先部位</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FB03BE">
        <w:trPr>
          <w:trHeight w:val="574"/>
          <w:jc w:val="center"/>
        </w:trPr>
        <w:tc>
          <w:tcPr>
            <w:tcW w:w="363" w:type="dxa"/>
            <w:vMerge/>
            <w:vAlign w:val="center"/>
          </w:tcPr>
          <w:p w:rsidR="003B2842" w:rsidRPr="004D451D" w:rsidRDefault="003B2842" w:rsidP="0052536F">
            <w:pPr>
              <w:widowControl/>
              <w:jc w:val="center"/>
              <w:rPr>
                <w:rFonts w:eastAsia="標楷體"/>
              </w:rPr>
            </w:pPr>
          </w:p>
        </w:tc>
        <w:tc>
          <w:tcPr>
            <w:tcW w:w="538" w:type="dxa"/>
            <w:vMerge/>
            <w:shd w:val="clear" w:color="auto" w:fill="auto"/>
            <w:vAlign w:val="center"/>
          </w:tcPr>
          <w:p w:rsidR="003B2842" w:rsidRPr="004D451D" w:rsidRDefault="003B2842" w:rsidP="0052536F">
            <w:pPr>
              <w:widowControl/>
              <w:jc w:val="center"/>
              <w:rPr>
                <w:rFonts w:eastAsia="標楷體"/>
              </w:rPr>
            </w:pPr>
          </w:p>
        </w:tc>
        <w:tc>
          <w:tcPr>
            <w:tcW w:w="1546" w:type="dxa"/>
            <w:shd w:val="clear" w:color="auto" w:fill="auto"/>
            <w:vAlign w:val="center"/>
          </w:tcPr>
          <w:p w:rsidR="003B2842" w:rsidRPr="004D451D" w:rsidRDefault="003B2842" w:rsidP="0052536F">
            <w:pPr>
              <w:widowControl/>
              <w:jc w:val="both"/>
              <w:rPr>
                <w:rFonts w:eastAsia="標楷體"/>
                <w:sz w:val="20"/>
                <w:szCs w:val="20"/>
              </w:rPr>
            </w:pPr>
            <w:r w:rsidRPr="004D451D">
              <w:rPr>
                <w:rFonts w:eastAsia="標楷體"/>
                <w:sz w:val="20"/>
                <w:szCs w:val="20"/>
              </w:rPr>
              <w:t>小計</w:t>
            </w:r>
          </w:p>
        </w:tc>
        <w:tc>
          <w:tcPr>
            <w:tcW w:w="567"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992"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r>
      <w:tr w:rsidR="004D451D" w:rsidRPr="004D451D" w:rsidTr="0052536F">
        <w:trPr>
          <w:trHeight w:val="558"/>
          <w:jc w:val="center"/>
        </w:trPr>
        <w:tc>
          <w:tcPr>
            <w:tcW w:w="363" w:type="dxa"/>
            <w:vMerge w:val="restart"/>
            <w:vAlign w:val="center"/>
          </w:tcPr>
          <w:p w:rsidR="003E2470" w:rsidRPr="004D451D" w:rsidRDefault="003E2470" w:rsidP="0052536F">
            <w:pPr>
              <w:widowControl/>
              <w:jc w:val="center"/>
              <w:rPr>
                <w:rFonts w:eastAsia="標楷體"/>
              </w:rPr>
            </w:pPr>
            <w:r w:rsidRPr="004D451D">
              <w:rPr>
                <w:rFonts w:eastAsia="標楷體" w:hint="eastAsia"/>
              </w:rPr>
              <w:t>2</w:t>
            </w:r>
          </w:p>
        </w:tc>
        <w:tc>
          <w:tcPr>
            <w:tcW w:w="538" w:type="dxa"/>
            <w:vMerge w:val="restart"/>
            <w:shd w:val="clear" w:color="auto" w:fill="auto"/>
            <w:vAlign w:val="center"/>
          </w:tcPr>
          <w:p w:rsidR="003E2470" w:rsidRPr="004D451D" w:rsidRDefault="003E2470" w:rsidP="0052536F">
            <w:pPr>
              <w:widowControl/>
              <w:jc w:val="center"/>
              <w:rPr>
                <w:rFonts w:eastAsia="標楷體"/>
              </w:rPr>
            </w:pPr>
            <w:r w:rsidRPr="004D451D">
              <w:rPr>
                <w:rFonts w:eastAsia="標楷體"/>
              </w:rPr>
              <w:t>非傳統型證券化商品</w:t>
            </w:r>
          </w:p>
        </w:tc>
        <w:tc>
          <w:tcPr>
            <w:tcW w:w="1546" w:type="dxa"/>
            <w:shd w:val="clear" w:color="auto" w:fill="auto"/>
            <w:vAlign w:val="center"/>
          </w:tcPr>
          <w:p w:rsidR="003E2470" w:rsidRPr="004D451D" w:rsidRDefault="003E2470" w:rsidP="0052536F">
            <w:pPr>
              <w:jc w:val="both"/>
              <w:rPr>
                <w:rFonts w:eastAsia="標楷體"/>
                <w:sz w:val="20"/>
                <w:szCs w:val="20"/>
              </w:rPr>
            </w:pPr>
            <w:r w:rsidRPr="004D451D">
              <w:rPr>
                <w:rFonts w:eastAsia="標楷體"/>
                <w:sz w:val="20"/>
                <w:szCs w:val="20"/>
              </w:rPr>
              <w:t>證券化商品</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66"/>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tcPr>
          <w:p w:rsidR="003E2470" w:rsidRPr="004D451D" w:rsidRDefault="003E2470" w:rsidP="0052536F">
            <w:pPr>
              <w:widowControl/>
              <w:rPr>
                <w:rFonts w:eastAsia="標楷體"/>
              </w:rPr>
            </w:pPr>
          </w:p>
        </w:tc>
        <w:tc>
          <w:tcPr>
            <w:tcW w:w="1546" w:type="dxa"/>
            <w:shd w:val="clear" w:color="auto" w:fill="auto"/>
            <w:vAlign w:val="center"/>
          </w:tcPr>
          <w:p w:rsidR="003E2470" w:rsidRPr="004D451D" w:rsidRDefault="003E2470" w:rsidP="0052536F">
            <w:pPr>
              <w:ind w:leftChars="100" w:left="240"/>
              <w:jc w:val="both"/>
              <w:rPr>
                <w:rFonts w:eastAsia="標楷體"/>
                <w:sz w:val="20"/>
                <w:szCs w:val="20"/>
              </w:rPr>
            </w:pPr>
            <w:r w:rsidRPr="004D451D">
              <w:rPr>
                <w:rFonts w:eastAsia="標楷體"/>
                <w:sz w:val="20"/>
                <w:szCs w:val="20"/>
              </w:rPr>
              <w:t>零售型</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78"/>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tcPr>
          <w:p w:rsidR="003E2470" w:rsidRPr="004D451D" w:rsidRDefault="003E2470" w:rsidP="0052536F">
            <w:pPr>
              <w:widowControl/>
              <w:rPr>
                <w:rFonts w:eastAsia="標楷體"/>
              </w:rPr>
            </w:pPr>
          </w:p>
        </w:tc>
        <w:tc>
          <w:tcPr>
            <w:tcW w:w="1546" w:type="dxa"/>
            <w:shd w:val="clear" w:color="auto" w:fill="auto"/>
            <w:vAlign w:val="center"/>
          </w:tcPr>
          <w:p w:rsidR="003E2470" w:rsidRPr="004D451D" w:rsidRDefault="003E2470" w:rsidP="0052536F">
            <w:pPr>
              <w:ind w:leftChars="100" w:left="240"/>
              <w:jc w:val="both"/>
              <w:rPr>
                <w:rFonts w:eastAsia="標楷體"/>
                <w:sz w:val="20"/>
                <w:szCs w:val="20"/>
              </w:rPr>
            </w:pPr>
            <w:r w:rsidRPr="004D451D">
              <w:rPr>
                <w:rFonts w:eastAsia="標楷體"/>
                <w:sz w:val="20"/>
                <w:szCs w:val="20"/>
              </w:rPr>
              <w:t>企業型</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44"/>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tcPr>
          <w:p w:rsidR="003E2470" w:rsidRPr="004D451D" w:rsidRDefault="003E2470" w:rsidP="0052536F">
            <w:pPr>
              <w:widowControl/>
              <w:rPr>
                <w:rFonts w:eastAsia="標楷體"/>
              </w:rPr>
            </w:pPr>
          </w:p>
        </w:tc>
        <w:tc>
          <w:tcPr>
            <w:tcW w:w="1546" w:type="dxa"/>
            <w:shd w:val="clear" w:color="auto" w:fill="auto"/>
            <w:vAlign w:val="center"/>
          </w:tcPr>
          <w:p w:rsidR="003E2470" w:rsidRPr="004D451D" w:rsidRDefault="003E2470" w:rsidP="0052536F">
            <w:pPr>
              <w:jc w:val="both"/>
              <w:rPr>
                <w:rFonts w:eastAsia="標楷體"/>
                <w:sz w:val="20"/>
                <w:szCs w:val="20"/>
              </w:rPr>
            </w:pPr>
            <w:r w:rsidRPr="004D451D">
              <w:rPr>
                <w:rFonts w:eastAsia="標楷體"/>
                <w:sz w:val="20"/>
                <w:szCs w:val="20"/>
              </w:rPr>
              <w:t>再證券化商品</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65"/>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tcPr>
          <w:p w:rsidR="003E2470" w:rsidRPr="004D451D" w:rsidRDefault="003E2470" w:rsidP="0052536F">
            <w:pPr>
              <w:widowControl/>
              <w:rPr>
                <w:rFonts w:eastAsia="標楷體"/>
              </w:rPr>
            </w:pPr>
          </w:p>
        </w:tc>
        <w:tc>
          <w:tcPr>
            <w:tcW w:w="1546" w:type="dxa"/>
            <w:shd w:val="clear" w:color="auto" w:fill="auto"/>
            <w:vAlign w:val="center"/>
          </w:tcPr>
          <w:p w:rsidR="003E2470" w:rsidRPr="004D451D" w:rsidRDefault="003E2470" w:rsidP="0052536F">
            <w:pPr>
              <w:ind w:leftChars="100" w:left="240"/>
              <w:jc w:val="both"/>
              <w:rPr>
                <w:rFonts w:eastAsia="標楷體"/>
                <w:sz w:val="20"/>
                <w:szCs w:val="20"/>
              </w:rPr>
            </w:pPr>
            <w:r w:rsidRPr="004D451D">
              <w:rPr>
                <w:rFonts w:eastAsia="標楷體"/>
                <w:sz w:val="20"/>
                <w:szCs w:val="20"/>
              </w:rPr>
              <w:t>優先部位</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52536F">
        <w:trPr>
          <w:trHeight w:val="545"/>
          <w:jc w:val="center"/>
        </w:trPr>
        <w:tc>
          <w:tcPr>
            <w:tcW w:w="363" w:type="dxa"/>
            <w:vMerge/>
            <w:vAlign w:val="center"/>
          </w:tcPr>
          <w:p w:rsidR="003E2470" w:rsidRPr="004D451D" w:rsidRDefault="003E2470" w:rsidP="0052536F">
            <w:pPr>
              <w:widowControl/>
              <w:jc w:val="center"/>
              <w:rPr>
                <w:rFonts w:eastAsia="標楷體"/>
              </w:rPr>
            </w:pPr>
          </w:p>
        </w:tc>
        <w:tc>
          <w:tcPr>
            <w:tcW w:w="538" w:type="dxa"/>
            <w:vMerge/>
            <w:shd w:val="clear" w:color="auto" w:fill="auto"/>
          </w:tcPr>
          <w:p w:rsidR="003E2470" w:rsidRPr="004D451D" w:rsidRDefault="003E2470" w:rsidP="0052536F">
            <w:pPr>
              <w:widowControl/>
              <w:rPr>
                <w:rFonts w:eastAsia="標楷體"/>
              </w:rPr>
            </w:pPr>
          </w:p>
        </w:tc>
        <w:tc>
          <w:tcPr>
            <w:tcW w:w="1546" w:type="dxa"/>
            <w:shd w:val="clear" w:color="auto" w:fill="auto"/>
            <w:vAlign w:val="center"/>
          </w:tcPr>
          <w:p w:rsidR="003E2470" w:rsidRPr="004D451D" w:rsidRDefault="003E2470" w:rsidP="0052536F">
            <w:pPr>
              <w:ind w:leftChars="100" w:left="240"/>
              <w:jc w:val="both"/>
              <w:rPr>
                <w:rFonts w:eastAsia="標楷體"/>
                <w:sz w:val="20"/>
                <w:szCs w:val="20"/>
              </w:rPr>
            </w:pPr>
            <w:r w:rsidRPr="004D451D">
              <w:rPr>
                <w:rFonts w:eastAsia="標楷體"/>
                <w:sz w:val="20"/>
                <w:szCs w:val="20"/>
              </w:rPr>
              <w:t>非優先部位</w:t>
            </w:r>
          </w:p>
        </w:tc>
        <w:tc>
          <w:tcPr>
            <w:tcW w:w="567"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992"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8"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851" w:type="dxa"/>
            <w:shd w:val="clear" w:color="auto" w:fill="auto"/>
          </w:tcPr>
          <w:p w:rsidR="003E2470" w:rsidRPr="004D451D" w:rsidRDefault="003E2470" w:rsidP="0052536F">
            <w:pPr>
              <w:widowControl/>
              <w:rPr>
                <w:rFonts w:eastAsia="標楷體"/>
              </w:rPr>
            </w:pPr>
          </w:p>
        </w:tc>
        <w:tc>
          <w:tcPr>
            <w:tcW w:w="850" w:type="dxa"/>
            <w:shd w:val="clear" w:color="auto" w:fill="auto"/>
          </w:tcPr>
          <w:p w:rsidR="003E2470" w:rsidRPr="004D451D" w:rsidRDefault="003E2470" w:rsidP="0052536F">
            <w:pPr>
              <w:widowControl/>
              <w:rPr>
                <w:rFonts w:eastAsia="標楷體"/>
              </w:rPr>
            </w:pPr>
          </w:p>
        </w:tc>
        <w:tc>
          <w:tcPr>
            <w:tcW w:w="709" w:type="dxa"/>
            <w:shd w:val="clear" w:color="auto" w:fill="auto"/>
          </w:tcPr>
          <w:p w:rsidR="003E2470" w:rsidRPr="004D451D" w:rsidRDefault="003E2470" w:rsidP="0052536F">
            <w:pPr>
              <w:widowControl/>
              <w:rPr>
                <w:rFonts w:eastAsia="標楷體"/>
              </w:rPr>
            </w:pPr>
          </w:p>
        </w:tc>
      </w:tr>
      <w:tr w:rsidR="004D451D" w:rsidRPr="004D451D" w:rsidTr="00FB03BE">
        <w:trPr>
          <w:trHeight w:val="553"/>
          <w:jc w:val="center"/>
        </w:trPr>
        <w:tc>
          <w:tcPr>
            <w:tcW w:w="363" w:type="dxa"/>
            <w:vMerge/>
            <w:vAlign w:val="center"/>
          </w:tcPr>
          <w:p w:rsidR="003B2842" w:rsidRPr="004D451D" w:rsidRDefault="003B2842" w:rsidP="0052536F">
            <w:pPr>
              <w:widowControl/>
              <w:jc w:val="center"/>
              <w:rPr>
                <w:rFonts w:eastAsia="標楷體"/>
              </w:rPr>
            </w:pPr>
          </w:p>
        </w:tc>
        <w:tc>
          <w:tcPr>
            <w:tcW w:w="538" w:type="dxa"/>
            <w:vMerge/>
            <w:shd w:val="clear" w:color="auto" w:fill="auto"/>
          </w:tcPr>
          <w:p w:rsidR="003B2842" w:rsidRPr="004D451D" w:rsidRDefault="003B2842" w:rsidP="0052536F">
            <w:pPr>
              <w:widowControl/>
              <w:rPr>
                <w:rFonts w:eastAsia="標楷體"/>
              </w:rPr>
            </w:pPr>
          </w:p>
        </w:tc>
        <w:tc>
          <w:tcPr>
            <w:tcW w:w="1546" w:type="dxa"/>
            <w:shd w:val="clear" w:color="auto" w:fill="auto"/>
            <w:vAlign w:val="center"/>
          </w:tcPr>
          <w:p w:rsidR="003B2842" w:rsidRPr="004D451D" w:rsidRDefault="003B2842" w:rsidP="0052536F">
            <w:pPr>
              <w:jc w:val="both"/>
              <w:rPr>
                <w:rFonts w:eastAsia="標楷體"/>
                <w:sz w:val="20"/>
                <w:szCs w:val="20"/>
              </w:rPr>
            </w:pPr>
            <w:r w:rsidRPr="004D451D">
              <w:rPr>
                <w:rFonts w:eastAsia="標楷體"/>
                <w:sz w:val="20"/>
                <w:szCs w:val="20"/>
              </w:rPr>
              <w:t>小計</w:t>
            </w:r>
          </w:p>
        </w:tc>
        <w:tc>
          <w:tcPr>
            <w:tcW w:w="567"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992"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r>
      <w:tr w:rsidR="004D451D" w:rsidRPr="004D451D" w:rsidTr="003B2842">
        <w:trPr>
          <w:trHeight w:val="561"/>
          <w:jc w:val="center"/>
        </w:trPr>
        <w:tc>
          <w:tcPr>
            <w:tcW w:w="363" w:type="dxa"/>
            <w:vAlign w:val="center"/>
          </w:tcPr>
          <w:p w:rsidR="003B2842" w:rsidRPr="004D451D" w:rsidRDefault="003B2842" w:rsidP="0052536F">
            <w:pPr>
              <w:widowControl/>
              <w:jc w:val="center"/>
              <w:rPr>
                <w:rFonts w:eastAsia="標楷體"/>
              </w:rPr>
            </w:pPr>
            <w:r w:rsidRPr="004D451D">
              <w:rPr>
                <w:rFonts w:eastAsia="標楷體" w:hint="eastAsia"/>
              </w:rPr>
              <w:t>3</w:t>
            </w:r>
          </w:p>
        </w:tc>
        <w:tc>
          <w:tcPr>
            <w:tcW w:w="2084" w:type="dxa"/>
            <w:gridSpan w:val="2"/>
            <w:shd w:val="clear" w:color="auto" w:fill="auto"/>
            <w:vAlign w:val="center"/>
          </w:tcPr>
          <w:p w:rsidR="003B2842" w:rsidRPr="004D451D" w:rsidRDefault="003B2842" w:rsidP="0052536F">
            <w:pPr>
              <w:widowControl/>
              <w:jc w:val="center"/>
              <w:rPr>
                <w:rFonts w:eastAsia="標楷體"/>
              </w:rPr>
            </w:pPr>
            <w:r w:rsidRPr="004D451D">
              <w:rPr>
                <w:rFonts w:eastAsia="標楷體"/>
              </w:rPr>
              <w:t>合計</w:t>
            </w:r>
          </w:p>
        </w:tc>
        <w:tc>
          <w:tcPr>
            <w:tcW w:w="567" w:type="dxa"/>
            <w:shd w:val="clear" w:color="auto" w:fill="auto"/>
            <w:vAlign w:val="center"/>
          </w:tcPr>
          <w:p w:rsidR="003B2842" w:rsidRPr="004D451D" w:rsidRDefault="003B2842" w:rsidP="003B2842">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992"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8"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1"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850"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c>
          <w:tcPr>
            <w:tcW w:w="709" w:type="dxa"/>
            <w:shd w:val="clear" w:color="auto" w:fill="auto"/>
            <w:vAlign w:val="center"/>
          </w:tcPr>
          <w:p w:rsidR="003B2842" w:rsidRPr="004D451D" w:rsidRDefault="003B2842" w:rsidP="00FB03BE">
            <w:pPr>
              <w:jc w:val="right"/>
              <w:rPr>
                <w:rFonts w:ascii="Arial" w:hAnsi="Arial" w:cs="Arial"/>
              </w:rPr>
            </w:pPr>
            <w:r w:rsidRPr="004D451D">
              <w:rPr>
                <w:rFonts w:ascii="Arial" w:hAnsi="Arial" w:cs="Arial" w:hint="eastAsia"/>
              </w:rPr>
              <w:t>0</w:t>
            </w:r>
          </w:p>
        </w:tc>
      </w:tr>
      <w:tr w:rsidR="004D451D" w:rsidRPr="004D451D" w:rsidTr="0052536F">
        <w:trPr>
          <w:trHeight w:val="710"/>
          <w:jc w:val="center"/>
        </w:trPr>
        <w:tc>
          <w:tcPr>
            <w:tcW w:w="15913" w:type="dxa"/>
            <w:gridSpan w:val="20"/>
          </w:tcPr>
          <w:p w:rsidR="003E2470" w:rsidRPr="004D451D" w:rsidRDefault="003E2470" w:rsidP="0052536F">
            <w:pPr>
              <w:widowControl/>
              <w:rPr>
                <w:rFonts w:eastAsia="標楷體"/>
              </w:rPr>
            </w:pPr>
            <w:r w:rsidRPr="004D451D">
              <w:rPr>
                <w:rFonts w:eastAsia="標楷體"/>
              </w:rPr>
              <w:t>重大變動原因及說明</w:t>
            </w:r>
            <w:r w:rsidRPr="004D451D">
              <w:rPr>
                <w:rFonts w:eastAsia="標楷體" w:hint="eastAsia"/>
              </w:rPr>
              <w:t>：</w:t>
            </w:r>
          </w:p>
        </w:tc>
      </w:tr>
    </w:tbl>
    <w:p w:rsidR="00A8393D" w:rsidRPr="004D451D" w:rsidRDefault="00A8393D" w:rsidP="00360BF1">
      <w:pPr>
        <w:rPr>
          <w:rFonts w:eastAsia="標楷體"/>
          <w:b/>
          <w:kern w:val="0"/>
        </w:rPr>
      </w:pPr>
    </w:p>
    <w:p w:rsidR="00360BF1" w:rsidRPr="004D451D" w:rsidRDefault="00360BF1" w:rsidP="00A8393D">
      <w:pPr>
        <w:spacing w:line="240" w:lineRule="atLeast"/>
        <w:rPr>
          <w:rFonts w:eastAsia="標楷體"/>
          <w:b/>
          <w:kern w:val="0"/>
        </w:rPr>
      </w:pPr>
      <w:r w:rsidRPr="004D451D">
        <w:rPr>
          <w:rFonts w:eastAsia="標楷體"/>
          <w:b/>
          <w:kern w:val="0"/>
        </w:rPr>
        <w:t>填表說明：</w:t>
      </w:r>
    </w:p>
    <w:p w:rsidR="00360BF1" w:rsidRPr="004D451D" w:rsidRDefault="00360BF1" w:rsidP="00EF4134">
      <w:pPr>
        <w:numPr>
          <w:ilvl w:val="0"/>
          <w:numId w:val="80"/>
        </w:numPr>
        <w:spacing w:line="240" w:lineRule="atLeast"/>
        <w:ind w:leftChars="150" w:left="720" w:hangingChars="150"/>
        <w:jc w:val="both"/>
        <w:rPr>
          <w:rFonts w:eastAsia="標楷體"/>
        </w:rPr>
      </w:pPr>
      <w:r w:rsidRPr="004D451D">
        <w:rPr>
          <w:rFonts w:eastAsia="標楷體"/>
        </w:rPr>
        <w:t>本表更新頻率：半年。</w:t>
      </w:r>
    </w:p>
    <w:p w:rsidR="00A8393D" w:rsidRPr="004D451D" w:rsidRDefault="00A8393D" w:rsidP="00EF4134">
      <w:pPr>
        <w:numPr>
          <w:ilvl w:val="0"/>
          <w:numId w:val="80"/>
        </w:numPr>
        <w:spacing w:line="240" w:lineRule="atLeast"/>
        <w:ind w:leftChars="150" w:left="720" w:hangingChars="150"/>
        <w:jc w:val="both"/>
        <w:rPr>
          <w:rFonts w:eastAsia="標楷體"/>
        </w:rPr>
      </w:pPr>
      <w:r w:rsidRPr="004D451D">
        <w:rPr>
          <w:rFonts w:eastAsia="標楷體"/>
        </w:rPr>
        <w:t>本表採個體基礎填報。</w:t>
      </w:r>
    </w:p>
    <w:p w:rsidR="00A8393D" w:rsidRPr="004D451D" w:rsidRDefault="00A8393D" w:rsidP="00EF4134">
      <w:pPr>
        <w:numPr>
          <w:ilvl w:val="0"/>
          <w:numId w:val="80"/>
        </w:numPr>
        <w:spacing w:line="240" w:lineRule="atLeast"/>
        <w:ind w:leftChars="150" w:left="720" w:hangingChars="150"/>
        <w:jc w:val="both"/>
        <w:rPr>
          <w:rFonts w:eastAsia="標楷體"/>
        </w:rPr>
      </w:pPr>
      <w:r w:rsidRPr="004D451D">
        <w:rPr>
          <w:rFonts w:eastAsia="標楷體"/>
        </w:rPr>
        <w:t>暴險值</w:t>
      </w:r>
      <w:r w:rsidRPr="004D451D">
        <w:rPr>
          <w:rFonts w:eastAsia="標楷體"/>
        </w:rPr>
        <w:t>(</w:t>
      </w:r>
      <w:r w:rsidRPr="004D451D">
        <w:rPr>
          <w:rFonts w:eastAsia="標楷體"/>
        </w:rPr>
        <w:t>依風險權數</w:t>
      </w:r>
      <w:r w:rsidRPr="004D451D">
        <w:rPr>
          <w:rFonts w:eastAsia="標楷體"/>
        </w:rPr>
        <w:t>)</w:t>
      </w:r>
      <w:r w:rsidRPr="004D451D">
        <w:rPr>
          <w:rFonts w:eastAsia="標楷體"/>
        </w:rPr>
        <w:t>係指依法定風險權數。</w:t>
      </w:r>
    </w:p>
    <w:p w:rsidR="00265D94" w:rsidRPr="004D451D" w:rsidRDefault="003B27EC" w:rsidP="00EF4134">
      <w:pPr>
        <w:numPr>
          <w:ilvl w:val="0"/>
          <w:numId w:val="80"/>
        </w:numPr>
        <w:spacing w:line="240" w:lineRule="atLeast"/>
        <w:ind w:leftChars="150" w:left="720" w:hangingChars="150"/>
        <w:jc w:val="both"/>
        <w:rPr>
          <w:rFonts w:eastAsia="標楷體"/>
        </w:rPr>
      </w:pPr>
      <w:r w:rsidRPr="004D451D">
        <w:rPr>
          <w:rFonts w:eastAsia="標楷體" w:hint="eastAsia"/>
        </w:rPr>
        <w:t>暴險值</w:t>
      </w:r>
      <w:r w:rsidRPr="004D451D">
        <w:rPr>
          <w:rFonts w:eastAsia="標楷體" w:hint="eastAsia"/>
        </w:rPr>
        <w:t>(</w:t>
      </w:r>
      <w:r w:rsidRPr="004D451D">
        <w:rPr>
          <w:rFonts w:eastAsia="標楷體" w:hint="eastAsia"/>
        </w:rPr>
        <w:t>依法定方法</w:t>
      </w:r>
      <w:r w:rsidRPr="004D451D">
        <w:rPr>
          <w:rFonts w:eastAsia="標楷體" w:hint="eastAsia"/>
        </w:rPr>
        <w:t>)</w:t>
      </w:r>
      <w:r w:rsidRPr="004D451D">
        <w:rPr>
          <w:rFonts w:eastAsia="標楷體" w:hint="eastAsia"/>
        </w:rPr>
        <w:t>係指所使用之資本計提方法，其中內部評等法之涵蓋評等基礎法含內部評估法、標準法涵蓋了評等基礎法和對優先順位暴險額適用的「拆解法」</w:t>
      </w:r>
      <w:r w:rsidRPr="004D451D">
        <w:rPr>
          <w:rFonts w:eastAsia="標楷體" w:hint="eastAsia"/>
        </w:rPr>
        <w:t>(</w:t>
      </w:r>
      <w:r w:rsidRPr="004D451D">
        <w:rPr>
          <w:rFonts w:eastAsia="標楷體" w:hint="eastAsia"/>
        </w:rPr>
        <w:t>“</w:t>
      </w:r>
      <w:r w:rsidRPr="004D451D">
        <w:rPr>
          <w:rFonts w:eastAsia="標楷體" w:hint="eastAsia"/>
        </w:rPr>
        <w:t>look-through</w:t>
      </w:r>
      <w:r w:rsidRPr="004D451D">
        <w:rPr>
          <w:rFonts w:eastAsia="標楷體" w:hint="eastAsia"/>
        </w:rPr>
        <w:t>”</w:t>
      </w:r>
      <w:r w:rsidRPr="004D451D">
        <w:rPr>
          <w:rFonts w:eastAsia="標楷體" w:hint="eastAsia"/>
        </w:rPr>
        <w:t xml:space="preserve"> approach)</w:t>
      </w:r>
      <w:r w:rsidRPr="004D451D">
        <w:rPr>
          <w:rFonts w:eastAsia="標楷體" w:hint="eastAsia"/>
        </w:rPr>
        <w:t>。</w:t>
      </w:r>
    </w:p>
    <w:p w:rsidR="00693508" w:rsidRPr="004D451D" w:rsidRDefault="00693508" w:rsidP="001E565E">
      <w:pPr>
        <w:spacing w:line="240" w:lineRule="atLeast"/>
        <w:ind w:leftChars="150" w:left="720" w:hangingChars="150" w:hanging="360"/>
        <w:jc w:val="both"/>
        <w:rPr>
          <w:rFonts w:eastAsia="標楷體"/>
        </w:rPr>
        <w:sectPr w:rsidR="00693508" w:rsidRPr="004D451D" w:rsidSect="00EC6E35">
          <w:pgSz w:w="16838" w:h="11906" w:orient="landscape" w:code="9"/>
          <w:pgMar w:top="993" w:right="1077" w:bottom="992" w:left="1440" w:header="851" w:footer="352" w:gutter="0"/>
          <w:cols w:space="425"/>
          <w:docGrid w:type="linesAndChars" w:linePitch="360"/>
        </w:sectPr>
      </w:pPr>
    </w:p>
    <w:p w:rsidR="00693508" w:rsidRPr="004D451D" w:rsidRDefault="00693508" w:rsidP="00693508">
      <w:pPr>
        <w:rPr>
          <w:rFonts w:ascii="標楷體" w:eastAsia="標楷體" w:hAnsi="標楷體"/>
          <w:sz w:val="28"/>
          <w:szCs w:val="28"/>
        </w:rPr>
      </w:pPr>
      <w:r w:rsidRPr="004D451D">
        <w:rPr>
          <w:rFonts w:ascii="標楷體" w:eastAsia="標楷體" w:hAnsi="標楷體" w:cs="Arial" w:hint="eastAsia"/>
          <w:b/>
          <w:kern w:val="0"/>
          <w:sz w:val="32"/>
          <w:szCs w:val="32"/>
        </w:rPr>
        <w:t>【附表四十</w:t>
      </w:r>
      <w:r w:rsidR="0095647E" w:rsidRPr="004D451D">
        <w:rPr>
          <w:rFonts w:ascii="標楷體" w:eastAsia="標楷體" w:hAnsi="標楷體" w:cs="Arial" w:hint="eastAsia"/>
          <w:b/>
          <w:kern w:val="0"/>
          <w:sz w:val="32"/>
          <w:szCs w:val="32"/>
        </w:rPr>
        <w:t>九</w:t>
      </w:r>
      <w:r w:rsidRPr="004D451D">
        <w:rPr>
          <w:rFonts w:ascii="標楷體" w:eastAsia="標楷體" w:hAnsi="標楷體" w:cs="Arial" w:hint="eastAsia"/>
          <w:b/>
          <w:kern w:val="0"/>
          <w:sz w:val="32"/>
          <w:szCs w:val="32"/>
        </w:rPr>
        <w:t>】</w:t>
      </w:r>
    </w:p>
    <w:p w:rsidR="00693508" w:rsidRPr="004D451D" w:rsidRDefault="00693508" w:rsidP="00693508">
      <w:pPr>
        <w:pStyle w:val="ad"/>
        <w:spacing w:beforeLines="100" w:before="360" w:afterLines="100" w:after="360" w:line="240" w:lineRule="auto"/>
        <w:ind w:left="0" w:firstLine="0"/>
        <w:jc w:val="center"/>
        <w:rPr>
          <w:b/>
        </w:rPr>
      </w:pPr>
      <w:r w:rsidRPr="004D451D">
        <w:rPr>
          <w:rFonts w:hint="eastAsia"/>
          <w:b/>
        </w:rPr>
        <w:t>銀行簿利率風險管理制度</w:t>
      </w:r>
    </w:p>
    <w:p w:rsidR="00693508" w:rsidRPr="004D451D" w:rsidRDefault="003B2842" w:rsidP="00693508">
      <w:pPr>
        <w:pStyle w:val="ad"/>
        <w:spacing w:before="120" w:after="120" w:line="240" w:lineRule="auto"/>
        <w:ind w:left="0" w:firstLine="0"/>
        <w:jc w:val="center"/>
        <w:rPr>
          <w:rFonts w:cs="Arial"/>
          <w:szCs w:val="32"/>
        </w:rPr>
      </w:pPr>
      <w:r w:rsidRPr="004D451D">
        <w:rPr>
          <w:rFonts w:cs="Arial" w:hint="eastAsia"/>
          <w:szCs w:val="32"/>
        </w:rPr>
        <w:t>10</w:t>
      </w:r>
      <w:r w:rsidR="00A837D8" w:rsidRPr="004D451D">
        <w:rPr>
          <w:rFonts w:cs="Arial" w:hint="eastAsia"/>
          <w:szCs w:val="32"/>
        </w:rPr>
        <w:t>7</w:t>
      </w:r>
      <w:r w:rsidR="00693508" w:rsidRPr="004D451D">
        <w:rPr>
          <w:rFonts w:cs="Arial" w:hint="eastAsia"/>
          <w:szCs w:val="32"/>
        </w:rPr>
        <w:t>年度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179"/>
      </w:tblGrid>
      <w:tr w:rsidR="004D451D" w:rsidRPr="004D451D" w:rsidTr="003B2842">
        <w:trPr>
          <w:trHeight w:val="468"/>
          <w:jc w:val="center"/>
        </w:trPr>
        <w:tc>
          <w:tcPr>
            <w:tcW w:w="1737" w:type="pct"/>
            <w:vAlign w:val="center"/>
          </w:tcPr>
          <w:p w:rsidR="00693508" w:rsidRPr="004D451D" w:rsidRDefault="00693508" w:rsidP="004B75EF">
            <w:pPr>
              <w:jc w:val="center"/>
              <w:rPr>
                <w:rFonts w:ascii="標楷體" w:eastAsia="標楷體" w:hAnsi="標楷體" w:cs="Arial"/>
                <w:sz w:val="22"/>
              </w:rPr>
            </w:pPr>
            <w:r w:rsidRPr="004D451D">
              <w:rPr>
                <w:rFonts w:ascii="標楷體" w:eastAsia="標楷體" w:hAnsi="標楷體" w:cs="Arial" w:hint="eastAsia"/>
                <w:sz w:val="22"/>
                <w:szCs w:val="22"/>
              </w:rPr>
              <w:t>項目</w:t>
            </w:r>
          </w:p>
        </w:tc>
        <w:tc>
          <w:tcPr>
            <w:tcW w:w="3263" w:type="pct"/>
            <w:vAlign w:val="center"/>
          </w:tcPr>
          <w:p w:rsidR="00693508" w:rsidRPr="004D451D" w:rsidRDefault="00693508" w:rsidP="004B75EF">
            <w:pPr>
              <w:jc w:val="center"/>
              <w:rPr>
                <w:rFonts w:ascii="標楷體" w:eastAsia="標楷體" w:hAnsi="標楷體" w:cs="Arial"/>
                <w:sz w:val="22"/>
              </w:rPr>
            </w:pPr>
            <w:r w:rsidRPr="004D451D">
              <w:rPr>
                <w:rFonts w:ascii="標楷體" w:eastAsia="標楷體" w:hAnsi="標楷體" w:cs="Arial" w:hint="eastAsia"/>
                <w:sz w:val="22"/>
                <w:szCs w:val="22"/>
              </w:rPr>
              <w:t>內容</w:t>
            </w:r>
          </w:p>
        </w:tc>
      </w:tr>
      <w:tr w:rsidR="004D451D" w:rsidRPr="004D451D" w:rsidTr="003B2842">
        <w:trPr>
          <w:trHeight w:val="432"/>
          <w:jc w:val="center"/>
        </w:trPr>
        <w:tc>
          <w:tcPr>
            <w:tcW w:w="1737" w:type="pct"/>
            <w:vAlign w:val="center"/>
          </w:tcPr>
          <w:p w:rsidR="003B2842" w:rsidRPr="004D451D" w:rsidRDefault="003B2842" w:rsidP="00482E54">
            <w:pPr>
              <w:pStyle w:val="affb"/>
              <w:numPr>
                <w:ilvl w:val="1"/>
                <w:numId w:val="78"/>
              </w:numPr>
              <w:spacing w:before="120" w:after="120"/>
              <w:ind w:leftChars="0" w:left="357" w:hanging="357"/>
              <w:rPr>
                <w:rFonts w:eastAsia="標楷體"/>
              </w:rPr>
            </w:pPr>
            <w:r w:rsidRPr="004D451D">
              <w:rPr>
                <w:rFonts w:eastAsia="標楷體"/>
              </w:rPr>
              <w:t>銀行簿利率風險管理策略與流程</w:t>
            </w:r>
          </w:p>
        </w:tc>
        <w:tc>
          <w:tcPr>
            <w:tcW w:w="3263" w:type="pct"/>
          </w:tcPr>
          <w:p w:rsidR="003B2842" w:rsidRPr="004D451D" w:rsidRDefault="003B2842" w:rsidP="003B2842">
            <w:pPr>
              <w:spacing w:beforeLines="50" w:before="180" w:afterLines="50" w:after="180" w:line="240" w:lineRule="exact"/>
              <w:rPr>
                <w:rFonts w:ascii="標楷體" w:eastAsia="標楷體" w:hAnsi="標楷體" w:cs="Arial"/>
              </w:rPr>
            </w:pPr>
            <w:r w:rsidRPr="004D451D">
              <w:rPr>
                <w:rFonts w:ascii="標楷體" w:eastAsia="標楷體" w:hAnsi="標楷體" w:cs="Arial" w:hint="eastAsia"/>
              </w:rPr>
              <w:t>1.銀行簿利率風險管理策略</w:t>
            </w:r>
          </w:p>
          <w:p w:rsidR="003B2842" w:rsidRPr="004D451D" w:rsidRDefault="003B2842" w:rsidP="003B2842">
            <w:pPr>
              <w:spacing w:beforeLines="50" w:before="180" w:afterLines="50" w:after="180" w:line="240" w:lineRule="exact"/>
              <w:ind w:leftChars="100" w:left="240"/>
              <w:rPr>
                <w:rFonts w:ascii="標楷體" w:eastAsia="標楷體" w:hAnsi="標楷體" w:cs="Arial"/>
              </w:rPr>
            </w:pPr>
            <w:r w:rsidRPr="004D451D">
              <w:rPr>
                <w:rFonts w:ascii="標楷體" w:eastAsia="標楷體" w:hAnsi="標楷體" w:hint="eastAsia"/>
              </w:rPr>
              <w:t>因應本行經營環境及面臨風險之變化作適當調整，維持與本行經營策略及目標之一致性，並涵蓋與業務相關之所有重要</w:t>
            </w:r>
            <w:r w:rsidRPr="004D451D">
              <w:rPr>
                <w:rFonts w:ascii="標楷體" w:eastAsia="標楷體" w:cs="標楷體" w:hint="eastAsia"/>
                <w:kern w:val="0"/>
              </w:rPr>
              <w:t>銀行簿利率</w:t>
            </w:r>
            <w:r w:rsidRPr="004D451D">
              <w:rPr>
                <w:rFonts w:ascii="標楷體" w:eastAsia="標楷體" w:hAnsi="標楷體" w:hint="eastAsia"/>
              </w:rPr>
              <w:t>風險。</w:t>
            </w:r>
          </w:p>
          <w:p w:rsidR="003B2842" w:rsidRPr="004D451D" w:rsidRDefault="003B2842" w:rsidP="003B2842">
            <w:pPr>
              <w:spacing w:beforeLines="50" w:before="180" w:afterLines="50" w:after="180" w:line="240" w:lineRule="exact"/>
              <w:rPr>
                <w:rFonts w:ascii="標楷體" w:eastAsia="標楷體" w:hAnsi="標楷體" w:cs="Arial"/>
              </w:rPr>
            </w:pPr>
            <w:r w:rsidRPr="004D451D">
              <w:rPr>
                <w:rFonts w:ascii="標楷體" w:eastAsia="標楷體" w:hAnsi="標楷體" w:cs="Arial" w:hint="eastAsia"/>
              </w:rPr>
              <w:t>2.銀行簿利率風險管理流程</w:t>
            </w:r>
          </w:p>
          <w:p w:rsidR="003B2842" w:rsidRPr="004D451D" w:rsidRDefault="003B2842" w:rsidP="00FB03BE">
            <w:pPr>
              <w:spacing w:before="120" w:after="120" w:line="240" w:lineRule="exact"/>
              <w:ind w:leftChars="100" w:left="240"/>
              <w:rPr>
                <w:rFonts w:ascii="標楷體" w:eastAsia="標楷體" w:hAnsi="標楷體" w:cs="Arial"/>
              </w:rPr>
            </w:pPr>
            <w:r w:rsidRPr="004D451D">
              <w:rPr>
                <w:rFonts w:ascii="標楷體" w:eastAsia="標楷體" w:hAnsi="標楷體" w:hint="eastAsia"/>
              </w:rPr>
              <w:t>為健全本行經營，提昇全行資產組合運用效能，評估經濟價值或盈餘受利率波動造成之變動影響，依「</w:t>
            </w:r>
            <w:r w:rsidRPr="004D451D">
              <w:rPr>
                <w:rFonts w:ascii="標楷體" w:eastAsia="標楷體" w:cs="標楷體" w:hint="eastAsia"/>
                <w:kern w:val="0"/>
              </w:rPr>
              <w:t>銀行簿利率風險管理辦法</w:t>
            </w:r>
            <w:r w:rsidRPr="004D451D">
              <w:rPr>
                <w:rFonts w:ascii="標楷體" w:eastAsia="標楷體" w:hAnsi="標楷體" w:hint="eastAsia"/>
              </w:rPr>
              <w:t>」，</w:t>
            </w:r>
            <w:r w:rsidRPr="004D451D">
              <w:rPr>
                <w:rFonts w:ascii="標楷體" w:eastAsia="標楷體" w:hAnsi="標楷體" w:hint="eastAsia"/>
                <w:bCs/>
              </w:rPr>
              <w:t>建立銀行簿利率風險控管機制，確實依辨識、衡量、溝通及監控等程序執行</w:t>
            </w:r>
            <w:r w:rsidRPr="004D451D">
              <w:rPr>
                <w:rFonts w:ascii="標楷體" w:eastAsia="標楷體" w:hAnsi="標楷體" w:hint="eastAsia"/>
              </w:rPr>
              <w:t>，使利率之暴險維持於適當水準</w:t>
            </w:r>
            <w:r w:rsidRPr="004D451D">
              <w:rPr>
                <w:rFonts w:ascii="標楷體" w:eastAsia="標楷體" w:hAnsi="標楷體" w:hint="eastAsia"/>
                <w:bCs/>
              </w:rPr>
              <w:t>。</w:t>
            </w:r>
          </w:p>
        </w:tc>
      </w:tr>
      <w:tr w:rsidR="004D451D" w:rsidRPr="004D451D" w:rsidTr="003B2842">
        <w:trPr>
          <w:trHeight w:val="357"/>
          <w:jc w:val="center"/>
        </w:trPr>
        <w:tc>
          <w:tcPr>
            <w:tcW w:w="1737" w:type="pct"/>
            <w:vAlign w:val="center"/>
          </w:tcPr>
          <w:p w:rsidR="003B2842" w:rsidRPr="004D451D" w:rsidRDefault="003B2842" w:rsidP="00482E54">
            <w:pPr>
              <w:pStyle w:val="affb"/>
              <w:numPr>
                <w:ilvl w:val="0"/>
                <w:numId w:val="70"/>
              </w:numPr>
              <w:spacing w:before="120" w:after="120"/>
              <w:ind w:leftChars="0"/>
              <w:rPr>
                <w:rFonts w:eastAsia="標楷體"/>
              </w:rPr>
            </w:pPr>
            <w:r w:rsidRPr="004D451D">
              <w:rPr>
                <w:rFonts w:eastAsia="標楷體"/>
              </w:rPr>
              <w:t>銀行簿利率風險管理組織與架構</w:t>
            </w:r>
          </w:p>
        </w:tc>
        <w:tc>
          <w:tcPr>
            <w:tcW w:w="3263" w:type="pct"/>
          </w:tcPr>
          <w:p w:rsidR="003B2842" w:rsidRPr="004D451D" w:rsidRDefault="003B2842" w:rsidP="003B2842">
            <w:pPr>
              <w:spacing w:beforeLines="50" w:before="180" w:line="240" w:lineRule="exact"/>
              <w:ind w:left="480" w:hangingChars="200" w:hanging="480"/>
              <w:rPr>
                <w:rFonts w:ascii="標楷體" w:eastAsia="標楷體"/>
              </w:rPr>
            </w:pPr>
            <w:r w:rsidRPr="004D451D">
              <w:rPr>
                <w:rFonts w:ascii="標楷體" w:eastAsia="標楷體" w:hAnsi="標楷體" w:hint="eastAsia"/>
              </w:rPr>
              <w:t>1.</w:t>
            </w:r>
            <w:r w:rsidRPr="004D451D">
              <w:rPr>
                <w:rFonts w:ascii="標楷體" w:eastAsia="標楷體" w:hint="eastAsia"/>
              </w:rPr>
              <w:t>董事會</w:t>
            </w:r>
          </w:p>
          <w:p w:rsidR="003B2842" w:rsidRPr="004D451D" w:rsidRDefault="003B2842" w:rsidP="00FB03BE">
            <w:pPr>
              <w:spacing w:beforeLines="50" w:before="180" w:line="240" w:lineRule="exact"/>
              <w:ind w:leftChars="100" w:left="240"/>
              <w:rPr>
                <w:rFonts w:ascii="標楷體" w:eastAsia="標楷體" w:hAnsi="標楷體"/>
              </w:rPr>
            </w:pPr>
            <w:r w:rsidRPr="004D451D">
              <w:rPr>
                <w:rFonts w:ascii="標楷體" w:eastAsia="標楷體" w:hint="eastAsia"/>
              </w:rPr>
              <w:t>為本行</w:t>
            </w:r>
            <w:r w:rsidRPr="004D451D">
              <w:rPr>
                <w:rFonts w:ascii="標楷體" w:eastAsia="標楷體" w:cs="標楷體" w:hint="eastAsia"/>
              </w:rPr>
              <w:t>銀行簿利率風險</w:t>
            </w:r>
            <w:r w:rsidRPr="004D451D">
              <w:rPr>
                <w:rFonts w:ascii="標楷體" w:eastAsia="標楷體" w:hint="eastAsia"/>
              </w:rPr>
              <w:t>管理之最高決策層級，並對本行</w:t>
            </w:r>
            <w:r w:rsidRPr="004D451D">
              <w:rPr>
                <w:rFonts w:ascii="標楷體" w:eastAsia="標楷體" w:cs="標楷體" w:hint="eastAsia"/>
              </w:rPr>
              <w:t>銀行簿利率風險</w:t>
            </w:r>
            <w:r w:rsidRPr="004D451D">
              <w:rPr>
                <w:rFonts w:ascii="標楷體" w:eastAsia="標楷體" w:hint="eastAsia"/>
              </w:rPr>
              <w:t>負有最終之責任。</w:t>
            </w:r>
          </w:p>
          <w:p w:rsidR="003B2842" w:rsidRPr="004D451D" w:rsidRDefault="003B2842" w:rsidP="00FB03BE">
            <w:pPr>
              <w:spacing w:beforeLines="50" w:before="180" w:line="240" w:lineRule="exact"/>
              <w:ind w:left="480" w:hangingChars="200" w:hanging="480"/>
              <w:rPr>
                <w:rFonts w:ascii="標楷體" w:eastAsia="標楷體" w:hAnsi="標楷體"/>
                <w:u w:val="single"/>
              </w:rPr>
            </w:pPr>
            <w:r w:rsidRPr="004D451D">
              <w:rPr>
                <w:rFonts w:ascii="標楷體" w:eastAsia="標楷體" w:hAnsi="標楷體" w:hint="eastAsia"/>
              </w:rPr>
              <w:t>2.資產負債管理委員會</w:t>
            </w:r>
          </w:p>
          <w:p w:rsidR="003B2842" w:rsidRPr="004D451D" w:rsidRDefault="003B2842" w:rsidP="00FB03BE">
            <w:pPr>
              <w:spacing w:beforeLines="50" w:before="180" w:line="240" w:lineRule="exact"/>
              <w:ind w:leftChars="100" w:left="240"/>
              <w:rPr>
                <w:rFonts w:ascii="標楷體" w:eastAsia="標楷體"/>
              </w:rPr>
            </w:pPr>
            <w:r w:rsidRPr="004D451D">
              <w:rPr>
                <w:rFonts w:ascii="標楷體" w:eastAsia="標楷體" w:hint="eastAsia"/>
              </w:rPr>
              <w:t>負責評估本行經營績效、資金情況、資產負債風險部位及利率敏感度，以及研議、調整各項資產負債之最佳適切比率，評估本行存、放款利率訂價策略。</w:t>
            </w:r>
          </w:p>
          <w:p w:rsidR="003B2842" w:rsidRPr="004D451D" w:rsidRDefault="003B2842" w:rsidP="00FB03BE">
            <w:pPr>
              <w:spacing w:beforeLines="50" w:before="180" w:line="240" w:lineRule="exact"/>
              <w:ind w:left="480" w:hangingChars="200" w:hanging="480"/>
              <w:rPr>
                <w:rFonts w:ascii="標楷體" w:eastAsia="標楷體" w:hAnsi="標楷體"/>
              </w:rPr>
            </w:pPr>
            <w:r w:rsidRPr="004D451D">
              <w:rPr>
                <w:rFonts w:ascii="標楷體" w:eastAsia="標楷體" w:hAnsi="標楷體" w:hint="eastAsia"/>
              </w:rPr>
              <w:t>3.風險管理委員會</w:t>
            </w:r>
          </w:p>
          <w:p w:rsidR="003B2842" w:rsidRPr="004D451D" w:rsidRDefault="003B2842" w:rsidP="00FB03BE">
            <w:pPr>
              <w:spacing w:beforeLines="50" w:before="180" w:line="240" w:lineRule="exact"/>
              <w:ind w:leftChars="100" w:left="240"/>
              <w:rPr>
                <w:rFonts w:ascii="標楷體" w:eastAsia="標楷體" w:hAnsi="標楷體"/>
              </w:rPr>
            </w:pPr>
            <w:r w:rsidRPr="004D451D">
              <w:rPr>
                <w:rFonts w:ascii="標楷體" w:eastAsia="標楷體" w:hint="eastAsia"/>
              </w:rPr>
              <w:t>負責執行董事會核定之</w:t>
            </w:r>
            <w:r w:rsidRPr="004D451D">
              <w:rPr>
                <w:rFonts w:ascii="標楷體" w:eastAsia="標楷體" w:cs="標楷體" w:hint="eastAsia"/>
              </w:rPr>
              <w:t>銀行簿利率風險</w:t>
            </w:r>
            <w:r w:rsidRPr="004D451D">
              <w:rPr>
                <w:rFonts w:ascii="標楷體" w:eastAsia="標楷體" w:hint="eastAsia"/>
              </w:rPr>
              <w:t>管理決策，協調有關</w:t>
            </w:r>
            <w:r w:rsidRPr="004D451D">
              <w:rPr>
                <w:rFonts w:ascii="標楷體" w:eastAsia="標楷體" w:cs="標楷體" w:hint="eastAsia"/>
              </w:rPr>
              <w:t>銀行簿利率風險</w:t>
            </w:r>
            <w:r w:rsidRPr="004D451D">
              <w:rPr>
                <w:rFonts w:ascii="標楷體" w:eastAsia="標楷體" w:hint="eastAsia"/>
              </w:rPr>
              <w:t>管理事宜，持續監督風險管理執行的績效</w:t>
            </w:r>
            <w:r w:rsidRPr="004D451D">
              <w:rPr>
                <w:rFonts w:ascii="標楷體" w:eastAsia="標楷體" w:hAnsi="標楷體" w:hint="eastAsia"/>
              </w:rPr>
              <w:t>。</w:t>
            </w:r>
          </w:p>
          <w:p w:rsidR="003B2842" w:rsidRPr="004D451D" w:rsidRDefault="003B2842" w:rsidP="00FB03BE">
            <w:pPr>
              <w:spacing w:beforeLines="50" w:before="180" w:line="240" w:lineRule="exact"/>
              <w:rPr>
                <w:rFonts w:ascii="標楷體" w:eastAsia="標楷體" w:hAnsi="標楷體"/>
              </w:rPr>
            </w:pPr>
            <w:r w:rsidRPr="004D451D">
              <w:rPr>
                <w:rFonts w:ascii="標楷體" w:eastAsia="標楷體" w:hAnsi="標楷體" w:hint="eastAsia"/>
              </w:rPr>
              <w:t>4.風險管理部</w:t>
            </w:r>
          </w:p>
          <w:p w:rsidR="003B2842" w:rsidRPr="004D451D" w:rsidRDefault="003B2842" w:rsidP="00FB03BE">
            <w:pPr>
              <w:spacing w:beforeLines="50" w:before="180" w:line="240" w:lineRule="exact"/>
              <w:ind w:leftChars="100" w:left="240"/>
              <w:rPr>
                <w:rFonts w:ascii="標楷體" w:eastAsia="標楷體" w:hAnsi="標楷體"/>
              </w:rPr>
            </w:pPr>
            <w:r w:rsidRPr="004D451D">
              <w:rPr>
                <w:rFonts w:ascii="標楷體" w:eastAsia="標楷體" w:hAnsi="標楷體" w:hint="eastAsia"/>
              </w:rPr>
              <w:t>負責規劃、建置及整合本行</w:t>
            </w:r>
            <w:r w:rsidRPr="004D451D">
              <w:rPr>
                <w:rFonts w:ascii="標楷體" w:eastAsia="標楷體" w:cs="標楷體" w:hint="eastAsia"/>
              </w:rPr>
              <w:t>銀行簿利率風險</w:t>
            </w:r>
            <w:r w:rsidRPr="004D451D">
              <w:rPr>
                <w:rFonts w:ascii="標楷體" w:eastAsia="標楷體" w:hAnsi="標楷體" w:hint="eastAsia"/>
              </w:rPr>
              <w:t>管理作業，執行全行整體</w:t>
            </w:r>
            <w:r w:rsidRPr="004D451D">
              <w:rPr>
                <w:rFonts w:ascii="標楷體" w:eastAsia="標楷體" w:cs="標楷體" w:hint="eastAsia"/>
              </w:rPr>
              <w:t>銀行簿利率風險</w:t>
            </w:r>
            <w:r w:rsidRPr="004D451D">
              <w:rPr>
                <w:rFonts w:ascii="標楷體" w:eastAsia="標楷體" w:hAnsi="標楷體" w:hint="eastAsia"/>
              </w:rPr>
              <w:t>管理監控工作，評估經濟價值或盈餘受利率波動造成之變動影響，定期彙總全行</w:t>
            </w:r>
            <w:r w:rsidRPr="004D451D">
              <w:rPr>
                <w:rFonts w:ascii="標楷體" w:eastAsia="標楷體" w:cs="標楷體" w:hint="eastAsia"/>
              </w:rPr>
              <w:t>銀行簿利率風險管理</w:t>
            </w:r>
            <w:r w:rsidRPr="004D451D">
              <w:rPr>
                <w:rFonts w:ascii="標楷體" w:eastAsia="標楷體" w:hAnsi="標楷體" w:hint="eastAsia"/>
              </w:rPr>
              <w:t>資訊提報風險管理委員會及董事會，並依主管機關規定揭露</w:t>
            </w:r>
            <w:r w:rsidRPr="004D451D">
              <w:rPr>
                <w:rFonts w:ascii="標楷體" w:eastAsia="標楷體" w:cs="標楷體" w:hint="eastAsia"/>
              </w:rPr>
              <w:t>風險</w:t>
            </w:r>
            <w:r w:rsidRPr="004D451D">
              <w:rPr>
                <w:rFonts w:ascii="標楷體" w:eastAsia="標楷體" w:hAnsi="標楷體" w:hint="eastAsia"/>
              </w:rPr>
              <w:t>管理資訊。</w:t>
            </w:r>
          </w:p>
          <w:p w:rsidR="003B2842" w:rsidRPr="004D451D" w:rsidRDefault="003B2842" w:rsidP="00FB03BE">
            <w:pPr>
              <w:spacing w:beforeLines="50" w:before="180" w:line="240" w:lineRule="exact"/>
              <w:rPr>
                <w:rFonts w:ascii="標楷體" w:eastAsia="標楷體"/>
              </w:rPr>
            </w:pPr>
            <w:r w:rsidRPr="004D451D">
              <w:rPr>
                <w:rFonts w:ascii="標楷體" w:eastAsia="標楷體" w:hint="eastAsia"/>
              </w:rPr>
              <w:t>5.總行各業務主管單位</w:t>
            </w:r>
          </w:p>
          <w:p w:rsidR="003B2842" w:rsidRPr="004D451D" w:rsidRDefault="003B2842" w:rsidP="00FB03BE">
            <w:pPr>
              <w:spacing w:beforeLines="50" w:before="180" w:line="240" w:lineRule="exact"/>
              <w:ind w:leftChars="100" w:left="240"/>
              <w:rPr>
                <w:rFonts w:ascii="標楷體" w:eastAsia="標楷體" w:hAnsi="標楷體"/>
              </w:rPr>
            </w:pPr>
            <w:r w:rsidRPr="004D451D">
              <w:rPr>
                <w:rFonts w:ascii="標楷體" w:eastAsia="標楷體" w:hint="eastAsia"/>
              </w:rPr>
              <w:t>負責訂定、管理其所涉</w:t>
            </w:r>
            <w:r w:rsidRPr="004D451D">
              <w:rPr>
                <w:rFonts w:ascii="標楷體" w:eastAsia="標楷體" w:cs="標楷體" w:hint="eastAsia"/>
              </w:rPr>
              <w:t>銀行簿利率風險之</w:t>
            </w:r>
            <w:r w:rsidRPr="004D451D">
              <w:rPr>
                <w:rFonts w:ascii="標楷體" w:eastAsia="標楷體" w:hint="eastAsia"/>
              </w:rPr>
              <w:t>規章及作業流程</w:t>
            </w:r>
            <w:r w:rsidRPr="004D451D">
              <w:rPr>
                <w:rFonts w:ascii="標楷體" w:eastAsia="標楷體"/>
                <w:lang w:val="zh-TW"/>
              </w:rPr>
              <w:t>，</w:t>
            </w:r>
            <w:r w:rsidRPr="004D451D">
              <w:rPr>
                <w:rFonts w:ascii="標楷體" w:eastAsia="標楷體" w:hint="eastAsia"/>
                <w:lang w:val="zh-TW"/>
              </w:rPr>
              <w:t>協助風險管理部</w:t>
            </w:r>
            <w:r w:rsidRPr="004D451D">
              <w:rPr>
                <w:rFonts w:ascii="標楷體" w:eastAsia="標楷體" w:cs="標楷體" w:hint="eastAsia"/>
              </w:rPr>
              <w:t>管理與其業務相關之利率風險部位</w:t>
            </w:r>
            <w:r w:rsidRPr="004D451D">
              <w:rPr>
                <w:rFonts w:ascii="標楷體" w:eastAsia="標楷體" w:hint="eastAsia"/>
              </w:rPr>
              <w:t>。</w:t>
            </w:r>
          </w:p>
          <w:p w:rsidR="003B2842" w:rsidRPr="004D451D" w:rsidRDefault="003B2842" w:rsidP="00FB03BE">
            <w:pPr>
              <w:spacing w:beforeLines="50" w:before="180" w:line="240" w:lineRule="exact"/>
              <w:rPr>
                <w:rFonts w:ascii="標楷體" w:eastAsia="標楷體" w:hAnsi="標楷體"/>
                <w:szCs w:val="28"/>
              </w:rPr>
            </w:pPr>
            <w:r w:rsidRPr="004D451D">
              <w:rPr>
                <w:rFonts w:ascii="標楷體" w:eastAsia="標楷體" w:hint="eastAsia"/>
              </w:rPr>
              <w:t>6.全行各單位</w:t>
            </w:r>
            <w:r w:rsidRPr="004D451D">
              <w:rPr>
                <w:rFonts w:ascii="標楷體" w:eastAsia="標楷體" w:hAnsi="標楷體" w:hint="eastAsia"/>
                <w:szCs w:val="28"/>
              </w:rPr>
              <w:t>(含業務交易單位)</w:t>
            </w:r>
          </w:p>
          <w:p w:rsidR="003B2842" w:rsidRPr="004D451D" w:rsidRDefault="003B2842" w:rsidP="00FB03BE">
            <w:pPr>
              <w:spacing w:beforeLines="50" w:before="180" w:line="240" w:lineRule="exact"/>
              <w:ind w:leftChars="100" w:left="240"/>
              <w:rPr>
                <w:rFonts w:ascii="標楷體" w:eastAsia="標楷體" w:hAnsi="標楷體" w:cs="Arial"/>
              </w:rPr>
            </w:pPr>
            <w:r w:rsidRPr="004D451D">
              <w:rPr>
                <w:rFonts w:ascii="標楷體" w:eastAsia="標楷體" w:hint="eastAsia"/>
              </w:rPr>
              <w:t>負責辨識</w:t>
            </w:r>
            <w:r w:rsidRPr="004D451D">
              <w:rPr>
                <w:rFonts w:ascii="標楷體" w:eastAsia="標楷體" w:cs="標楷體" w:hint="eastAsia"/>
              </w:rPr>
              <w:t>銀行簿利率風險</w:t>
            </w:r>
            <w:r w:rsidRPr="004D451D">
              <w:rPr>
                <w:rFonts w:ascii="標楷體" w:eastAsia="標楷體" w:hint="eastAsia"/>
              </w:rPr>
              <w:t>，配合執行</w:t>
            </w:r>
            <w:r w:rsidRPr="004D451D">
              <w:rPr>
                <w:rFonts w:ascii="標楷體" w:eastAsia="標楷體" w:cs="標楷體" w:hint="eastAsia"/>
              </w:rPr>
              <w:t>銀行簿利率風險</w:t>
            </w:r>
            <w:r w:rsidRPr="004D451D">
              <w:rPr>
                <w:rFonts w:ascii="標楷體" w:eastAsia="標楷體" w:hint="eastAsia"/>
              </w:rPr>
              <w:t>管理決策，並採取經總經理核定之風險沖抵處理方法或因應措施，</w:t>
            </w:r>
            <w:r w:rsidRPr="004D451D">
              <w:rPr>
                <w:rFonts w:ascii="標楷體" w:eastAsia="標楷體" w:cs="標楷體" w:hint="eastAsia"/>
              </w:rPr>
              <w:t>操作調整資產負債表內及表外之利率暴險部位</w:t>
            </w:r>
            <w:r w:rsidRPr="004D451D">
              <w:rPr>
                <w:rFonts w:ascii="標楷體" w:eastAsia="標楷體" w:hint="eastAsia"/>
              </w:rPr>
              <w:t>。</w:t>
            </w:r>
          </w:p>
        </w:tc>
      </w:tr>
      <w:tr w:rsidR="004D451D" w:rsidRPr="004D451D" w:rsidTr="003B2842">
        <w:trPr>
          <w:trHeight w:val="699"/>
          <w:jc w:val="center"/>
        </w:trPr>
        <w:tc>
          <w:tcPr>
            <w:tcW w:w="1737" w:type="pct"/>
            <w:vAlign w:val="center"/>
          </w:tcPr>
          <w:p w:rsidR="003B2842" w:rsidRPr="004D451D" w:rsidRDefault="003B2842" w:rsidP="00482E54">
            <w:pPr>
              <w:pStyle w:val="affb"/>
              <w:numPr>
                <w:ilvl w:val="0"/>
                <w:numId w:val="70"/>
              </w:numPr>
              <w:spacing w:before="120" w:after="120"/>
              <w:ind w:leftChars="0"/>
              <w:rPr>
                <w:rFonts w:eastAsia="標楷體"/>
              </w:rPr>
            </w:pPr>
            <w:r w:rsidRPr="004D451D">
              <w:rPr>
                <w:rFonts w:eastAsia="標楷體"/>
              </w:rPr>
              <w:t>銀行簿利率風險報告</w:t>
            </w:r>
            <w:r w:rsidRPr="004D451D">
              <w:rPr>
                <w:rFonts w:eastAsia="標楷體"/>
              </w:rPr>
              <w:t>/</w:t>
            </w:r>
            <w:r w:rsidRPr="004D451D">
              <w:rPr>
                <w:rFonts w:eastAsia="標楷體"/>
              </w:rPr>
              <w:t>衡量系統的範圍、特點與頻率</w:t>
            </w:r>
          </w:p>
        </w:tc>
        <w:tc>
          <w:tcPr>
            <w:tcW w:w="3263" w:type="pct"/>
          </w:tcPr>
          <w:p w:rsidR="003B2842" w:rsidRPr="004D451D" w:rsidRDefault="003B2842" w:rsidP="00FB03BE">
            <w:pPr>
              <w:spacing w:before="120" w:after="120" w:line="240" w:lineRule="exact"/>
              <w:rPr>
                <w:rFonts w:ascii="標楷體" w:eastAsia="標楷體" w:hAnsi="標楷體"/>
              </w:rPr>
            </w:pPr>
            <w:r w:rsidRPr="004D451D">
              <w:rPr>
                <w:rFonts w:ascii="標楷體" w:eastAsia="標楷體" w:hAnsi="標楷體" w:hint="eastAsia"/>
              </w:rPr>
              <w:t>本行風險管理部以「銀行簿部位對經濟價值影響之標準利率震盪與法定資本比率」為監控管理指標，以</w:t>
            </w:r>
            <w:r w:rsidRPr="004D451D">
              <w:rPr>
                <w:rFonts w:ascii="標楷體" w:eastAsia="標楷體" w:cs="標楷體" w:hint="eastAsia"/>
                <w:kern w:val="0"/>
              </w:rPr>
              <w:t>控制本行銀行簿利率風險於可承受範圍，</w:t>
            </w:r>
            <w:r w:rsidRPr="004D451D">
              <w:rPr>
                <w:rFonts w:ascii="標楷體" w:eastAsia="標楷體" w:hAnsi="標楷體" w:hint="eastAsia"/>
              </w:rPr>
              <w:t>按月呈報風險管理委員會，與上月比較並分析變化情形，提供高階主管正確、一致、即時的資訊，作為其決策之參考，並揭露於風險控管報告每季提報董事會，風險控管報告內容及範圍為:</w:t>
            </w:r>
          </w:p>
          <w:p w:rsidR="003B2842" w:rsidRPr="004D451D" w:rsidRDefault="003B2842" w:rsidP="00FB03BE">
            <w:pPr>
              <w:spacing w:before="120" w:after="120" w:line="240" w:lineRule="exact"/>
              <w:rPr>
                <w:rFonts w:ascii="標楷體" w:eastAsia="標楷體" w:hAnsi="標楷體"/>
              </w:rPr>
            </w:pPr>
            <w:r w:rsidRPr="004D451D">
              <w:rPr>
                <w:rFonts w:ascii="標楷體" w:eastAsia="標楷體" w:hAnsi="標楷體" w:hint="eastAsia"/>
              </w:rPr>
              <w:t>(一)衡量指標：</w:t>
            </w:r>
          </w:p>
          <w:p w:rsidR="003B2842" w:rsidRPr="004D451D" w:rsidRDefault="003B2842" w:rsidP="00FB03BE">
            <w:pPr>
              <w:spacing w:before="120" w:after="120" w:line="240" w:lineRule="exact"/>
              <w:ind w:firstLineChars="100" w:firstLine="240"/>
              <w:rPr>
                <w:rFonts w:ascii="標楷體" w:eastAsia="標楷體" w:hAnsi="標楷體"/>
              </w:rPr>
            </w:pPr>
            <w:r w:rsidRPr="004D451D">
              <w:rPr>
                <w:rFonts w:ascii="標楷體" w:eastAsia="標楷體" w:hAnsi="標楷體" w:hint="eastAsia"/>
              </w:rPr>
              <w:t>1.盈餘觀點(利率風險預警與呈報)</w:t>
            </w:r>
          </w:p>
          <w:p w:rsidR="003B2842" w:rsidRPr="004D451D" w:rsidRDefault="003B2842" w:rsidP="00FB03BE">
            <w:pPr>
              <w:spacing w:before="120" w:after="120" w:line="240" w:lineRule="exact"/>
              <w:ind w:leftChars="100" w:left="480" w:hangingChars="100" w:hanging="240"/>
              <w:rPr>
                <w:rFonts w:ascii="標楷體" w:eastAsia="標楷體" w:hAnsi="標楷體"/>
              </w:rPr>
            </w:pPr>
            <w:r w:rsidRPr="004D451D">
              <w:rPr>
                <w:rFonts w:ascii="標楷體" w:eastAsia="標楷體" w:hAnsi="標楷體" w:hint="eastAsia"/>
              </w:rPr>
              <w:t>2.經濟價值觀點(銀行簿部位對經濟價值影響之標準利率震盪與法定資本比率)</w:t>
            </w:r>
          </w:p>
          <w:p w:rsidR="003B2842" w:rsidRPr="004D451D" w:rsidRDefault="003B2842" w:rsidP="00FB03BE">
            <w:pPr>
              <w:spacing w:before="120" w:after="120" w:line="240" w:lineRule="exact"/>
              <w:ind w:firstLineChars="100" w:firstLine="240"/>
              <w:rPr>
                <w:rFonts w:ascii="標楷體" w:eastAsia="標楷體" w:hAnsi="標楷體"/>
              </w:rPr>
            </w:pPr>
            <w:r w:rsidRPr="004D451D">
              <w:rPr>
                <w:rFonts w:ascii="標楷體" w:eastAsia="標楷體" w:hAnsi="標楷體" w:hint="eastAsia"/>
              </w:rPr>
              <w:t>3.集中度(前三大集中帶)</w:t>
            </w:r>
          </w:p>
          <w:p w:rsidR="003B2842" w:rsidRPr="004D451D" w:rsidRDefault="003B2842" w:rsidP="00FB03BE">
            <w:pPr>
              <w:spacing w:before="120" w:after="120" w:line="240" w:lineRule="exact"/>
              <w:rPr>
                <w:rFonts w:ascii="標楷體" w:eastAsia="標楷體" w:hAnsi="標楷體"/>
              </w:rPr>
            </w:pPr>
            <w:r w:rsidRPr="004D451D">
              <w:rPr>
                <w:rFonts w:ascii="標楷體" w:eastAsia="標楷體" w:hAnsi="標楷體" w:hint="eastAsia"/>
              </w:rPr>
              <w:t>(二)壓力測試：</w:t>
            </w:r>
          </w:p>
          <w:p w:rsidR="003B2842" w:rsidRPr="004D451D" w:rsidRDefault="003B2842" w:rsidP="00FB03BE">
            <w:pPr>
              <w:spacing w:before="120" w:after="120" w:line="240" w:lineRule="exact"/>
              <w:ind w:leftChars="116" w:left="518" w:hangingChars="100" w:hanging="240"/>
              <w:rPr>
                <w:rFonts w:ascii="標楷體" w:eastAsia="標楷體" w:hAnsi="標楷體"/>
                <w:bCs/>
                <w:kern w:val="0"/>
              </w:rPr>
            </w:pPr>
            <w:r w:rsidRPr="004D451D">
              <w:rPr>
                <w:rFonts w:ascii="標楷體" w:eastAsia="標楷體" w:hAnsi="標楷體" w:hint="eastAsia"/>
              </w:rPr>
              <w:t>1.</w:t>
            </w:r>
            <w:r w:rsidRPr="004D451D">
              <w:rPr>
                <w:rFonts w:ascii="標楷體" w:eastAsia="標楷體" w:hAnsi="標楷體"/>
                <w:bCs/>
                <w:kern w:val="0"/>
              </w:rPr>
              <w:t>利率變動對</w:t>
            </w:r>
            <w:r w:rsidRPr="004D451D">
              <w:rPr>
                <w:rFonts w:ascii="標楷體" w:eastAsia="標楷體" w:hAnsi="標楷體"/>
              </w:rPr>
              <w:t>未來1年「</w:t>
            </w:r>
            <w:r w:rsidRPr="004D451D">
              <w:rPr>
                <w:rFonts w:ascii="標楷體" w:eastAsia="標楷體" w:hAnsi="標楷體"/>
                <w:bCs/>
                <w:kern w:val="0"/>
              </w:rPr>
              <w:t>盈餘</w:t>
            </w:r>
            <w:r w:rsidRPr="004D451D">
              <w:rPr>
                <w:rFonts w:ascii="標楷體" w:eastAsia="標楷體" w:hAnsi="標楷體"/>
              </w:rPr>
              <w:t>」</w:t>
            </w:r>
            <w:r w:rsidRPr="004D451D">
              <w:rPr>
                <w:rFonts w:ascii="標楷體" w:eastAsia="標楷體" w:hAnsi="標楷體"/>
                <w:bCs/>
                <w:kern w:val="0"/>
              </w:rPr>
              <w:t>所產生的影響</w:t>
            </w:r>
          </w:p>
          <w:p w:rsidR="003B2842" w:rsidRPr="004D451D" w:rsidRDefault="003B2842" w:rsidP="00FB03BE">
            <w:pPr>
              <w:spacing w:before="120" w:after="120" w:line="240" w:lineRule="exact"/>
              <w:ind w:leftChars="16" w:left="38" w:firstLineChars="100" w:firstLine="240"/>
              <w:rPr>
                <w:rFonts w:ascii="標楷體" w:eastAsia="標楷體" w:hAnsi="標楷體"/>
                <w:bCs/>
                <w:kern w:val="0"/>
              </w:rPr>
            </w:pPr>
            <w:r w:rsidRPr="004D451D">
              <w:rPr>
                <w:rFonts w:ascii="標楷體" w:eastAsia="標楷體" w:hAnsi="標楷體" w:hint="eastAsia"/>
                <w:bCs/>
                <w:kern w:val="0"/>
              </w:rPr>
              <w:t>2.</w:t>
            </w:r>
            <w:r w:rsidRPr="004D451D">
              <w:rPr>
                <w:rFonts w:ascii="標楷體" w:eastAsia="標楷體" w:hAnsi="標楷體"/>
                <w:bCs/>
                <w:kern w:val="0"/>
              </w:rPr>
              <w:t>利率變動對經濟價值所產生的影響</w:t>
            </w:r>
          </w:p>
          <w:p w:rsidR="003B2842" w:rsidRPr="004D451D" w:rsidRDefault="003B2842" w:rsidP="00A837D8">
            <w:pPr>
              <w:spacing w:before="120" w:after="120" w:line="240" w:lineRule="exact"/>
              <w:ind w:left="480" w:hangingChars="200" w:hanging="480"/>
              <w:rPr>
                <w:rFonts w:ascii="標楷體" w:eastAsia="標楷體" w:hAnsi="標楷體"/>
                <w:bCs/>
                <w:kern w:val="0"/>
              </w:rPr>
            </w:pPr>
            <w:r w:rsidRPr="004D451D">
              <w:rPr>
                <w:rFonts w:ascii="標楷體" w:eastAsia="標楷體" w:hAnsi="標楷體" w:hint="eastAsia"/>
                <w:bCs/>
                <w:kern w:val="0"/>
              </w:rPr>
              <w:t>(三)「債票券投資組合」利率風險限額控管(本行從事債券投資，債票券投資組合之DVO1不得超過本行前一年底淨值之</w:t>
            </w:r>
            <w:r w:rsidR="00A837D8" w:rsidRPr="004D451D">
              <w:rPr>
                <w:rFonts w:ascii="標楷體" w:eastAsia="標楷體" w:hAnsi="標楷體" w:hint="eastAsia"/>
                <w:bCs/>
                <w:kern w:val="0"/>
              </w:rPr>
              <w:t>0.3</w:t>
            </w:r>
            <w:r w:rsidRPr="004D451D">
              <w:rPr>
                <w:rFonts w:ascii="標楷體" w:eastAsia="標楷體" w:hAnsi="標楷體" w:hint="eastAsia"/>
                <w:bCs/>
                <w:kern w:val="0"/>
              </w:rPr>
              <w:t>%)。由資訊部門及各業務主管單位提供風險管理部相關電子檔案或書面資料等資訊，以有效掌握整體暴險部位與提供適當之風險衡量結果，協助銀行簿利率風險管理。</w:t>
            </w:r>
          </w:p>
        </w:tc>
      </w:tr>
      <w:tr w:rsidR="003B2842" w:rsidRPr="004D451D" w:rsidTr="003B2842">
        <w:trPr>
          <w:trHeight w:val="704"/>
          <w:jc w:val="center"/>
        </w:trPr>
        <w:tc>
          <w:tcPr>
            <w:tcW w:w="1737" w:type="pct"/>
            <w:vAlign w:val="center"/>
          </w:tcPr>
          <w:p w:rsidR="003B2842" w:rsidRPr="004D451D" w:rsidRDefault="003B2842" w:rsidP="00482E54">
            <w:pPr>
              <w:pStyle w:val="affb"/>
              <w:numPr>
                <w:ilvl w:val="0"/>
                <w:numId w:val="70"/>
              </w:numPr>
              <w:spacing w:before="120" w:after="120"/>
              <w:ind w:leftChars="0"/>
              <w:rPr>
                <w:rFonts w:eastAsia="標楷體"/>
              </w:rPr>
            </w:pPr>
            <w:r w:rsidRPr="004D451D">
              <w:rPr>
                <w:rFonts w:eastAsia="標楷體"/>
              </w:rPr>
              <w:t>銀行簿利率風險避險</w:t>
            </w:r>
            <w:r w:rsidRPr="004D451D">
              <w:rPr>
                <w:rFonts w:eastAsia="標楷體"/>
              </w:rPr>
              <w:t>/</w:t>
            </w:r>
            <w:r w:rsidRPr="004D451D">
              <w:rPr>
                <w:rFonts w:eastAsia="標楷體"/>
              </w:rPr>
              <w:t>抵減風險的政策，及監控規避</w:t>
            </w:r>
            <w:r w:rsidRPr="004D451D">
              <w:rPr>
                <w:rFonts w:eastAsia="標楷體"/>
              </w:rPr>
              <w:t>/</w:t>
            </w:r>
            <w:r w:rsidRPr="004D451D">
              <w:rPr>
                <w:rFonts w:eastAsia="標楷體"/>
              </w:rPr>
              <w:t>抵減風險工具持續有效性的策略與流程</w:t>
            </w:r>
          </w:p>
        </w:tc>
        <w:tc>
          <w:tcPr>
            <w:tcW w:w="3263" w:type="pct"/>
          </w:tcPr>
          <w:p w:rsidR="003B2842" w:rsidRPr="004D451D" w:rsidRDefault="003B2842" w:rsidP="003B2842">
            <w:pPr>
              <w:pStyle w:val="ab"/>
              <w:spacing w:beforeLines="50" w:before="180" w:afterLines="50" w:after="180" w:line="240" w:lineRule="exact"/>
              <w:rPr>
                <w:rFonts w:ascii="標楷體" w:hAnsi="標楷體"/>
              </w:rPr>
            </w:pPr>
            <w:r w:rsidRPr="004D451D">
              <w:rPr>
                <w:rFonts w:ascii="標楷體" w:hAnsi="標楷體" w:hint="eastAsia"/>
                <w:szCs w:val="28"/>
              </w:rPr>
              <w:t>辦理</w:t>
            </w:r>
            <w:r w:rsidRPr="004D451D">
              <w:rPr>
                <w:rFonts w:ascii="標楷體" w:hAnsi="標楷體" w:hint="eastAsia"/>
              </w:rPr>
              <w:t>銀行簿</w:t>
            </w:r>
            <w:r w:rsidRPr="004D451D">
              <w:rPr>
                <w:rFonts w:ascii="標楷體" w:cs="標楷體" w:hint="eastAsia"/>
                <w:kern w:val="0"/>
              </w:rPr>
              <w:t>利率</w:t>
            </w:r>
            <w:r w:rsidRPr="004D451D">
              <w:rPr>
                <w:rFonts w:ascii="標楷體" w:hAnsi="標楷體" w:hint="eastAsia"/>
                <w:bCs/>
                <w:szCs w:val="28"/>
              </w:rPr>
              <w:t>風險相關業務及交易時，評估該事件或交易</w:t>
            </w:r>
            <w:r w:rsidRPr="004D451D">
              <w:rPr>
                <w:rFonts w:ascii="標楷體" w:hAnsi="標楷體" w:hint="eastAsia"/>
                <w:szCs w:val="28"/>
              </w:rPr>
              <w:t>損失發生機率</w:t>
            </w:r>
            <w:r w:rsidRPr="004D451D">
              <w:rPr>
                <w:rFonts w:ascii="標楷體" w:hAnsi="標楷體" w:hint="eastAsia"/>
                <w:bCs/>
              </w:rPr>
              <w:t>高低與</w:t>
            </w:r>
            <w:r w:rsidRPr="004D451D">
              <w:rPr>
                <w:rFonts w:ascii="標楷體" w:hAnsi="標楷體" w:hint="eastAsia"/>
              </w:rPr>
              <w:t>損失嚴重性大小，</w:t>
            </w:r>
            <w:r w:rsidRPr="004D451D">
              <w:rPr>
                <w:rFonts w:ascii="標楷體" w:hAnsi="標楷體" w:hint="eastAsia"/>
                <w:bCs/>
                <w:szCs w:val="28"/>
              </w:rPr>
              <w:t>採用</w:t>
            </w:r>
            <w:r w:rsidRPr="004D451D">
              <w:rPr>
                <w:rFonts w:ascii="標楷體" w:hAnsi="標楷體" w:hint="eastAsia"/>
                <w:szCs w:val="28"/>
              </w:rPr>
              <w:t>風險迴避、風險抵減或移轉、風險控制、風險承擔等對策。</w:t>
            </w:r>
          </w:p>
          <w:p w:rsidR="003B2842" w:rsidRPr="004D451D" w:rsidRDefault="003B2842" w:rsidP="00FB03BE">
            <w:pPr>
              <w:spacing w:before="120" w:after="120" w:line="240" w:lineRule="exact"/>
              <w:rPr>
                <w:rFonts w:ascii="標楷體" w:eastAsia="標楷體" w:hAnsi="標楷體" w:cs="Arial"/>
              </w:rPr>
            </w:pPr>
            <w:r w:rsidRPr="004D451D">
              <w:rPr>
                <w:rFonts w:ascii="標楷體" w:eastAsia="標楷體" w:hAnsi="標楷體" w:hint="eastAsia"/>
                <w:szCs w:val="28"/>
              </w:rPr>
              <w:t>如遇有可能嚴重影響本行盈餘或經濟價值等特殊狀況時，</w:t>
            </w:r>
            <w:r w:rsidRPr="004D451D">
              <w:rPr>
                <w:rFonts w:ascii="標楷體" w:eastAsia="標楷體" w:hAnsi="標楷體" w:hint="eastAsia"/>
              </w:rPr>
              <w:t>風險管理部或總行各業務主管單位應向總經理呈報，並採取合宜之風險沖抵處理方法或因</w:t>
            </w:r>
            <w:r w:rsidRPr="004D451D">
              <w:rPr>
                <w:rFonts w:ascii="標楷體" w:eastAsia="標楷體" w:hAnsi="標楷體" w:hint="eastAsia"/>
                <w:szCs w:val="28"/>
              </w:rPr>
              <w:t>應措施，以降低銀行簿利率敏感性淨影響部位或提高本行資本。</w:t>
            </w:r>
          </w:p>
        </w:tc>
      </w:tr>
    </w:tbl>
    <w:p w:rsidR="00693508" w:rsidRPr="004D451D" w:rsidRDefault="00693508" w:rsidP="00693508">
      <w:pPr>
        <w:spacing w:afterLines="50" w:after="180"/>
        <w:outlineLvl w:val="0"/>
      </w:pPr>
    </w:p>
    <w:p w:rsidR="0095647E" w:rsidRPr="004D451D" w:rsidRDefault="0095647E" w:rsidP="00235979">
      <w:pPr>
        <w:spacing w:line="240" w:lineRule="atLeast"/>
        <w:outlineLvl w:val="0"/>
        <w:rPr>
          <w:rFonts w:eastAsia="標楷體"/>
          <w:b/>
        </w:rPr>
      </w:pPr>
      <w:r w:rsidRPr="004D451D">
        <w:rPr>
          <w:rFonts w:eastAsia="標楷體"/>
          <w:b/>
        </w:rPr>
        <w:t>填表說明：</w:t>
      </w:r>
    </w:p>
    <w:p w:rsidR="0095647E" w:rsidRPr="004D451D" w:rsidRDefault="0095647E" w:rsidP="009F53B0">
      <w:pPr>
        <w:pStyle w:val="affb"/>
        <w:numPr>
          <w:ilvl w:val="0"/>
          <w:numId w:val="104"/>
        </w:numPr>
        <w:spacing w:line="240" w:lineRule="atLeast"/>
        <w:ind w:leftChars="0"/>
        <w:outlineLvl w:val="0"/>
        <w:rPr>
          <w:rFonts w:eastAsia="標楷體"/>
        </w:rPr>
      </w:pPr>
      <w:r w:rsidRPr="004D451D">
        <w:rPr>
          <w:rFonts w:eastAsia="標楷體"/>
        </w:rPr>
        <w:t>本表更新頻率：年。</w:t>
      </w:r>
    </w:p>
    <w:p w:rsidR="0095647E" w:rsidRPr="004D451D" w:rsidRDefault="0095647E" w:rsidP="00693508">
      <w:pPr>
        <w:spacing w:afterLines="50" w:after="180"/>
        <w:outlineLvl w:val="0"/>
        <w:rPr>
          <w:rFonts w:eastAsia="標楷體"/>
        </w:rPr>
      </w:pPr>
    </w:p>
    <w:p w:rsidR="00693508" w:rsidRPr="004D451D" w:rsidRDefault="00693508" w:rsidP="00693508">
      <w:pPr>
        <w:rPr>
          <w:rFonts w:ascii="標楷體" w:eastAsia="標楷體" w:hAnsi="標楷體" w:cs="Arial"/>
          <w:b/>
          <w:kern w:val="0"/>
          <w:sz w:val="28"/>
          <w:szCs w:val="28"/>
        </w:rPr>
      </w:pPr>
      <w:r w:rsidRPr="004D451D">
        <w:br w:type="page"/>
      </w:r>
      <w:r w:rsidRPr="004D451D">
        <w:rPr>
          <w:rFonts w:ascii="標楷體" w:eastAsia="標楷體" w:hAnsi="標楷體" w:cs="Arial" w:hint="eastAsia"/>
          <w:b/>
          <w:kern w:val="0"/>
          <w:sz w:val="32"/>
          <w:szCs w:val="32"/>
        </w:rPr>
        <w:t>【附表</w:t>
      </w:r>
      <w:r w:rsidR="00C14D79" w:rsidRPr="004D451D">
        <w:rPr>
          <w:rFonts w:ascii="標楷體" w:eastAsia="標楷體" w:hAnsi="標楷體" w:cs="Arial" w:hint="eastAsia"/>
          <w:b/>
          <w:kern w:val="0"/>
          <w:sz w:val="32"/>
          <w:szCs w:val="32"/>
        </w:rPr>
        <w:t>五十</w:t>
      </w:r>
      <w:r w:rsidRPr="004D451D">
        <w:rPr>
          <w:rFonts w:ascii="標楷體" w:eastAsia="標楷體" w:hAnsi="標楷體" w:cs="Arial" w:hint="eastAsia"/>
          <w:b/>
          <w:kern w:val="0"/>
          <w:sz w:val="32"/>
          <w:szCs w:val="32"/>
        </w:rPr>
        <w:t>】</w:t>
      </w:r>
    </w:p>
    <w:p w:rsidR="00693508" w:rsidRPr="004D451D" w:rsidRDefault="00693508" w:rsidP="00693508">
      <w:pPr>
        <w:pStyle w:val="ad"/>
        <w:spacing w:beforeLines="100" w:before="360" w:afterLines="100" w:after="360" w:line="240" w:lineRule="auto"/>
        <w:ind w:left="0" w:firstLine="0"/>
        <w:jc w:val="center"/>
        <w:rPr>
          <w:b/>
        </w:rPr>
      </w:pPr>
      <w:r w:rsidRPr="004D451D">
        <w:rPr>
          <w:rFonts w:hint="eastAsia"/>
          <w:b/>
        </w:rPr>
        <w:t>流動性風險管理制度</w:t>
      </w:r>
    </w:p>
    <w:p w:rsidR="00693508" w:rsidRPr="004D451D" w:rsidRDefault="00141736" w:rsidP="00693508">
      <w:pPr>
        <w:pStyle w:val="ad"/>
        <w:spacing w:before="120" w:after="120" w:line="240" w:lineRule="auto"/>
        <w:ind w:left="0" w:firstLine="0"/>
        <w:jc w:val="center"/>
        <w:rPr>
          <w:rFonts w:cs="Arial"/>
          <w:szCs w:val="32"/>
        </w:rPr>
      </w:pPr>
      <w:r w:rsidRPr="004D451D">
        <w:rPr>
          <w:rFonts w:cs="Arial" w:hint="eastAsia"/>
          <w:szCs w:val="32"/>
        </w:rPr>
        <w:t>10</w:t>
      </w:r>
      <w:r w:rsidR="00F0637F" w:rsidRPr="004D451D">
        <w:rPr>
          <w:rFonts w:cs="Arial" w:hint="eastAsia"/>
          <w:szCs w:val="32"/>
        </w:rPr>
        <w:t>7</w:t>
      </w:r>
      <w:r w:rsidR="00693508" w:rsidRPr="004D451D">
        <w:rPr>
          <w:rFonts w:cs="Arial" w:hint="eastAsia"/>
          <w:szCs w:val="32"/>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89"/>
        <w:gridCol w:w="6179"/>
      </w:tblGrid>
      <w:tr w:rsidR="004D451D" w:rsidRPr="004D451D" w:rsidTr="00FB03BE">
        <w:trPr>
          <w:trHeight w:val="307"/>
          <w:tblHeader/>
        </w:trPr>
        <w:tc>
          <w:tcPr>
            <w:tcW w:w="1737" w:type="pct"/>
            <w:vAlign w:val="center"/>
          </w:tcPr>
          <w:p w:rsidR="00693508" w:rsidRPr="004D451D" w:rsidRDefault="00693508" w:rsidP="004B75EF">
            <w:pPr>
              <w:spacing w:before="120" w:after="120"/>
              <w:jc w:val="center"/>
              <w:rPr>
                <w:rFonts w:ascii="標楷體" w:eastAsia="標楷體" w:hAnsi="標楷體" w:cs="Arial"/>
              </w:rPr>
            </w:pPr>
            <w:r w:rsidRPr="004D451D">
              <w:rPr>
                <w:rFonts w:ascii="標楷體" w:eastAsia="標楷體" w:hAnsi="標楷體" w:cs="Arial" w:hint="eastAsia"/>
              </w:rPr>
              <w:t>項</w:t>
            </w:r>
            <w:r w:rsidRPr="004D451D">
              <w:rPr>
                <w:rFonts w:ascii="標楷體" w:eastAsia="標楷體" w:hAnsi="標楷體" w:cs="Arial"/>
              </w:rPr>
              <w:t xml:space="preserve">    </w:t>
            </w:r>
            <w:r w:rsidRPr="004D451D">
              <w:rPr>
                <w:rFonts w:ascii="標楷體" w:eastAsia="標楷體" w:hAnsi="標楷體" w:cs="Arial" w:hint="eastAsia"/>
              </w:rPr>
              <w:t>目</w:t>
            </w:r>
          </w:p>
        </w:tc>
        <w:tc>
          <w:tcPr>
            <w:tcW w:w="3263" w:type="pct"/>
            <w:vAlign w:val="center"/>
          </w:tcPr>
          <w:p w:rsidR="00693508" w:rsidRPr="004D451D" w:rsidRDefault="00693508" w:rsidP="004B75EF">
            <w:pPr>
              <w:spacing w:before="120" w:after="120"/>
              <w:jc w:val="center"/>
              <w:rPr>
                <w:rFonts w:ascii="標楷體" w:eastAsia="標楷體" w:hAnsi="標楷體" w:cs="Arial"/>
              </w:rPr>
            </w:pPr>
            <w:r w:rsidRPr="004D451D">
              <w:rPr>
                <w:rFonts w:ascii="標楷體" w:eastAsia="標楷體" w:hAnsi="標楷體" w:cs="Arial" w:hint="eastAsia"/>
              </w:rPr>
              <w:t>內</w:t>
            </w:r>
            <w:r w:rsidRPr="004D451D">
              <w:rPr>
                <w:rFonts w:ascii="標楷體" w:eastAsia="標楷體" w:hAnsi="標楷體" w:cs="Arial"/>
              </w:rPr>
              <w:t xml:space="preserve">    </w:t>
            </w:r>
            <w:r w:rsidRPr="004D451D">
              <w:rPr>
                <w:rFonts w:ascii="標楷體" w:eastAsia="標楷體" w:hAnsi="標楷體" w:cs="Arial" w:hint="eastAsia"/>
              </w:rPr>
              <w:t>容</w:t>
            </w:r>
          </w:p>
        </w:tc>
      </w:tr>
      <w:tr w:rsidR="004D451D" w:rsidRPr="004D451D" w:rsidTr="00FB03BE">
        <w:trPr>
          <w:trHeight w:val="326"/>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hanging="357"/>
              <w:jc w:val="both"/>
              <w:rPr>
                <w:rFonts w:eastAsia="標楷體"/>
              </w:rPr>
            </w:pPr>
            <w:r w:rsidRPr="004D451D">
              <w:rPr>
                <w:rFonts w:eastAsia="標楷體"/>
                <w:kern w:val="0"/>
              </w:rPr>
              <w:t>流動性風險管理策略與流程</w:t>
            </w:r>
          </w:p>
        </w:tc>
        <w:tc>
          <w:tcPr>
            <w:tcW w:w="3263" w:type="pct"/>
          </w:tcPr>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(1)策略:</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本行之流動性風險管理係以符合中央銀行所頒定「金融機構流動資產與各項負債比率之最低標準」及「金融機構流動性查核要點」相關規定為基本要求，定期編製相關報表加以監控流動性風險，並設定流動準備之預警與呈報機制，以期在流動性安全的範圍內提高流動性資金之運用效益。</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(2)流程:</w:t>
            </w:r>
          </w:p>
          <w:p w:rsidR="00FB03BE" w:rsidRPr="004D451D" w:rsidRDefault="00FB03BE" w:rsidP="00FB03BE">
            <w:pPr>
              <w:spacing w:before="120" w:after="120" w:line="280" w:lineRule="exact"/>
              <w:ind w:left="240" w:hangingChars="100" w:hanging="240"/>
              <w:rPr>
                <w:rFonts w:ascii="標楷體" w:eastAsia="標楷體" w:hAnsi="標楷體" w:cs="Arial"/>
              </w:rPr>
            </w:pPr>
            <w:r w:rsidRPr="004D451D">
              <w:rPr>
                <w:rFonts w:ascii="標楷體" w:eastAsia="標楷體" w:hAnsi="標楷體" w:cs="Arial" w:hint="eastAsia"/>
              </w:rPr>
              <w:t>1.每日依本行「流動性風險管理準則」之規定，編製「資金狀況表」及「新台幣交易合併表」以控管日常資金流量，編製「存款準備金調整表」以監控應提存之存款準備金變動，另編製「流動準備調整表」，以表上所揭示之全行「超額流動準備/存款總餘額」比率為預警依據，當該比率小於5%時，啟動第一級預警，由總行風險管理部</w:t>
            </w:r>
            <w:r w:rsidR="006C5F47" w:rsidRPr="004D451D">
              <w:rPr>
                <w:rFonts w:ascii="標楷體" w:eastAsia="標楷體" w:hAnsi="標楷體" w:cs="Arial" w:hint="eastAsia"/>
              </w:rPr>
              <w:t>應立即以電子郵件通知財務部，由財務部擬定相關因應措施，簽報資產負債管理委員會各委員，並呈報總經理核決。</w:t>
            </w:r>
            <w:r w:rsidRPr="004D451D">
              <w:rPr>
                <w:rFonts w:ascii="標楷體" w:eastAsia="標楷體" w:hAnsi="標楷體" w:cs="Arial" w:hint="eastAsia"/>
              </w:rPr>
              <w:t>當該比率小於3%時，則啟動第二級預警，由總行風險管理部</w:t>
            </w:r>
            <w:r w:rsidR="006C5F47" w:rsidRPr="004D451D">
              <w:rPr>
                <w:rFonts w:ascii="標楷體" w:eastAsia="標楷體" w:hAnsi="標楷體" w:cs="Arial" w:hint="eastAsia"/>
              </w:rPr>
              <w:t>應立即以電子郵件通知財務部，由財務部擬定相關因應措施，簽報資產負債管理委員會各委員，並呈報董事長核決。</w:t>
            </w:r>
            <w:r w:rsidRPr="004D451D">
              <w:rPr>
                <w:rFonts w:ascii="標楷體" w:eastAsia="標楷體" w:hAnsi="標楷體" w:cs="Arial" w:hint="eastAsia"/>
              </w:rPr>
              <w:t>必要時，得以董事長為召集人，召開「緊急應變小組」會議。</w:t>
            </w:r>
          </w:p>
          <w:p w:rsidR="00FB03BE" w:rsidRPr="004D451D" w:rsidRDefault="00FB03BE" w:rsidP="00FB03BE">
            <w:pPr>
              <w:spacing w:before="120" w:after="120" w:line="280" w:lineRule="exact"/>
              <w:ind w:left="240" w:hangingChars="100" w:hanging="240"/>
              <w:rPr>
                <w:rFonts w:ascii="標楷體" w:eastAsia="標楷體" w:hAnsi="標楷體" w:cs="Arial"/>
              </w:rPr>
            </w:pPr>
            <w:r w:rsidRPr="004D451D">
              <w:rPr>
                <w:rFonts w:ascii="標楷體" w:eastAsia="標楷體" w:hAnsi="標楷體" w:cs="Arial" w:hint="eastAsia"/>
              </w:rPr>
              <w:t>2.風險管理部定期編製全行新台幣及主要外幣(外幣負債佔負債總額5%以上者)之「到期日期限結構分析表」，並以該表中所揭示之各期別『期距缺口』除以總資產之比率(即管理指標)設定上、下限之方式，以控管流動性風險。若管理指標有異常變化或超逾預警區間時，</w:t>
            </w:r>
            <w:r w:rsidR="0040707F" w:rsidRPr="004D451D">
              <w:rPr>
                <w:rFonts w:ascii="標楷體" w:eastAsia="標楷體" w:hAnsi="標楷體" w:cs="Arial" w:hint="eastAsia"/>
              </w:rPr>
              <w:t>總行風險管理部應立即以電子郵件通知財務部，由財務部擬定相關因應措施，簽報資產負債管理委員會各委員，並呈報總經理核決。</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3.資金集中度及穩定性管理：</w:t>
            </w:r>
          </w:p>
          <w:p w:rsidR="00FB03BE" w:rsidRPr="004D451D" w:rsidRDefault="00FB03BE" w:rsidP="0040707F">
            <w:pPr>
              <w:spacing w:before="120" w:after="120" w:line="280" w:lineRule="exact"/>
              <w:ind w:leftChars="100" w:left="240"/>
              <w:rPr>
                <w:rFonts w:ascii="標楷體" w:eastAsia="標楷體" w:hAnsi="標楷體" w:cs="Arial"/>
              </w:rPr>
            </w:pPr>
            <w:r w:rsidRPr="004D451D">
              <w:rPr>
                <w:rFonts w:ascii="標楷體" w:eastAsia="標楷體" w:hAnsi="標楷體" w:cs="Arial" w:hint="eastAsia"/>
              </w:rPr>
              <w:t>每月檢視(一)本行前二十大存戶之新台幣存款總餘額佔本行新台幣存款總額之比率(二)新台幣核心存款佔新台幣存款總額之比率等二項比率，</w:t>
            </w:r>
            <w:r w:rsidR="0040707F" w:rsidRPr="004D451D">
              <w:rPr>
                <w:rFonts w:ascii="標楷體" w:eastAsia="標楷體" w:hAnsi="標楷體" w:cs="Arial" w:hint="eastAsia"/>
              </w:rPr>
              <w:t>並編製管理指標，提報資產負債管理委員會，作為資金集中度及穩定性參考依據。遇有異常或超逾預警比率，則應於資產負債管理委員會討論相關因應措施。</w:t>
            </w:r>
          </w:p>
        </w:tc>
      </w:tr>
      <w:tr w:rsidR="004D451D" w:rsidRPr="004D451D" w:rsidTr="00FB03BE">
        <w:trPr>
          <w:trHeight w:val="349"/>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right="26" w:hanging="357"/>
              <w:jc w:val="both"/>
              <w:rPr>
                <w:rFonts w:eastAsia="標楷體"/>
                <w:kern w:val="0"/>
              </w:rPr>
            </w:pPr>
            <w:r w:rsidRPr="004D451D">
              <w:rPr>
                <w:rFonts w:eastAsia="標楷體"/>
                <w:kern w:val="0"/>
              </w:rPr>
              <w:t>流動性風險管理組織與架構</w:t>
            </w:r>
          </w:p>
        </w:tc>
        <w:tc>
          <w:tcPr>
            <w:tcW w:w="3263" w:type="pct"/>
          </w:tcPr>
          <w:p w:rsidR="00FB03BE" w:rsidRPr="004D451D" w:rsidRDefault="00FB03BE" w:rsidP="00FB03BE">
            <w:pPr>
              <w:spacing w:before="120" w:after="120" w:line="280" w:lineRule="exact"/>
              <w:ind w:left="240" w:hangingChars="100" w:hanging="240"/>
              <w:rPr>
                <w:rFonts w:ascii="標楷體" w:eastAsia="標楷體" w:hAnsi="標楷體" w:cs="Arial"/>
              </w:rPr>
            </w:pPr>
            <w:r w:rsidRPr="004D451D">
              <w:rPr>
                <w:rFonts w:ascii="標楷體" w:eastAsia="標楷體" w:hAnsi="標楷體" w:cs="Arial" w:hint="eastAsia"/>
              </w:rPr>
              <w:t>1.本行流動性風險管理係以財務部與風險管理部作為執行單位，並以資產負債管理委員會為監督單位。</w:t>
            </w:r>
          </w:p>
          <w:p w:rsidR="00FB03BE" w:rsidRPr="004D451D" w:rsidRDefault="00FB03BE" w:rsidP="00FB03BE">
            <w:pPr>
              <w:spacing w:before="120" w:after="120" w:line="280" w:lineRule="exact"/>
              <w:ind w:left="240" w:hangingChars="100" w:hanging="240"/>
              <w:rPr>
                <w:rFonts w:ascii="標楷體" w:eastAsia="標楷體" w:hAnsi="標楷體" w:cs="Arial"/>
              </w:rPr>
            </w:pPr>
            <w:r w:rsidRPr="004D451D">
              <w:rPr>
                <w:rFonts w:ascii="標楷體" w:eastAsia="標楷體" w:hAnsi="標楷體" w:cs="Arial" w:hint="eastAsia"/>
              </w:rPr>
              <w:t>2.風險管理部至少每年一次將流動性風險管理及執行情形呈報董事會。</w:t>
            </w:r>
          </w:p>
        </w:tc>
      </w:tr>
      <w:tr w:rsidR="004D451D" w:rsidRPr="004D451D" w:rsidTr="00FB03BE">
        <w:trPr>
          <w:trHeight w:val="360"/>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4D451D">
              <w:rPr>
                <w:rFonts w:eastAsia="標楷體"/>
                <w:kern w:val="0"/>
              </w:rPr>
              <w:t>流動性風險報告與衡量系統之範圍與特點</w:t>
            </w:r>
          </w:p>
        </w:tc>
        <w:tc>
          <w:tcPr>
            <w:tcW w:w="3263" w:type="pct"/>
          </w:tcPr>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本行流動性風險報告內容主要為估算各項業務未來現金流量對本行資金調度之影響，並將現金流量缺口或比率控制在可容忍的風險限額內。</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當流動性警示指標到達警示點時，風險管理部應立即簽呈各級主管，並會相關部室知悉，且依預警程度不同送請最高核閱人，憑以核示相關因應措施。措施核定後，財務部應立即執行流動性應變計畫，以彌平資金缺口。</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本行流動性風險相關資料，由風險管理部統籌彙整，每月提報資產負債管理委員會、風險管理委員會討論，並每季呈報董事會知悉。</w:t>
            </w:r>
          </w:p>
          <w:p w:rsidR="00FB03BE" w:rsidRPr="004D451D" w:rsidRDefault="00FB03BE" w:rsidP="00CF252C">
            <w:pPr>
              <w:spacing w:before="120" w:after="120" w:line="280" w:lineRule="exact"/>
              <w:rPr>
                <w:rFonts w:ascii="標楷體" w:eastAsia="標楷體" w:hAnsi="標楷體" w:cs="Arial"/>
              </w:rPr>
            </w:pPr>
            <w:r w:rsidRPr="004D451D">
              <w:rPr>
                <w:rFonts w:ascii="標楷體" w:eastAsia="標楷體" w:hAnsi="標楷體" w:cs="Arial" w:hint="eastAsia"/>
              </w:rPr>
              <w:t>內容及範圍為：</w:t>
            </w:r>
          </w:p>
          <w:p w:rsidR="00FB03BE" w:rsidRPr="004D451D" w:rsidRDefault="00FB03BE" w:rsidP="00CF252C">
            <w:pPr>
              <w:spacing w:before="120" w:after="120" w:line="280" w:lineRule="exact"/>
              <w:rPr>
                <w:rFonts w:ascii="標楷體" w:eastAsia="標楷體" w:hAnsi="標楷體" w:cs="Arial"/>
              </w:rPr>
            </w:pPr>
            <w:r w:rsidRPr="004D451D">
              <w:rPr>
                <w:rFonts w:ascii="標楷體" w:eastAsia="標楷體" w:hAnsi="標楷體" w:cs="Arial" w:hint="eastAsia"/>
              </w:rPr>
              <w:t>流動性風險(含預警呈報暨壓力測試)：</w:t>
            </w:r>
          </w:p>
          <w:p w:rsidR="00FB03BE" w:rsidRPr="004D451D" w:rsidRDefault="00FB03BE" w:rsidP="00CF252C">
            <w:pPr>
              <w:spacing w:before="120" w:after="120" w:line="280" w:lineRule="exact"/>
              <w:rPr>
                <w:rFonts w:ascii="標楷體" w:eastAsia="標楷體" w:hAnsi="標楷體" w:cs="Arial"/>
              </w:rPr>
            </w:pPr>
            <w:r w:rsidRPr="004D451D">
              <w:rPr>
                <w:rFonts w:ascii="標楷體" w:eastAsia="標楷體" w:hAnsi="標楷體" w:cs="Arial" w:hint="eastAsia"/>
              </w:rPr>
              <w:t>1.流動性風險控管</w:t>
            </w:r>
          </w:p>
          <w:p w:rsidR="00FB03BE" w:rsidRPr="004D451D" w:rsidRDefault="00FB03BE" w:rsidP="00CF252C">
            <w:pPr>
              <w:spacing w:line="280" w:lineRule="exact"/>
              <w:ind w:left="600" w:hangingChars="250" w:hanging="600"/>
              <w:rPr>
                <w:rFonts w:ascii="標楷體" w:eastAsia="標楷體" w:hAnsi="標楷體" w:cs="Arial"/>
              </w:rPr>
            </w:pPr>
            <w:r w:rsidRPr="004D451D">
              <w:rPr>
                <w:rFonts w:ascii="標楷體" w:eastAsia="標楷體" w:hAnsi="標楷體" w:cs="Arial" w:hint="eastAsia"/>
              </w:rPr>
              <w:t xml:space="preserve">  (1)新台幣流動性風險控管: 新臺幣負債應提流動準備比率、「未來1天至30天資金流量之期距缺口」之參考值。</w:t>
            </w:r>
          </w:p>
          <w:p w:rsidR="00FB03BE" w:rsidRPr="004D451D" w:rsidRDefault="00FB03BE" w:rsidP="00CF252C">
            <w:pPr>
              <w:spacing w:line="280" w:lineRule="exact"/>
              <w:ind w:left="600" w:hangingChars="250" w:hanging="600"/>
              <w:rPr>
                <w:rFonts w:ascii="標楷體" w:eastAsia="標楷體" w:hAnsi="標楷體" w:cs="Arial"/>
              </w:rPr>
            </w:pPr>
            <w:r w:rsidRPr="004D451D">
              <w:rPr>
                <w:rFonts w:ascii="標楷體" w:eastAsia="標楷體" w:hAnsi="標楷體" w:cs="Arial" w:hint="eastAsia"/>
              </w:rPr>
              <w:t xml:space="preserve">  (2)外幣流動性風險控管: 各幣別期距缺口與總資產之比率。</w:t>
            </w:r>
          </w:p>
          <w:p w:rsidR="00FB03BE" w:rsidRPr="004D451D" w:rsidRDefault="00FB03BE" w:rsidP="00CF252C">
            <w:pPr>
              <w:spacing w:line="280" w:lineRule="exact"/>
              <w:rPr>
                <w:rFonts w:ascii="標楷體" w:eastAsia="標楷體" w:hAnsi="標楷體" w:cs="Arial"/>
              </w:rPr>
            </w:pPr>
            <w:r w:rsidRPr="004D451D">
              <w:rPr>
                <w:rFonts w:ascii="標楷體" w:eastAsia="標楷體" w:hAnsi="標楷體" w:cs="Arial" w:hint="eastAsia"/>
              </w:rPr>
              <w:t xml:space="preserve">  (3)流動性覆蓋率(LCR)。</w:t>
            </w:r>
          </w:p>
          <w:p w:rsidR="00744DCE" w:rsidRPr="004D451D" w:rsidRDefault="000323BB" w:rsidP="000323BB">
            <w:pPr>
              <w:spacing w:line="280" w:lineRule="exact"/>
              <w:ind w:firstLineChars="100" w:firstLine="240"/>
              <w:rPr>
                <w:rFonts w:ascii="標楷體" w:eastAsia="標楷體" w:hAnsi="標楷體" w:cs="Arial"/>
              </w:rPr>
            </w:pPr>
            <w:r w:rsidRPr="004D451D">
              <w:rPr>
                <w:rFonts w:ascii="標楷體" w:eastAsia="標楷體" w:hAnsi="標楷體" w:cs="Arial" w:hint="eastAsia"/>
              </w:rPr>
              <w:t>(4)淨穩定資金比率(NSFR)</w:t>
            </w:r>
          </w:p>
          <w:p w:rsidR="00FB03BE" w:rsidRPr="004D451D" w:rsidRDefault="00FB03BE" w:rsidP="00CF252C">
            <w:pPr>
              <w:spacing w:line="280" w:lineRule="exact"/>
              <w:ind w:left="240" w:hangingChars="100" w:hanging="240"/>
              <w:rPr>
                <w:rFonts w:ascii="標楷體" w:eastAsia="標楷體" w:hAnsi="標楷體" w:cs="Arial"/>
              </w:rPr>
            </w:pPr>
            <w:r w:rsidRPr="004D451D">
              <w:rPr>
                <w:rFonts w:ascii="標楷體" w:eastAsia="標楷體" w:hAnsi="標楷體" w:cs="Arial" w:hint="eastAsia"/>
              </w:rPr>
              <w:t>2.流動性風險衡量(一個月MCO缺口佔一個月總資金流出的比率)。</w:t>
            </w:r>
          </w:p>
          <w:p w:rsidR="00FB03BE" w:rsidRPr="004D451D" w:rsidRDefault="00FB03BE" w:rsidP="00CF252C">
            <w:pPr>
              <w:spacing w:line="280" w:lineRule="exact"/>
              <w:rPr>
                <w:rFonts w:ascii="標楷體" w:eastAsia="標楷體" w:hAnsi="標楷體" w:cs="Arial"/>
              </w:rPr>
            </w:pPr>
            <w:r w:rsidRPr="004D451D">
              <w:rPr>
                <w:rFonts w:ascii="標楷體" w:eastAsia="標楷體" w:hAnsi="標楷體" w:cs="Arial" w:hint="eastAsia"/>
              </w:rPr>
              <w:t>3.流動性風險預警與呈報。</w:t>
            </w:r>
          </w:p>
          <w:p w:rsidR="00A23FCB" w:rsidRPr="004D451D" w:rsidRDefault="00FB03BE" w:rsidP="00CF252C">
            <w:pPr>
              <w:spacing w:line="280" w:lineRule="exact"/>
              <w:ind w:left="240" w:hangingChars="100" w:hanging="240"/>
              <w:rPr>
                <w:rFonts w:ascii="標楷體" w:eastAsia="標楷體" w:hAnsi="標楷體" w:cs="Arial"/>
              </w:rPr>
            </w:pPr>
            <w:r w:rsidRPr="004D451D">
              <w:rPr>
                <w:rFonts w:ascii="標楷體" w:eastAsia="標楷體" w:hAnsi="標楷體" w:cs="Arial" w:hint="eastAsia"/>
              </w:rPr>
              <w:t>4.壓力測試：</w:t>
            </w:r>
          </w:p>
          <w:p w:rsidR="00A23FCB" w:rsidRPr="004D451D" w:rsidRDefault="00A23FCB" w:rsidP="00CF252C">
            <w:pPr>
              <w:spacing w:line="280" w:lineRule="exact"/>
              <w:ind w:leftChars="100" w:left="240"/>
              <w:rPr>
                <w:rFonts w:ascii="標楷體" w:eastAsia="標楷體" w:hAnsi="標楷體" w:cs="Arial"/>
              </w:rPr>
            </w:pPr>
            <w:r w:rsidRPr="004D451D">
              <w:rPr>
                <w:rFonts w:ascii="標楷體" w:eastAsia="標楷體" w:hAnsi="標楷體" w:cs="Arial" w:hint="eastAsia"/>
              </w:rPr>
              <w:t>(1)具存保保障下，仍有5%存款流失率。</w:t>
            </w:r>
          </w:p>
          <w:p w:rsidR="00FB03BE" w:rsidRPr="004D451D" w:rsidRDefault="00A23FCB" w:rsidP="00CF252C">
            <w:pPr>
              <w:spacing w:line="280" w:lineRule="exact"/>
              <w:ind w:leftChars="100" w:left="600" w:hangingChars="150" w:hanging="360"/>
              <w:rPr>
                <w:rFonts w:ascii="標楷體" w:eastAsia="標楷體" w:hAnsi="標楷體" w:cs="Arial"/>
              </w:rPr>
            </w:pPr>
            <w:r w:rsidRPr="004D451D">
              <w:rPr>
                <w:rFonts w:ascii="標楷體" w:eastAsia="標楷體" w:hAnsi="標楷體" w:cs="Arial" w:hint="eastAsia"/>
              </w:rPr>
              <w:t>(2)在整體市場環境危機及個別銀行特別事件危機時，存款流失率分別為5%及10%。</w:t>
            </w:r>
          </w:p>
        </w:tc>
      </w:tr>
      <w:tr w:rsidR="004D451D" w:rsidRPr="004D451D" w:rsidTr="00FB03BE">
        <w:trPr>
          <w:trHeight w:val="881"/>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4D451D">
              <w:rPr>
                <w:rFonts w:eastAsia="標楷體" w:hint="eastAsia"/>
                <w:kern w:val="0"/>
              </w:rPr>
              <w:t>資金策略，包含資金來源與資金天期分散之政策，以及資金策略係採集中或分權</w:t>
            </w:r>
          </w:p>
        </w:tc>
        <w:tc>
          <w:tcPr>
            <w:tcW w:w="3263" w:type="pct"/>
          </w:tcPr>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資金來源:活期存款、定期存款、大額定期存款、發行可轉讓定期存單</w:t>
            </w:r>
            <w:r w:rsidRPr="004D451D">
              <w:rPr>
                <w:rFonts w:eastAsia="標楷體" w:hAnsi="標楷體"/>
              </w:rPr>
              <w:t>、台幣外幣資金之拆入</w:t>
            </w:r>
            <w:r w:rsidRPr="004D451D">
              <w:rPr>
                <w:rFonts w:ascii="標楷體" w:eastAsia="標楷體" w:hAnsi="標楷體" w:cs="Arial" w:hint="eastAsia"/>
              </w:rPr>
              <w:t>、債券附條件交易及發行次順位金融債。為配合營運需求，資金來源應以多元化為原則並注意其穩定性。</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資金天期分散政策:依利率敏感性及期限結構，維持適當流動性及利率敏感性，以提高資金運用效益及健全銀行業務經營並有效規避因利率波動所造成之盈餘變動風險，視當時利率變動方向做最適當調整。</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資金策略:採集中資金調度。</w:t>
            </w:r>
          </w:p>
          <w:p w:rsidR="00FB03BE" w:rsidRPr="004D451D" w:rsidRDefault="00FB03BE" w:rsidP="00FB03BE">
            <w:pPr>
              <w:topLinePunct/>
              <w:snapToGrid w:val="0"/>
              <w:spacing w:line="280" w:lineRule="exact"/>
              <w:ind w:left="480" w:hangingChars="200" w:hanging="480"/>
              <w:jc w:val="both"/>
              <w:rPr>
                <w:rFonts w:ascii="標楷體" w:eastAsia="標楷體" w:hAnsi="標楷體"/>
              </w:rPr>
            </w:pPr>
            <w:r w:rsidRPr="004D451D">
              <w:rPr>
                <w:rFonts w:ascii="標楷體" w:eastAsia="標楷體" w:hAnsi="標楷體" w:hint="eastAsia"/>
              </w:rPr>
              <w:t>管理之範圍：</w:t>
            </w:r>
          </w:p>
          <w:p w:rsidR="00FB03BE" w:rsidRPr="004D451D" w:rsidRDefault="00FB03BE" w:rsidP="00FB03BE">
            <w:pPr>
              <w:topLinePunct/>
              <w:snapToGrid w:val="0"/>
              <w:spacing w:line="400" w:lineRule="exact"/>
              <w:jc w:val="both"/>
              <w:rPr>
                <w:rFonts w:ascii="標楷體" w:eastAsia="標楷體" w:hAnsi="標楷體"/>
              </w:rPr>
            </w:pPr>
            <w:r w:rsidRPr="004D451D">
              <w:rPr>
                <w:rFonts w:ascii="標楷體" w:eastAsia="標楷體" w:hAnsi="標楷體" w:hint="eastAsia"/>
              </w:rPr>
              <w:t>一</w:t>
            </w:r>
            <w:r w:rsidRPr="004D451D">
              <w:rPr>
                <w:rFonts w:ascii="新細明體" w:hAnsi="新細明體" w:hint="eastAsia"/>
              </w:rPr>
              <w:t>、</w:t>
            </w:r>
            <w:r w:rsidRPr="004D451D">
              <w:rPr>
                <w:rFonts w:ascii="標楷體" w:eastAsia="標楷體" w:hAnsi="標楷體" w:hint="eastAsia"/>
              </w:rPr>
              <w:t>日常資金調撥：</w:t>
            </w:r>
          </w:p>
          <w:p w:rsidR="00FB03BE" w:rsidRPr="004D451D" w:rsidRDefault="00FB03BE" w:rsidP="00FB03BE">
            <w:pPr>
              <w:topLinePunct/>
              <w:snapToGrid w:val="0"/>
              <w:spacing w:line="280" w:lineRule="exact"/>
              <w:ind w:leftChars="200" w:left="960" w:hangingChars="200" w:hanging="480"/>
              <w:jc w:val="both"/>
              <w:rPr>
                <w:rFonts w:ascii="標楷體" w:eastAsia="標楷體" w:hAnsi="標楷體"/>
              </w:rPr>
            </w:pPr>
            <w:r w:rsidRPr="004D451D">
              <w:rPr>
                <w:rFonts w:ascii="標楷體" w:eastAsia="標楷體" w:hAnsi="標楷體" w:hint="eastAsia"/>
              </w:rPr>
              <w:t>(一)總行與各營業單位（含總行營業部、各分行及總行相關部室）間之資金調撥：因應各營業單位客戶存、提、放、匯款、及票據交換等業務所生總行與各營業單位間之資金調撥需要，得以通訊、撥轉、匯兌、聯行往來等方式辦理通報與調撥，悉依本行總行與各營業單位間之資金調撥有關規定辦理。</w:t>
            </w:r>
          </w:p>
          <w:p w:rsidR="00FB03BE" w:rsidRPr="004D451D" w:rsidRDefault="00FB03BE" w:rsidP="00FB03BE">
            <w:pPr>
              <w:topLinePunct/>
              <w:snapToGrid w:val="0"/>
              <w:spacing w:line="280" w:lineRule="exact"/>
              <w:ind w:leftChars="200" w:left="960" w:hangingChars="200" w:hanging="480"/>
              <w:jc w:val="both"/>
              <w:rPr>
                <w:rFonts w:ascii="標楷體" w:eastAsia="標楷體" w:hAnsi="標楷體"/>
              </w:rPr>
            </w:pPr>
            <w:r w:rsidRPr="004D451D">
              <w:rPr>
                <w:rFonts w:ascii="標楷體" w:eastAsia="標楷體" w:hAnsi="標楷體" w:hint="eastAsia"/>
              </w:rPr>
              <w:t>(二)總行（含總行國外部）之資金調撥：因應存款準備、流動準備、及投資需要，以調節流動性資金部位之資金調撥，悉依主管機關相關法規及本行有關規定辦理。</w:t>
            </w:r>
          </w:p>
          <w:p w:rsidR="00FB03BE" w:rsidRPr="004D451D" w:rsidRDefault="00FB03BE" w:rsidP="00FB03BE">
            <w:pPr>
              <w:topLinePunct/>
              <w:snapToGrid w:val="0"/>
              <w:spacing w:line="280" w:lineRule="exact"/>
              <w:ind w:leftChars="200" w:left="960" w:hangingChars="200" w:hanging="480"/>
              <w:jc w:val="both"/>
              <w:rPr>
                <w:rFonts w:ascii="標楷體" w:eastAsia="標楷體" w:hAnsi="標楷體"/>
              </w:rPr>
            </w:pPr>
            <w:r w:rsidRPr="004D451D">
              <w:rPr>
                <w:rFonts w:ascii="標楷體" w:eastAsia="標楷體" w:hAnsi="標楷體" w:hint="eastAsia"/>
              </w:rPr>
              <w:t>(三)依「資金狀況表」上所揭示之全行「當日及全月累計存款準備部位」，併同「新台幣交易合併表」憑以調節每日全行流動性資金進出。</w:t>
            </w:r>
          </w:p>
          <w:p w:rsidR="00FB03BE" w:rsidRPr="004D451D" w:rsidRDefault="00FB03BE" w:rsidP="00FB03BE">
            <w:pPr>
              <w:topLinePunct/>
              <w:snapToGrid w:val="0"/>
              <w:spacing w:line="280" w:lineRule="exact"/>
              <w:ind w:left="480" w:hangingChars="200" w:hanging="480"/>
              <w:jc w:val="both"/>
              <w:rPr>
                <w:rFonts w:ascii="標楷體" w:eastAsia="標楷體" w:hAnsi="標楷體" w:cs="Arial"/>
              </w:rPr>
            </w:pPr>
            <w:r w:rsidRPr="004D451D">
              <w:rPr>
                <w:rFonts w:ascii="標楷體" w:eastAsia="標楷體" w:hAnsi="標楷體" w:hint="eastAsia"/>
              </w:rPr>
              <w:t>二</w:t>
            </w:r>
            <w:r w:rsidRPr="004D451D">
              <w:rPr>
                <w:rFonts w:ascii="新細明體" w:hAnsi="新細明體" w:hint="eastAsia"/>
              </w:rPr>
              <w:t>、</w:t>
            </w:r>
            <w:r w:rsidRPr="004D451D">
              <w:rPr>
                <w:rFonts w:ascii="標楷體" w:eastAsia="標楷體" w:hAnsi="標楷體" w:hint="eastAsia"/>
              </w:rPr>
              <w:t>各營業單位（含總行營業部、各分行及總行相關部室）之大額資金進出：因應各營業單位客戶存、提、放、匯款所生之大額資金進出，須通報總行財務部預為準備或事後運用，以提高流動性資金運用效益，悉依本行「大額資金進出暨向總行調撥資金通報作業處理要點」等有關規定辦理。</w:t>
            </w:r>
          </w:p>
        </w:tc>
      </w:tr>
      <w:tr w:rsidR="004D451D" w:rsidRPr="004D451D" w:rsidTr="00FB03BE">
        <w:trPr>
          <w:trHeight w:val="881"/>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4D451D">
              <w:rPr>
                <w:rFonts w:eastAsia="標楷體"/>
                <w:kern w:val="0"/>
              </w:rPr>
              <w:t>流動性風險避險或風險抵減之政策，以及監控規避與風險抵減工具持續有效性之策略與流程</w:t>
            </w:r>
          </w:p>
        </w:tc>
        <w:tc>
          <w:tcPr>
            <w:tcW w:w="3263" w:type="pct"/>
          </w:tcPr>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為因應發生存款異常提領，資金鉅額流失或其他流動性嚴重不足等流動性危機，本行已訂定流動性風險管理準則，以彌平資金缺口，降低流動性風險，維持全行正常營運。</w:t>
            </w:r>
          </w:p>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前述相關規定並視營運計劃、業務發展與整體金融環境之變化適時檢討修正。</w:t>
            </w:r>
          </w:p>
        </w:tc>
      </w:tr>
      <w:tr w:rsidR="004D451D" w:rsidRPr="004D451D" w:rsidTr="00FB03BE">
        <w:trPr>
          <w:trHeight w:val="578"/>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4D451D">
              <w:rPr>
                <w:rFonts w:eastAsia="標楷體" w:hint="eastAsia"/>
                <w:kern w:val="0"/>
              </w:rPr>
              <w:t>如何執行壓力測試之說明</w:t>
            </w:r>
          </w:p>
        </w:tc>
        <w:tc>
          <w:tcPr>
            <w:tcW w:w="3263" w:type="pct"/>
          </w:tcPr>
          <w:p w:rsidR="00FB03BE" w:rsidRPr="004D451D" w:rsidRDefault="00FB03BE" w:rsidP="00A04846">
            <w:pPr>
              <w:spacing w:before="120" w:after="120" w:line="280" w:lineRule="exact"/>
              <w:rPr>
                <w:rFonts w:ascii="標楷體" w:eastAsia="標楷體" w:hAnsi="標楷體" w:cs="Arial"/>
              </w:rPr>
            </w:pPr>
            <w:r w:rsidRPr="004D451D">
              <w:rPr>
                <w:rFonts w:ascii="標楷體" w:eastAsia="標楷體" w:hAnsi="標楷體" w:cs="Arial" w:hint="eastAsia"/>
              </w:rPr>
              <w:t>本行現行對各類可變現金融資產處分折扣率作適當的假設，計算調整後可變現總金額，以支應在無外援下可存續天數。依</w:t>
            </w:r>
            <w:r w:rsidR="00CF252C" w:rsidRPr="004D451D">
              <w:rPr>
                <w:rFonts w:ascii="標楷體" w:eastAsia="標楷體" w:hAnsi="標楷體" w:cs="Arial" w:hint="eastAsia"/>
              </w:rPr>
              <w:t>1.具存保保障下，仍有5%存款流失率。2.在整體市場環境危機及個別銀行特別事件危機時，存款流失率分別為5%及10%。</w:t>
            </w:r>
            <w:r w:rsidRPr="004D451D">
              <w:rPr>
                <w:rFonts w:ascii="標楷體" w:eastAsia="標楷體" w:hAnsi="標楷體" w:cs="Arial" w:hint="eastAsia"/>
              </w:rPr>
              <w:t>對上述二種情</w:t>
            </w:r>
            <w:r w:rsidR="00CF252C" w:rsidRPr="004D451D">
              <w:rPr>
                <w:rFonts w:ascii="標楷體" w:eastAsia="標楷體" w:hAnsi="標楷體" w:cs="Arial" w:hint="eastAsia"/>
              </w:rPr>
              <w:t>形</w:t>
            </w:r>
            <w:r w:rsidRPr="004D451D">
              <w:rPr>
                <w:rFonts w:ascii="標楷體" w:eastAsia="標楷體" w:hAnsi="標楷體" w:cs="Arial" w:hint="eastAsia"/>
              </w:rPr>
              <w:t>作資金流失壓力測試，俟市場有重大流動性危機之可能時，將再視情況增加設計其他情境模擬項目。</w:t>
            </w:r>
          </w:p>
        </w:tc>
      </w:tr>
      <w:tr w:rsidR="00FB03BE" w:rsidRPr="004D451D" w:rsidTr="00FB03BE">
        <w:trPr>
          <w:trHeight w:val="530"/>
        </w:trPr>
        <w:tc>
          <w:tcPr>
            <w:tcW w:w="1737" w:type="pct"/>
          </w:tcPr>
          <w:p w:rsidR="00FB03BE" w:rsidRPr="004D451D" w:rsidRDefault="00FB03BE" w:rsidP="00482E54">
            <w:pPr>
              <w:pStyle w:val="affb"/>
              <w:numPr>
                <w:ilvl w:val="1"/>
                <w:numId w:val="76"/>
              </w:numPr>
              <w:autoSpaceDE w:val="0"/>
              <w:autoSpaceDN w:val="0"/>
              <w:adjustRightInd w:val="0"/>
              <w:spacing w:before="120" w:after="120"/>
              <w:ind w:leftChars="0" w:left="357" w:hanging="357"/>
              <w:jc w:val="both"/>
              <w:rPr>
                <w:rFonts w:eastAsia="標楷體"/>
                <w:kern w:val="0"/>
              </w:rPr>
            </w:pPr>
            <w:r w:rsidRPr="004D451D">
              <w:rPr>
                <w:rFonts w:eastAsia="標楷體" w:hint="eastAsia"/>
                <w:kern w:val="0"/>
              </w:rPr>
              <w:t>流動性緊急應變計畫之概要</w:t>
            </w:r>
          </w:p>
        </w:tc>
        <w:tc>
          <w:tcPr>
            <w:tcW w:w="3263" w:type="pct"/>
          </w:tcPr>
          <w:p w:rsidR="00FB03BE" w:rsidRPr="004D451D" w:rsidRDefault="00FB03BE" w:rsidP="00FB03BE">
            <w:pPr>
              <w:spacing w:before="120" w:after="120" w:line="280" w:lineRule="exact"/>
              <w:rPr>
                <w:rFonts w:ascii="標楷體" w:eastAsia="標楷體" w:hAnsi="標楷體" w:cs="Arial"/>
              </w:rPr>
            </w:pPr>
            <w:r w:rsidRPr="004D451D">
              <w:rPr>
                <w:rFonts w:ascii="標楷體" w:eastAsia="標楷體" w:hAnsi="標楷體" w:cs="Arial" w:hint="eastAsia"/>
              </w:rPr>
              <w:t>依本行『流動性風險管理準則』有關緊急應變規定如下：</w:t>
            </w:r>
          </w:p>
          <w:p w:rsidR="00FB03BE" w:rsidRPr="004D451D" w:rsidRDefault="00FB03BE" w:rsidP="00FB03BE">
            <w:pPr>
              <w:spacing w:before="120" w:after="120" w:line="280" w:lineRule="exact"/>
              <w:ind w:left="480" w:hangingChars="200" w:hanging="480"/>
              <w:rPr>
                <w:rFonts w:ascii="標楷體" w:eastAsia="標楷體" w:hAnsi="標楷體" w:cs="Arial"/>
              </w:rPr>
            </w:pPr>
            <w:r w:rsidRPr="004D451D">
              <w:rPr>
                <w:rFonts w:ascii="標楷體" w:eastAsia="標楷體" w:hAnsi="標楷體" w:cs="Arial" w:hint="eastAsia"/>
              </w:rPr>
              <w:t>一、本行之流動性風險管理以符合中央銀行所頒定「金融機構流動資產與各項負債比率之最低標準」及「金融機構流動性查核要點」相關規定為基本要求。總行財務部在第二級預警後，預期或得知本行流動性資金部位即將或已經無法符合中央銀行相關規定，有關經辦應立即簽呈各級主管，並會相關部室知悉，且以董事長為最高核閱人，憑以核示相關因應措施。必要時，得以董事長為召集人，召開「緊急應變小組」會議。</w:t>
            </w:r>
          </w:p>
          <w:p w:rsidR="00FB03BE" w:rsidRPr="004D451D" w:rsidRDefault="00FB03BE" w:rsidP="00FB03BE">
            <w:pPr>
              <w:spacing w:before="120" w:after="120" w:line="280" w:lineRule="exact"/>
              <w:ind w:left="480" w:hangingChars="200" w:hanging="480"/>
              <w:rPr>
                <w:rFonts w:ascii="標楷體" w:eastAsia="標楷體" w:hAnsi="標楷體" w:cs="Arial"/>
              </w:rPr>
            </w:pPr>
            <w:r w:rsidRPr="004D451D">
              <w:rPr>
                <w:rFonts w:ascii="標楷體" w:eastAsia="標楷體" w:hAnsi="標楷體" w:cs="Arial" w:hint="eastAsia"/>
              </w:rPr>
              <w:t>二、「緊急應變小組」之成員包括：董事長、總經理、協理及總行相關部室部門主管，董事長得視實際需要另指定相關人員參與會議。</w:t>
            </w:r>
          </w:p>
          <w:p w:rsidR="00FB03BE" w:rsidRPr="004D451D" w:rsidRDefault="00FB03BE" w:rsidP="00FB03BE">
            <w:pPr>
              <w:spacing w:before="120" w:after="120" w:line="280" w:lineRule="exact"/>
              <w:ind w:left="480" w:hangingChars="200" w:hanging="480"/>
              <w:rPr>
                <w:rFonts w:ascii="標楷體" w:eastAsia="標楷體" w:hAnsi="標楷體" w:cs="Arial"/>
              </w:rPr>
            </w:pPr>
            <w:r w:rsidRPr="004D451D">
              <w:rPr>
                <w:rFonts w:ascii="標楷體" w:eastAsia="標楷體" w:hAnsi="標楷體" w:cs="Arial" w:hint="eastAsia"/>
              </w:rPr>
              <w:t>三、「緊急應變小組」會議應針對當前流動性風險管理問題進行研析，並以前述「呈報後之處理」為參考，作成應變決策，責成相關部室或營業單位緊急處理有關事宜。</w:t>
            </w:r>
          </w:p>
          <w:p w:rsidR="00FB03BE" w:rsidRPr="004D451D" w:rsidRDefault="00FB03BE" w:rsidP="00FB03BE">
            <w:pPr>
              <w:spacing w:before="120" w:after="120" w:line="280" w:lineRule="exact"/>
              <w:ind w:left="480" w:hangingChars="200" w:hanging="480"/>
              <w:rPr>
                <w:rFonts w:ascii="標楷體" w:eastAsia="標楷體" w:hAnsi="標楷體" w:cs="Arial"/>
              </w:rPr>
            </w:pPr>
            <w:r w:rsidRPr="004D451D">
              <w:rPr>
                <w:rFonts w:ascii="標楷體" w:eastAsia="標楷體" w:hAnsi="標楷體" w:cs="Arial" w:hint="eastAsia"/>
              </w:rPr>
              <w:t>四、「緊急應變小組」會議應作成書面會議記錄留存備查。</w:t>
            </w:r>
          </w:p>
        </w:tc>
      </w:tr>
    </w:tbl>
    <w:p w:rsidR="00693508" w:rsidRPr="004D451D" w:rsidRDefault="00693508" w:rsidP="00693508">
      <w:pPr>
        <w:rPr>
          <w:rFonts w:ascii="標楷體" w:eastAsia="標楷體" w:hAnsi="標楷體" w:cs="Arial"/>
        </w:rPr>
      </w:pPr>
    </w:p>
    <w:p w:rsidR="00C14D79" w:rsidRPr="004D451D" w:rsidRDefault="00C14D79" w:rsidP="00693508">
      <w:pPr>
        <w:rPr>
          <w:rFonts w:ascii="標楷體" w:eastAsia="標楷體" w:hAnsi="標楷體" w:cs="Arial"/>
          <w:b/>
        </w:rPr>
      </w:pPr>
      <w:r w:rsidRPr="004D451D">
        <w:rPr>
          <w:rFonts w:ascii="標楷體" w:eastAsia="標楷體" w:hAnsi="標楷體" w:cs="Arial" w:hint="eastAsia"/>
          <w:b/>
        </w:rPr>
        <w:t>填表說明：</w:t>
      </w:r>
    </w:p>
    <w:p w:rsidR="00C14D79" w:rsidRPr="004D451D" w:rsidRDefault="00C14D79" w:rsidP="009F53B0">
      <w:pPr>
        <w:pStyle w:val="affb"/>
        <w:numPr>
          <w:ilvl w:val="0"/>
          <w:numId w:val="105"/>
        </w:numPr>
        <w:ind w:leftChars="150" w:left="720" w:hangingChars="150"/>
        <w:jc w:val="both"/>
        <w:rPr>
          <w:rFonts w:eastAsia="標楷體"/>
        </w:rPr>
      </w:pPr>
      <w:r w:rsidRPr="004D451D">
        <w:rPr>
          <w:rFonts w:eastAsia="標楷體"/>
        </w:rPr>
        <w:t>本表更新頻率：年。</w:t>
      </w:r>
    </w:p>
    <w:p w:rsidR="00C14D79" w:rsidRPr="004D451D" w:rsidRDefault="00C14D79" w:rsidP="009F53B0">
      <w:pPr>
        <w:pStyle w:val="affb"/>
        <w:numPr>
          <w:ilvl w:val="0"/>
          <w:numId w:val="105"/>
        </w:numPr>
        <w:ind w:leftChars="150" w:left="720" w:hangingChars="150"/>
        <w:jc w:val="both"/>
        <w:rPr>
          <w:rFonts w:eastAsia="標楷體"/>
        </w:rPr>
      </w:pPr>
      <w:r w:rsidRPr="004D451D">
        <w:rPr>
          <w:rFonts w:eastAsia="標楷體"/>
        </w:rPr>
        <w:t>本表採個體基礎填報。</w:t>
      </w:r>
    </w:p>
    <w:p w:rsidR="00C14D79" w:rsidRPr="004D451D" w:rsidRDefault="00C14D79" w:rsidP="009F53B0">
      <w:pPr>
        <w:pStyle w:val="affb"/>
        <w:numPr>
          <w:ilvl w:val="0"/>
          <w:numId w:val="105"/>
        </w:numPr>
        <w:ind w:leftChars="150" w:left="720" w:hangingChars="150"/>
        <w:jc w:val="both"/>
        <w:rPr>
          <w:rFonts w:eastAsia="標楷體"/>
        </w:rPr>
      </w:pPr>
      <w:r w:rsidRPr="004D451D">
        <w:rPr>
          <w:rFonts w:eastAsia="標楷體"/>
        </w:rPr>
        <w:t>本表可依銀行營運模式、流動性風險概況、組織及功能，挑選攸關資訊予以揭露。</w:t>
      </w:r>
    </w:p>
    <w:p w:rsidR="00693508" w:rsidRPr="004D451D" w:rsidRDefault="00693508" w:rsidP="00552DBC">
      <w:pPr>
        <w:outlineLvl w:val="0"/>
        <w:rPr>
          <w:rFonts w:eastAsia="標楷體"/>
          <w:b/>
          <w:sz w:val="32"/>
          <w:szCs w:val="32"/>
        </w:rPr>
      </w:pPr>
      <w:r w:rsidRPr="004D451D">
        <w:rPr>
          <w:rFonts w:cs="Arial"/>
          <w:b/>
          <w:sz w:val="28"/>
          <w:szCs w:val="28"/>
        </w:rPr>
        <w:br w:type="page"/>
      </w:r>
      <w:r w:rsidRPr="004D451D">
        <w:rPr>
          <w:rFonts w:ascii="標楷體" w:eastAsia="標楷體" w:hAnsi="標楷體" w:hint="eastAsia"/>
          <w:b/>
          <w:sz w:val="32"/>
          <w:szCs w:val="32"/>
        </w:rPr>
        <w:t>【</w:t>
      </w:r>
      <w:r w:rsidRPr="004D451D">
        <w:rPr>
          <w:rFonts w:ascii="Garamond" w:eastAsia="標楷體" w:hAnsi="標楷體" w:hint="eastAsia"/>
          <w:b/>
          <w:sz w:val="32"/>
          <w:szCs w:val="32"/>
        </w:rPr>
        <w:t>附表五十</w:t>
      </w:r>
      <w:r w:rsidR="00C14D79" w:rsidRPr="004D451D">
        <w:rPr>
          <w:rFonts w:ascii="Garamond" w:eastAsia="標楷體" w:hAnsi="標楷體" w:hint="eastAsia"/>
          <w:b/>
          <w:sz w:val="32"/>
          <w:szCs w:val="32"/>
        </w:rPr>
        <w:t>一</w:t>
      </w:r>
      <w:r w:rsidRPr="004D451D">
        <w:rPr>
          <w:rFonts w:ascii="標楷體" w:eastAsia="標楷體" w:hAnsi="標楷體" w:hint="eastAsia"/>
          <w:b/>
          <w:sz w:val="32"/>
          <w:szCs w:val="32"/>
        </w:rPr>
        <w:t>】</w:t>
      </w:r>
    </w:p>
    <w:p w:rsidR="00693508" w:rsidRPr="004D451D" w:rsidRDefault="00693508" w:rsidP="00693508">
      <w:pPr>
        <w:jc w:val="center"/>
        <w:rPr>
          <w:rFonts w:eastAsia="標楷體" w:hAnsi="標楷體"/>
          <w:b/>
          <w:sz w:val="32"/>
          <w:szCs w:val="32"/>
        </w:rPr>
      </w:pPr>
      <w:r w:rsidRPr="004D451D">
        <w:rPr>
          <w:rFonts w:eastAsia="標楷體" w:hint="eastAsia"/>
          <w:b/>
          <w:sz w:val="32"/>
          <w:szCs w:val="32"/>
        </w:rPr>
        <w:t>流動性覆蓋比率</w:t>
      </w:r>
      <w:r w:rsidRPr="004D451D">
        <w:rPr>
          <w:rFonts w:eastAsia="標楷體" w:hAnsi="標楷體" w:hint="eastAsia"/>
          <w:b/>
          <w:sz w:val="32"/>
          <w:szCs w:val="32"/>
        </w:rPr>
        <w:t>揭露表</w:t>
      </w:r>
    </w:p>
    <w:p w:rsidR="00693508" w:rsidRPr="004D451D" w:rsidRDefault="00C14D79" w:rsidP="00693508">
      <w:pPr>
        <w:jc w:val="right"/>
        <w:rPr>
          <w:rFonts w:eastAsia="標楷體"/>
          <w:b/>
        </w:rPr>
      </w:pPr>
      <w:r w:rsidRPr="004D451D">
        <w:rPr>
          <w:rFonts w:eastAsia="標楷體" w:hint="eastAsia"/>
        </w:rPr>
        <w:t>（</w:t>
      </w:r>
      <w:r w:rsidR="00693508" w:rsidRPr="004D451D">
        <w:rPr>
          <w:rFonts w:eastAsia="標楷體" w:hint="eastAsia"/>
        </w:rPr>
        <w:t>單位：新臺幣千元</w:t>
      </w:r>
      <w:r w:rsidRPr="004D451D">
        <w:rPr>
          <w:rFonts w:eastAsia="標楷體" w:hint="eastAsia"/>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2505"/>
        <w:gridCol w:w="1559"/>
        <w:gridCol w:w="1554"/>
        <w:gridCol w:w="1551"/>
        <w:gridCol w:w="137"/>
        <w:gridCol w:w="1551"/>
      </w:tblGrid>
      <w:tr w:rsidR="004D451D" w:rsidRPr="004D451D" w:rsidTr="008E4494">
        <w:trPr>
          <w:trHeight w:val="272"/>
        </w:trPr>
        <w:tc>
          <w:tcPr>
            <w:tcW w:w="3112" w:type="dxa"/>
            <w:gridSpan w:val="2"/>
            <w:vMerge w:val="restart"/>
            <w:vAlign w:val="center"/>
          </w:tcPr>
          <w:p w:rsidR="00C14D79" w:rsidRPr="004D451D" w:rsidRDefault="00C14D79" w:rsidP="004B75EF">
            <w:pPr>
              <w:spacing w:line="240" w:lineRule="atLeast"/>
              <w:jc w:val="center"/>
              <w:rPr>
                <w:rFonts w:eastAsia="標楷體"/>
              </w:rPr>
            </w:pPr>
            <w:r w:rsidRPr="004D451D">
              <w:rPr>
                <w:rFonts w:eastAsia="標楷體" w:hint="eastAsia"/>
              </w:rPr>
              <w:t>項目</w:t>
            </w:r>
          </w:p>
        </w:tc>
        <w:tc>
          <w:tcPr>
            <w:tcW w:w="3113" w:type="dxa"/>
            <w:gridSpan w:val="2"/>
            <w:vAlign w:val="center"/>
          </w:tcPr>
          <w:p w:rsidR="00C14D79" w:rsidRPr="004D451D" w:rsidRDefault="00D20153" w:rsidP="00D20153">
            <w:pPr>
              <w:spacing w:line="240" w:lineRule="atLeast"/>
              <w:jc w:val="center"/>
              <w:rPr>
                <w:rFonts w:ascii="標楷體" w:eastAsia="標楷體" w:hAnsi="標楷體"/>
              </w:rPr>
            </w:pPr>
            <w:r w:rsidRPr="004D451D">
              <w:rPr>
                <w:rFonts w:ascii="標楷體" w:eastAsia="標楷體" w:hAnsi="標楷體" w:hint="eastAsia"/>
              </w:rPr>
              <w:t>本</w:t>
            </w:r>
            <w:r w:rsidR="00C14D79" w:rsidRPr="004D451D">
              <w:rPr>
                <w:rFonts w:ascii="標楷體" w:eastAsia="標楷體" w:hAnsi="標楷體" w:hint="eastAsia"/>
              </w:rPr>
              <w:t>季</w:t>
            </w:r>
          </w:p>
        </w:tc>
        <w:tc>
          <w:tcPr>
            <w:tcW w:w="3239" w:type="dxa"/>
            <w:gridSpan w:val="3"/>
            <w:vAlign w:val="center"/>
          </w:tcPr>
          <w:p w:rsidR="00C14D79" w:rsidRPr="004D451D" w:rsidRDefault="00C14D79" w:rsidP="00D20153">
            <w:pPr>
              <w:spacing w:line="240" w:lineRule="atLeast"/>
              <w:jc w:val="center"/>
              <w:rPr>
                <w:rFonts w:ascii="標楷體" w:eastAsia="標楷體" w:hAnsi="標楷體"/>
              </w:rPr>
            </w:pPr>
            <w:r w:rsidRPr="004D451D">
              <w:rPr>
                <w:rFonts w:ascii="標楷體" w:eastAsia="標楷體" w:hAnsi="標楷體" w:hint="eastAsia"/>
              </w:rPr>
              <w:t>前一季</w:t>
            </w:r>
          </w:p>
        </w:tc>
      </w:tr>
      <w:tr w:rsidR="004D451D" w:rsidRPr="004D451D" w:rsidTr="008E4494">
        <w:trPr>
          <w:trHeight w:val="335"/>
        </w:trPr>
        <w:tc>
          <w:tcPr>
            <w:tcW w:w="3112" w:type="dxa"/>
            <w:gridSpan w:val="2"/>
            <w:vMerge/>
            <w:vAlign w:val="center"/>
          </w:tcPr>
          <w:p w:rsidR="00C14D79" w:rsidRPr="004D451D" w:rsidRDefault="00C14D79" w:rsidP="004B75EF">
            <w:pPr>
              <w:spacing w:line="240" w:lineRule="atLeast"/>
              <w:jc w:val="center"/>
              <w:rPr>
                <w:rFonts w:eastAsia="標楷體"/>
              </w:rPr>
            </w:pPr>
          </w:p>
        </w:tc>
        <w:tc>
          <w:tcPr>
            <w:tcW w:w="3113" w:type="dxa"/>
            <w:gridSpan w:val="2"/>
            <w:vAlign w:val="center"/>
          </w:tcPr>
          <w:p w:rsidR="00C14D79" w:rsidRPr="004D451D" w:rsidRDefault="00F620CE" w:rsidP="00403A96">
            <w:pPr>
              <w:spacing w:line="240" w:lineRule="atLeast"/>
              <w:jc w:val="center"/>
              <w:rPr>
                <w:rFonts w:eastAsia="標楷體" w:hAnsi="標楷體"/>
              </w:rPr>
            </w:pPr>
            <w:r w:rsidRPr="004D451D">
              <w:rPr>
                <w:rFonts w:ascii="標楷體" w:eastAsia="標楷體" w:hAnsi="標楷體" w:hint="eastAsia"/>
              </w:rPr>
              <w:t>10</w:t>
            </w:r>
            <w:r w:rsidR="00403A96" w:rsidRPr="004D451D">
              <w:rPr>
                <w:rFonts w:ascii="標楷體" w:eastAsia="標楷體" w:hAnsi="標楷體" w:hint="eastAsia"/>
              </w:rPr>
              <w:t>7</w:t>
            </w:r>
            <w:r w:rsidR="00C14D79" w:rsidRPr="004D451D">
              <w:rPr>
                <w:rFonts w:ascii="標楷體" w:eastAsia="標楷體" w:hAnsi="標楷體" w:hint="eastAsia"/>
              </w:rPr>
              <w:t>年</w:t>
            </w:r>
            <w:r w:rsidR="00403A96" w:rsidRPr="004D451D">
              <w:rPr>
                <w:rFonts w:ascii="標楷體" w:eastAsia="標楷體" w:hAnsi="標楷體" w:hint="eastAsia"/>
              </w:rPr>
              <w:t>06</w:t>
            </w:r>
            <w:r w:rsidR="00C14D79" w:rsidRPr="004D451D">
              <w:rPr>
                <w:rFonts w:ascii="標楷體" w:eastAsia="標楷體" w:hAnsi="標楷體" w:hint="eastAsia"/>
              </w:rPr>
              <w:t>月</w:t>
            </w:r>
            <w:r w:rsidRPr="004D451D">
              <w:rPr>
                <w:rFonts w:ascii="標楷體" w:eastAsia="標楷體" w:hAnsi="標楷體" w:hint="eastAsia"/>
              </w:rPr>
              <w:t>3</w:t>
            </w:r>
            <w:r w:rsidR="00403A96" w:rsidRPr="004D451D">
              <w:rPr>
                <w:rFonts w:ascii="標楷體" w:eastAsia="標楷體" w:hAnsi="標楷體" w:hint="eastAsia"/>
              </w:rPr>
              <w:t>0</w:t>
            </w:r>
            <w:r w:rsidR="00C14D79" w:rsidRPr="004D451D">
              <w:rPr>
                <w:rFonts w:ascii="標楷體" w:eastAsia="標楷體" w:hAnsi="標楷體" w:hint="eastAsia"/>
              </w:rPr>
              <w:t>日</w:t>
            </w:r>
          </w:p>
        </w:tc>
        <w:tc>
          <w:tcPr>
            <w:tcW w:w="3239" w:type="dxa"/>
            <w:gridSpan w:val="3"/>
            <w:vAlign w:val="center"/>
          </w:tcPr>
          <w:p w:rsidR="00C14D79" w:rsidRPr="004D451D" w:rsidRDefault="00F620CE" w:rsidP="00403A96">
            <w:pPr>
              <w:spacing w:line="240" w:lineRule="atLeast"/>
              <w:jc w:val="center"/>
              <w:rPr>
                <w:rFonts w:eastAsia="標楷體" w:hAnsi="標楷體"/>
              </w:rPr>
            </w:pPr>
            <w:r w:rsidRPr="004D451D">
              <w:rPr>
                <w:rFonts w:ascii="標楷體" w:eastAsia="標楷體" w:hAnsi="標楷體" w:hint="eastAsia"/>
              </w:rPr>
              <w:t>10</w:t>
            </w:r>
            <w:r w:rsidR="00403A96" w:rsidRPr="004D451D">
              <w:rPr>
                <w:rFonts w:ascii="標楷體" w:eastAsia="標楷體" w:hAnsi="標楷體" w:hint="eastAsia"/>
              </w:rPr>
              <w:t>7</w:t>
            </w:r>
            <w:r w:rsidR="00C14D79" w:rsidRPr="004D451D">
              <w:rPr>
                <w:rFonts w:ascii="標楷體" w:eastAsia="標楷體" w:hAnsi="標楷體" w:hint="eastAsia"/>
              </w:rPr>
              <w:t>年</w:t>
            </w:r>
            <w:r w:rsidRPr="004D451D">
              <w:rPr>
                <w:rFonts w:ascii="標楷體" w:eastAsia="標楷體" w:hAnsi="標楷體" w:hint="eastAsia"/>
              </w:rPr>
              <w:t>0</w:t>
            </w:r>
            <w:r w:rsidR="00403A96" w:rsidRPr="004D451D">
              <w:rPr>
                <w:rFonts w:ascii="標楷體" w:eastAsia="標楷體" w:hAnsi="標楷體" w:hint="eastAsia"/>
              </w:rPr>
              <w:t>3</w:t>
            </w:r>
            <w:r w:rsidR="00C14D79" w:rsidRPr="004D451D">
              <w:rPr>
                <w:rFonts w:ascii="標楷體" w:eastAsia="標楷體" w:hAnsi="標楷體" w:hint="eastAsia"/>
              </w:rPr>
              <w:t>月</w:t>
            </w:r>
            <w:r w:rsidRPr="004D451D">
              <w:rPr>
                <w:rFonts w:ascii="標楷體" w:eastAsia="標楷體" w:hAnsi="標楷體" w:hint="eastAsia"/>
              </w:rPr>
              <w:t>3</w:t>
            </w:r>
            <w:r w:rsidR="00403A96" w:rsidRPr="004D451D">
              <w:rPr>
                <w:rFonts w:ascii="標楷體" w:eastAsia="標楷體" w:hAnsi="標楷體" w:hint="eastAsia"/>
              </w:rPr>
              <w:t>1</w:t>
            </w:r>
            <w:r w:rsidR="00C14D79" w:rsidRPr="004D451D">
              <w:rPr>
                <w:rFonts w:ascii="標楷體" w:eastAsia="標楷體" w:hAnsi="標楷體" w:hint="eastAsia"/>
              </w:rPr>
              <w:t>日</w:t>
            </w:r>
          </w:p>
        </w:tc>
      </w:tr>
      <w:tr w:rsidR="004D451D" w:rsidRPr="004D451D" w:rsidTr="008E4494">
        <w:trPr>
          <w:trHeight w:val="414"/>
        </w:trPr>
        <w:tc>
          <w:tcPr>
            <w:tcW w:w="3112" w:type="dxa"/>
            <w:gridSpan w:val="2"/>
            <w:vMerge/>
          </w:tcPr>
          <w:p w:rsidR="00C14D79" w:rsidRPr="004D451D" w:rsidRDefault="00C14D79" w:rsidP="004B75EF">
            <w:pPr>
              <w:spacing w:line="240" w:lineRule="atLeast"/>
              <w:jc w:val="center"/>
              <w:rPr>
                <w:rFonts w:eastAsia="標楷體"/>
              </w:rPr>
            </w:pPr>
          </w:p>
        </w:tc>
        <w:tc>
          <w:tcPr>
            <w:tcW w:w="1559" w:type="dxa"/>
          </w:tcPr>
          <w:p w:rsidR="00C14D79" w:rsidRPr="004D451D" w:rsidRDefault="00C14D79" w:rsidP="004B75EF">
            <w:pPr>
              <w:spacing w:line="240" w:lineRule="atLeast"/>
              <w:jc w:val="center"/>
              <w:rPr>
                <w:rFonts w:eastAsia="標楷體" w:hAnsi="標楷體"/>
                <w:vertAlign w:val="superscript"/>
              </w:rPr>
            </w:pPr>
            <w:r w:rsidRPr="004D451D">
              <w:rPr>
                <w:rFonts w:eastAsia="標楷體" w:hAnsi="標楷體" w:hint="eastAsia"/>
                <w:sz w:val="22"/>
                <w:szCs w:val="22"/>
              </w:rPr>
              <w:t>未加權金額</w:t>
            </w:r>
            <w:r w:rsidRPr="004D451D">
              <w:rPr>
                <w:rFonts w:eastAsia="標楷體" w:hAnsi="標楷體"/>
                <w:vertAlign w:val="superscript"/>
              </w:rPr>
              <w:t>1</w:t>
            </w:r>
            <w:r w:rsidR="00593A61" w:rsidRPr="004D451D">
              <w:rPr>
                <w:rFonts w:eastAsia="標楷體" w:hAnsi="標楷體" w:hint="eastAsia"/>
                <w:vertAlign w:val="superscript"/>
              </w:rPr>
              <w:t>,2</w:t>
            </w:r>
            <w:r w:rsidR="00B9094B" w:rsidRPr="004D451D">
              <w:rPr>
                <w:rFonts w:eastAsia="標楷體" w:hAnsi="標楷體" w:hint="eastAsia"/>
                <w:vertAlign w:val="superscript"/>
              </w:rPr>
              <w:t xml:space="preserve"> </w:t>
            </w:r>
            <w:r w:rsidR="00B9094B" w:rsidRPr="004D451D">
              <w:rPr>
                <w:rFonts w:eastAsia="標楷體" w:hAnsi="標楷體" w:hint="eastAsia"/>
              </w:rPr>
              <w:t>A</w:t>
            </w:r>
          </w:p>
        </w:tc>
        <w:tc>
          <w:tcPr>
            <w:tcW w:w="1554" w:type="dxa"/>
          </w:tcPr>
          <w:p w:rsidR="00C14D79" w:rsidRPr="004D451D" w:rsidRDefault="00C14D79" w:rsidP="004B75EF">
            <w:pPr>
              <w:spacing w:line="240" w:lineRule="atLeast"/>
              <w:jc w:val="center"/>
              <w:rPr>
                <w:rFonts w:eastAsia="標楷體" w:hAnsi="標楷體"/>
                <w:vertAlign w:val="superscript"/>
              </w:rPr>
            </w:pPr>
            <w:r w:rsidRPr="004D451D">
              <w:rPr>
                <w:rFonts w:eastAsia="標楷體" w:hAnsi="標楷體" w:hint="eastAsia"/>
                <w:sz w:val="22"/>
                <w:szCs w:val="22"/>
              </w:rPr>
              <w:t>加權後金額</w:t>
            </w:r>
            <w:r w:rsidR="00593A61" w:rsidRPr="004D451D">
              <w:rPr>
                <w:rFonts w:eastAsia="標楷體" w:hAnsi="標楷體" w:hint="eastAsia"/>
                <w:vertAlign w:val="superscript"/>
              </w:rPr>
              <w:t>3</w:t>
            </w:r>
            <w:r w:rsidR="00B9094B" w:rsidRPr="004D451D">
              <w:rPr>
                <w:rFonts w:eastAsia="標楷體" w:hAnsi="標楷體" w:hint="eastAsia"/>
                <w:vertAlign w:val="superscript"/>
              </w:rPr>
              <w:t xml:space="preserve"> </w:t>
            </w:r>
            <w:r w:rsidR="00B9094B" w:rsidRPr="004D451D">
              <w:rPr>
                <w:rFonts w:eastAsia="標楷體" w:hAnsi="標楷體" w:hint="eastAsia"/>
              </w:rPr>
              <w:t>B</w:t>
            </w:r>
          </w:p>
        </w:tc>
        <w:tc>
          <w:tcPr>
            <w:tcW w:w="1688" w:type="dxa"/>
            <w:gridSpan w:val="2"/>
          </w:tcPr>
          <w:p w:rsidR="00C14D79" w:rsidRPr="004D451D" w:rsidRDefault="00C14D79" w:rsidP="004B75EF">
            <w:pPr>
              <w:spacing w:line="240" w:lineRule="atLeast"/>
              <w:jc w:val="center"/>
              <w:rPr>
                <w:rFonts w:eastAsia="標楷體" w:hAnsi="標楷體"/>
                <w:vertAlign w:val="superscript"/>
              </w:rPr>
            </w:pPr>
            <w:r w:rsidRPr="004D451D">
              <w:rPr>
                <w:rFonts w:eastAsia="標楷體" w:hAnsi="標楷體" w:hint="eastAsia"/>
                <w:sz w:val="22"/>
                <w:szCs w:val="22"/>
              </w:rPr>
              <w:t>未加權金額</w:t>
            </w:r>
            <w:r w:rsidRPr="004D451D">
              <w:rPr>
                <w:rFonts w:eastAsia="標楷體" w:hAnsi="標楷體"/>
                <w:vertAlign w:val="superscript"/>
              </w:rPr>
              <w:t>1</w:t>
            </w:r>
            <w:r w:rsidR="00593A61" w:rsidRPr="004D451D">
              <w:rPr>
                <w:rFonts w:eastAsia="標楷體" w:hAnsi="標楷體" w:hint="eastAsia"/>
                <w:vertAlign w:val="superscript"/>
              </w:rPr>
              <w:t>,2</w:t>
            </w:r>
          </w:p>
          <w:p w:rsidR="00B9094B" w:rsidRPr="004D451D" w:rsidRDefault="00B9094B" w:rsidP="004B75EF">
            <w:pPr>
              <w:spacing w:line="240" w:lineRule="atLeast"/>
              <w:jc w:val="center"/>
              <w:rPr>
                <w:rFonts w:eastAsia="標楷體" w:hAnsi="標楷體"/>
              </w:rPr>
            </w:pPr>
            <w:r w:rsidRPr="004D451D">
              <w:rPr>
                <w:rFonts w:eastAsia="標楷體" w:hAnsi="標楷體" w:hint="eastAsia"/>
              </w:rPr>
              <w:t>C</w:t>
            </w:r>
          </w:p>
        </w:tc>
        <w:tc>
          <w:tcPr>
            <w:tcW w:w="1551" w:type="dxa"/>
          </w:tcPr>
          <w:p w:rsidR="00C14D79" w:rsidRPr="004D451D" w:rsidRDefault="00C14D79" w:rsidP="004B75EF">
            <w:pPr>
              <w:spacing w:line="240" w:lineRule="atLeast"/>
              <w:jc w:val="center"/>
              <w:rPr>
                <w:rFonts w:eastAsia="標楷體" w:hAnsi="標楷體"/>
                <w:vertAlign w:val="superscript"/>
              </w:rPr>
            </w:pPr>
            <w:r w:rsidRPr="004D451D">
              <w:rPr>
                <w:rFonts w:eastAsia="標楷體" w:hAnsi="標楷體" w:hint="eastAsia"/>
                <w:sz w:val="22"/>
                <w:szCs w:val="22"/>
              </w:rPr>
              <w:t>加權後金額</w:t>
            </w:r>
            <w:r w:rsidR="00593A61" w:rsidRPr="004D451D">
              <w:rPr>
                <w:rFonts w:eastAsia="標楷體" w:hAnsi="標楷體" w:hint="eastAsia"/>
                <w:vertAlign w:val="superscript"/>
              </w:rPr>
              <w:t>3</w:t>
            </w:r>
          </w:p>
          <w:p w:rsidR="00B9094B" w:rsidRPr="004D451D" w:rsidRDefault="00B9094B" w:rsidP="004B75EF">
            <w:pPr>
              <w:spacing w:line="240" w:lineRule="atLeast"/>
              <w:jc w:val="center"/>
              <w:rPr>
                <w:rFonts w:eastAsia="標楷體" w:hAnsi="標楷體"/>
              </w:rPr>
            </w:pPr>
            <w:r w:rsidRPr="004D451D">
              <w:rPr>
                <w:rFonts w:eastAsia="標楷體" w:hAnsi="標楷體" w:hint="eastAsia"/>
              </w:rPr>
              <w:t>D</w:t>
            </w:r>
          </w:p>
        </w:tc>
      </w:tr>
      <w:tr w:rsidR="004D451D" w:rsidRPr="004D451D" w:rsidTr="00593A61">
        <w:trPr>
          <w:trHeight w:val="338"/>
        </w:trPr>
        <w:tc>
          <w:tcPr>
            <w:tcW w:w="9464" w:type="dxa"/>
            <w:gridSpan w:val="7"/>
            <w:shd w:val="clear" w:color="auto" w:fill="D9D9D9"/>
          </w:tcPr>
          <w:p w:rsidR="00693508" w:rsidRPr="004D451D" w:rsidRDefault="00693508" w:rsidP="004B75EF">
            <w:pPr>
              <w:spacing w:line="240" w:lineRule="atLeast"/>
              <w:rPr>
                <w:rFonts w:eastAsia="標楷體"/>
              </w:rPr>
            </w:pPr>
            <w:r w:rsidRPr="004D451D">
              <w:rPr>
                <w:rFonts w:eastAsia="標楷體" w:hAnsi="標楷體" w:hint="eastAsia"/>
                <w:b/>
              </w:rPr>
              <w:t>高品質流動性資產</w:t>
            </w:r>
          </w:p>
        </w:tc>
      </w:tr>
      <w:tr w:rsidR="004D451D" w:rsidRPr="004D451D" w:rsidTr="009C783C">
        <w:trPr>
          <w:trHeight w:val="365"/>
        </w:trPr>
        <w:tc>
          <w:tcPr>
            <w:tcW w:w="607" w:type="dxa"/>
          </w:tcPr>
          <w:p w:rsidR="009C783C" w:rsidRPr="004D451D" w:rsidRDefault="009C783C" w:rsidP="004B75EF">
            <w:pPr>
              <w:spacing w:line="240" w:lineRule="atLeast"/>
              <w:jc w:val="center"/>
              <w:rPr>
                <w:rFonts w:eastAsia="標楷體"/>
              </w:rPr>
            </w:pPr>
            <w:r w:rsidRPr="004D451D">
              <w:rPr>
                <w:rFonts w:eastAsia="標楷體"/>
              </w:rPr>
              <w:t>1</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高品質流動性資產總額</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rPr>
              <w:t>63,651,149</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rPr>
              <w:t>58,360,326</w:t>
            </w:r>
          </w:p>
        </w:tc>
        <w:tc>
          <w:tcPr>
            <w:tcW w:w="1551" w:type="dxa"/>
            <w:vAlign w:val="center"/>
          </w:tcPr>
          <w:p w:rsidR="009C783C" w:rsidRPr="004D451D" w:rsidRDefault="009C783C" w:rsidP="009C783C">
            <w:pPr>
              <w:jc w:val="right"/>
            </w:pPr>
            <w:r w:rsidRPr="004D451D">
              <w:t xml:space="preserve"> 69,499,300 </w:t>
            </w:r>
          </w:p>
        </w:tc>
        <w:tc>
          <w:tcPr>
            <w:tcW w:w="1688" w:type="dxa"/>
            <w:gridSpan w:val="2"/>
            <w:vAlign w:val="center"/>
          </w:tcPr>
          <w:p w:rsidR="009C783C" w:rsidRPr="004D451D" w:rsidRDefault="009C783C" w:rsidP="009C783C">
            <w:pPr>
              <w:jc w:val="right"/>
            </w:pPr>
            <w:r w:rsidRPr="004D451D">
              <w:t xml:space="preserve"> 63,210,256 </w:t>
            </w:r>
          </w:p>
        </w:tc>
      </w:tr>
      <w:tr w:rsidR="004D451D" w:rsidRPr="004D451D" w:rsidTr="00593A61">
        <w:trPr>
          <w:trHeight w:val="353"/>
        </w:trPr>
        <w:tc>
          <w:tcPr>
            <w:tcW w:w="9464" w:type="dxa"/>
            <w:gridSpan w:val="7"/>
            <w:shd w:val="clear" w:color="auto" w:fill="D9D9D9"/>
          </w:tcPr>
          <w:p w:rsidR="00693508" w:rsidRPr="004D451D" w:rsidRDefault="00693508" w:rsidP="004B75EF">
            <w:pPr>
              <w:spacing w:line="240" w:lineRule="atLeast"/>
              <w:rPr>
                <w:rFonts w:eastAsia="標楷體"/>
                <w:b/>
              </w:rPr>
            </w:pPr>
            <w:r w:rsidRPr="004D451D">
              <w:rPr>
                <w:rFonts w:eastAsia="標楷體" w:hAnsi="標楷體" w:hint="eastAsia"/>
                <w:b/>
              </w:rPr>
              <w:t>現金流出</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2</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零售存款與小型企業存款</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161,413,956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8,683,552 </w:t>
            </w:r>
          </w:p>
        </w:tc>
        <w:tc>
          <w:tcPr>
            <w:tcW w:w="1551" w:type="dxa"/>
            <w:vAlign w:val="center"/>
          </w:tcPr>
          <w:p w:rsidR="009C783C" w:rsidRPr="004D451D" w:rsidRDefault="009C783C" w:rsidP="009C783C">
            <w:pPr>
              <w:jc w:val="right"/>
            </w:pPr>
            <w:r w:rsidRPr="004D451D">
              <w:t xml:space="preserve"> 160,726,616 </w:t>
            </w:r>
          </w:p>
        </w:tc>
        <w:tc>
          <w:tcPr>
            <w:tcW w:w="1688" w:type="dxa"/>
            <w:gridSpan w:val="2"/>
            <w:vAlign w:val="center"/>
          </w:tcPr>
          <w:p w:rsidR="009C783C" w:rsidRPr="004D451D" w:rsidRDefault="009C783C" w:rsidP="009C783C">
            <w:pPr>
              <w:jc w:val="right"/>
            </w:pPr>
            <w:r w:rsidRPr="004D451D">
              <w:t xml:space="preserve"> 8,580,837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3</w:t>
            </w:r>
          </w:p>
        </w:tc>
        <w:tc>
          <w:tcPr>
            <w:tcW w:w="2505" w:type="dxa"/>
          </w:tcPr>
          <w:p w:rsidR="009C783C" w:rsidRPr="004D451D" w:rsidRDefault="009C783C" w:rsidP="003D6C69">
            <w:pPr>
              <w:spacing w:line="240" w:lineRule="atLeast"/>
              <w:ind w:leftChars="100" w:left="240"/>
              <w:jc w:val="both"/>
              <w:rPr>
                <w:rFonts w:eastAsia="標楷體"/>
              </w:rPr>
            </w:pPr>
            <w:r w:rsidRPr="004D451D">
              <w:rPr>
                <w:rFonts w:eastAsia="標楷體" w:hAnsi="標楷體" w:hint="eastAsia"/>
              </w:rPr>
              <w:t>穩定存款</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110,046,615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3,546,818 </w:t>
            </w:r>
          </w:p>
        </w:tc>
        <w:tc>
          <w:tcPr>
            <w:tcW w:w="1551" w:type="dxa"/>
            <w:vAlign w:val="center"/>
          </w:tcPr>
          <w:p w:rsidR="009C783C" w:rsidRPr="004D451D" w:rsidRDefault="009C783C" w:rsidP="009C783C">
            <w:pPr>
              <w:jc w:val="right"/>
            </w:pPr>
            <w:r w:rsidRPr="004D451D">
              <w:t xml:space="preserve"> 110,464,176 </w:t>
            </w:r>
          </w:p>
        </w:tc>
        <w:tc>
          <w:tcPr>
            <w:tcW w:w="1688" w:type="dxa"/>
            <w:gridSpan w:val="2"/>
            <w:vAlign w:val="center"/>
          </w:tcPr>
          <w:p w:rsidR="009C783C" w:rsidRPr="004D451D" w:rsidRDefault="009C783C" w:rsidP="009C783C">
            <w:pPr>
              <w:jc w:val="right"/>
            </w:pPr>
            <w:r w:rsidRPr="004D451D">
              <w:t xml:space="preserve"> 3,554,593 </w:t>
            </w:r>
          </w:p>
        </w:tc>
      </w:tr>
      <w:tr w:rsidR="004D451D" w:rsidRPr="004D451D" w:rsidTr="009C783C">
        <w:trPr>
          <w:trHeight w:val="338"/>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4</w:t>
            </w:r>
          </w:p>
        </w:tc>
        <w:tc>
          <w:tcPr>
            <w:tcW w:w="2505" w:type="dxa"/>
          </w:tcPr>
          <w:p w:rsidR="009C783C" w:rsidRPr="004D451D" w:rsidRDefault="009C783C" w:rsidP="003D6C69">
            <w:pPr>
              <w:spacing w:line="240" w:lineRule="atLeast"/>
              <w:ind w:leftChars="100" w:left="240"/>
              <w:jc w:val="both"/>
              <w:rPr>
                <w:rFonts w:eastAsia="標楷體"/>
              </w:rPr>
            </w:pPr>
            <w:r w:rsidRPr="004D451D">
              <w:rPr>
                <w:rFonts w:eastAsia="標楷體" w:hAnsi="標楷體" w:hint="eastAsia"/>
              </w:rPr>
              <w:t>較不穩定存款</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51,367,341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5,136,734 </w:t>
            </w:r>
          </w:p>
        </w:tc>
        <w:tc>
          <w:tcPr>
            <w:tcW w:w="1551" w:type="dxa"/>
            <w:vAlign w:val="center"/>
          </w:tcPr>
          <w:p w:rsidR="009C783C" w:rsidRPr="004D451D" w:rsidRDefault="009C783C" w:rsidP="009C783C">
            <w:pPr>
              <w:jc w:val="right"/>
            </w:pPr>
            <w:r w:rsidRPr="004D451D">
              <w:t xml:space="preserve"> 50,262,440 </w:t>
            </w:r>
          </w:p>
        </w:tc>
        <w:tc>
          <w:tcPr>
            <w:tcW w:w="1688" w:type="dxa"/>
            <w:gridSpan w:val="2"/>
            <w:vAlign w:val="center"/>
          </w:tcPr>
          <w:p w:rsidR="009C783C" w:rsidRPr="004D451D" w:rsidRDefault="009C783C" w:rsidP="009C783C">
            <w:pPr>
              <w:jc w:val="right"/>
            </w:pPr>
            <w:r w:rsidRPr="004D451D">
              <w:t xml:space="preserve"> 5,026,244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5</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無擔保批發性資金</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36,998,490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30,969,881 </w:t>
            </w:r>
          </w:p>
        </w:tc>
        <w:tc>
          <w:tcPr>
            <w:tcW w:w="1551" w:type="dxa"/>
            <w:vAlign w:val="center"/>
          </w:tcPr>
          <w:p w:rsidR="009C783C" w:rsidRPr="004D451D" w:rsidRDefault="009C783C" w:rsidP="009C783C">
            <w:pPr>
              <w:jc w:val="right"/>
            </w:pPr>
            <w:r w:rsidRPr="004D451D">
              <w:t xml:space="preserve"> 37,380,951 </w:t>
            </w:r>
          </w:p>
        </w:tc>
        <w:tc>
          <w:tcPr>
            <w:tcW w:w="1688" w:type="dxa"/>
            <w:gridSpan w:val="2"/>
            <w:vAlign w:val="center"/>
          </w:tcPr>
          <w:p w:rsidR="009C783C" w:rsidRPr="004D451D" w:rsidRDefault="009C783C" w:rsidP="009C783C">
            <w:pPr>
              <w:jc w:val="right"/>
            </w:pPr>
            <w:r w:rsidRPr="004D451D">
              <w:t xml:space="preserve"> 31,746,215 </w:t>
            </w:r>
          </w:p>
        </w:tc>
      </w:tr>
      <w:tr w:rsidR="004D451D" w:rsidRPr="004D451D" w:rsidTr="009C783C">
        <w:trPr>
          <w:trHeight w:val="311"/>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6</w:t>
            </w:r>
          </w:p>
        </w:tc>
        <w:tc>
          <w:tcPr>
            <w:tcW w:w="2505" w:type="dxa"/>
          </w:tcPr>
          <w:p w:rsidR="009C783C" w:rsidRPr="004D451D" w:rsidRDefault="009C783C" w:rsidP="003D6C69">
            <w:pPr>
              <w:spacing w:line="240" w:lineRule="atLeast"/>
              <w:ind w:leftChars="100" w:left="240"/>
              <w:jc w:val="both"/>
              <w:rPr>
                <w:rFonts w:eastAsia="標楷體"/>
              </w:rPr>
            </w:pPr>
            <w:r w:rsidRPr="004D451D">
              <w:rPr>
                <w:rFonts w:eastAsia="標楷體" w:hAnsi="標楷體" w:hint="eastAsia"/>
              </w:rPr>
              <w:t>營運存款及於機構網路中合作銀行之存款</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   </w:t>
            </w:r>
          </w:p>
        </w:tc>
        <w:tc>
          <w:tcPr>
            <w:tcW w:w="1551" w:type="dxa"/>
            <w:vAlign w:val="center"/>
          </w:tcPr>
          <w:p w:rsidR="009C783C" w:rsidRPr="004D451D" w:rsidRDefault="009C783C" w:rsidP="009C783C">
            <w:pPr>
              <w:jc w:val="right"/>
            </w:pPr>
            <w:r w:rsidRPr="004D451D">
              <w:t xml:space="preserve"> -   </w:t>
            </w:r>
          </w:p>
        </w:tc>
        <w:tc>
          <w:tcPr>
            <w:tcW w:w="1688" w:type="dxa"/>
            <w:gridSpan w:val="2"/>
            <w:vAlign w:val="center"/>
          </w:tcPr>
          <w:p w:rsidR="009C783C" w:rsidRPr="004D451D" w:rsidRDefault="009C783C" w:rsidP="009C783C">
            <w:pPr>
              <w:jc w:val="right"/>
            </w:pPr>
            <w:r w:rsidRPr="004D451D">
              <w:t xml:space="preserve"> -   </w:t>
            </w:r>
          </w:p>
        </w:tc>
      </w:tr>
      <w:tr w:rsidR="004D451D" w:rsidRPr="004D451D" w:rsidTr="009C783C">
        <w:trPr>
          <w:trHeight w:val="41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7</w:t>
            </w:r>
          </w:p>
        </w:tc>
        <w:tc>
          <w:tcPr>
            <w:tcW w:w="2505" w:type="dxa"/>
            <w:vAlign w:val="center"/>
          </w:tcPr>
          <w:p w:rsidR="009C783C" w:rsidRPr="004D451D" w:rsidRDefault="009C783C" w:rsidP="003D6C69">
            <w:pPr>
              <w:spacing w:line="240" w:lineRule="atLeast"/>
              <w:ind w:leftChars="100" w:left="240"/>
              <w:jc w:val="both"/>
              <w:rPr>
                <w:rFonts w:eastAsia="標楷體"/>
              </w:rPr>
            </w:pPr>
            <w:r w:rsidRPr="004D451D">
              <w:rPr>
                <w:rFonts w:eastAsia="標楷體" w:hAnsi="標楷體" w:hint="eastAsia"/>
              </w:rPr>
              <w:t>非營運存款</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10,047,682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4,019,073 </w:t>
            </w:r>
          </w:p>
        </w:tc>
        <w:tc>
          <w:tcPr>
            <w:tcW w:w="1551" w:type="dxa"/>
            <w:vAlign w:val="center"/>
          </w:tcPr>
          <w:p w:rsidR="009C783C" w:rsidRPr="004D451D" w:rsidRDefault="009C783C" w:rsidP="009C783C">
            <w:pPr>
              <w:jc w:val="right"/>
            </w:pPr>
            <w:r w:rsidRPr="004D451D">
              <w:t xml:space="preserve"> 9,391,226 </w:t>
            </w:r>
          </w:p>
        </w:tc>
        <w:tc>
          <w:tcPr>
            <w:tcW w:w="1688" w:type="dxa"/>
            <w:gridSpan w:val="2"/>
            <w:vAlign w:val="center"/>
          </w:tcPr>
          <w:p w:rsidR="009C783C" w:rsidRPr="004D451D" w:rsidRDefault="009C783C" w:rsidP="009C783C">
            <w:pPr>
              <w:jc w:val="right"/>
            </w:pPr>
            <w:r w:rsidRPr="004D451D">
              <w:t xml:space="preserve"> 3,756,491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8</w:t>
            </w:r>
          </w:p>
        </w:tc>
        <w:tc>
          <w:tcPr>
            <w:tcW w:w="2505" w:type="dxa"/>
          </w:tcPr>
          <w:p w:rsidR="009C783C" w:rsidRPr="004D451D" w:rsidRDefault="009C783C" w:rsidP="003D6C69">
            <w:pPr>
              <w:spacing w:line="240" w:lineRule="atLeast"/>
              <w:ind w:leftChars="100" w:left="240"/>
              <w:jc w:val="both"/>
              <w:rPr>
                <w:rFonts w:eastAsia="標楷體"/>
              </w:rPr>
            </w:pPr>
            <w:r w:rsidRPr="004D451D">
              <w:rPr>
                <w:rFonts w:eastAsia="標楷體" w:hAnsi="標楷體" w:hint="eastAsia"/>
              </w:rPr>
              <w:t>其他無擔保批發性資金</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26,950,808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26,950,808 </w:t>
            </w:r>
          </w:p>
        </w:tc>
        <w:tc>
          <w:tcPr>
            <w:tcW w:w="1551" w:type="dxa"/>
            <w:vAlign w:val="center"/>
          </w:tcPr>
          <w:p w:rsidR="009C783C" w:rsidRPr="004D451D" w:rsidRDefault="009C783C" w:rsidP="009C783C">
            <w:pPr>
              <w:jc w:val="right"/>
            </w:pPr>
            <w:r w:rsidRPr="004D451D">
              <w:t xml:space="preserve"> 27,989,725 </w:t>
            </w:r>
          </w:p>
        </w:tc>
        <w:tc>
          <w:tcPr>
            <w:tcW w:w="1688" w:type="dxa"/>
            <w:gridSpan w:val="2"/>
            <w:vAlign w:val="center"/>
          </w:tcPr>
          <w:p w:rsidR="009C783C" w:rsidRPr="004D451D" w:rsidRDefault="009C783C" w:rsidP="009C783C">
            <w:pPr>
              <w:jc w:val="right"/>
            </w:pPr>
            <w:r w:rsidRPr="004D451D">
              <w:t xml:space="preserve"> 27,989,725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9</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擔保融資交易</w:t>
            </w:r>
          </w:p>
        </w:tc>
        <w:tc>
          <w:tcPr>
            <w:tcW w:w="1559" w:type="dxa"/>
            <w:shd w:val="clear" w:color="auto" w:fill="FFFFFF"/>
            <w:vAlign w:val="center"/>
          </w:tcPr>
          <w:p w:rsidR="009C783C" w:rsidRPr="004D451D" w:rsidRDefault="009C783C" w:rsidP="00403A96">
            <w:pPr>
              <w:jc w:val="right"/>
              <w:rPr>
                <w:rFonts w:ascii="Arial" w:hAnsi="Arial" w:cs="Arial"/>
              </w:rPr>
            </w:pPr>
            <w:r w:rsidRPr="004D451D">
              <w:rPr>
                <w:rFonts w:ascii="Arial" w:hAnsi="Arial" w:cs="Arial" w:hint="eastAsia"/>
              </w:rPr>
              <w:t xml:space="preserve"> 26,808,718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7,215,465 </w:t>
            </w:r>
          </w:p>
        </w:tc>
        <w:tc>
          <w:tcPr>
            <w:tcW w:w="1551" w:type="dxa"/>
            <w:shd w:val="clear" w:color="auto" w:fill="FFFFFF"/>
            <w:vAlign w:val="center"/>
          </w:tcPr>
          <w:p w:rsidR="009C783C" w:rsidRPr="004D451D" w:rsidRDefault="009C783C" w:rsidP="009C783C">
            <w:pPr>
              <w:jc w:val="right"/>
            </w:pPr>
            <w:r w:rsidRPr="004D451D">
              <w:t xml:space="preserve"> 15,781,515 </w:t>
            </w:r>
          </w:p>
        </w:tc>
        <w:tc>
          <w:tcPr>
            <w:tcW w:w="1688" w:type="dxa"/>
            <w:gridSpan w:val="2"/>
            <w:vAlign w:val="center"/>
          </w:tcPr>
          <w:p w:rsidR="009C783C" w:rsidRPr="004D451D" w:rsidRDefault="009C783C" w:rsidP="009C783C">
            <w:pPr>
              <w:jc w:val="right"/>
            </w:pPr>
            <w:r w:rsidRPr="004D451D">
              <w:t xml:space="preserve"> 4,501,652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10</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其他要求</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25,117,431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8,250,330 </w:t>
            </w:r>
          </w:p>
        </w:tc>
        <w:tc>
          <w:tcPr>
            <w:tcW w:w="1551" w:type="dxa"/>
            <w:vAlign w:val="center"/>
          </w:tcPr>
          <w:p w:rsidR="009C783C" w:rsidRPr="004D451D" w:rsidRDefault="009C783C" w:rsidP="009C783C">
            <w:pPr>
              <w:jc w:val="right"/>
            </w:pPr>
            <w:r w:rsidRPr="004D451D">
              <w:t xml:space="preserve"> 22,159,662 </w:t>
            </w:r>
          </w:p>
        </w:tc>
        <w:tc>
          <w:tcPr>
            <w:tcW w:w="1688" w:type="dxa"/>
            <w:gridSpan w:val="2"/>
            <w:vAlign w:val="center"/>
          </w:tcPr>
          <w:p w:rsidR="009C783C" w:rsidRPr="004D451D" w:rsidRDefault="009C783C" w:rsidP="009C783C">
            <w:pPr>
              <w:jc w:val="right"/>
            </w:pPr>
            <w:r w:rsidRPr="004D451D">
              <w:t xml:space="preserve"> 4,917,836 </w:t>
            </w:r>
          </w:p>
        </w:tc>
      </w:tr>
      <w:tr w:rsidR="004D451D" w:rsidRPr="004D451D" w:rsidTr="009C783C">
        <w:trPr>
          <w:trHeight w:val="299"/>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11</w:t>
            </w:r>
          </w:p>
        </w:tc>
        <w:tc>
          <w:tcPr>
            <w:tcW w:w="2505" w:type="dxa"/>
          </w:tcPr>
          <w:p w:rsidR="009C783C" w:rsidRPr="004D451D" w:rsidRDefault="009C783C" w:rsidP="003D6C69">
            <w:pPr>
              <w:spacing w:line="240" w:lineRule="atLeast"/>
              <w:ind w:leftChars="100" w:left="240"/>
              <w:jc w:val="both"/>
              <w:rPr>
                <w:rFonts w:eastAsia="標楷體"/>
              </w:rPr>
            </w:pPr>
            <w:r w:rsidRPr="004D451D">
              <w:rPr>
                <w:rFonts w:eastAsia="標楷體" w:hAnsi="標楷體" w:hint="eastAsia"/>
              </w:rPr>
              <w:t>衍生性商品交易現金流出</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4,794,385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4,794,385 </w:t>
            </w:r>
          </w:p>
        </w:tc>
        <w:tc>
          <w:tcPr>
            <w:tcW w:w="1551" w:type="dxa"/>
            <w:vAlign w:val="center"/>
          </w:tcPr>
          <w:p w:rsidR="009C783C" w:rsidRPr="004D451D" w:rsidRDefault="009C783C" w:rsidP="009C783C">
            <w:pPr>
              <w:jc w:val="right"/>
            </w:pPr>
            <w:r w:rsidRPr="004D451D">
              <w:t xml:space="preserve"> 3,322,749 </w:t>
            </w:r>
          </w:p>
        </w:tc>
        <w:tc>
          <w:tcPr>
            <w:tcW w:w="1688" w:type="dxa"/>
            <w:gridSpan w:val="2"/>
            <w:vAlign w:val="center"/>
          </w:tcPr>
          <w:p w:rsidR="009C783C" w:rsidRPr="004D451D" w:rsidRDefault="009C783C" w:rsidP="009C783C">
            <w:pPr>
              <w:jc w:val="right"/>
            </w:pPr>
            <w:r w:rsidRPr="004D451D">
              <w:t xml:space="preserve"> 3,322,749 </w:t>
            </w:r>
          </w:p>
        </w:tc>
      </w:tr>
      <w:tr w:rsidR="004D451D" w:rsidRPr="004D451D" w:rsidTr="00403A96">
        <w:trPr>
          <w:trHeight w:val="499"/>
        </w:trPr>
        <w:tc>
          <w:tcPr>
            <w:tcW w:w="607" w:type="dxa"/>
            <w:vAlign w:val="center"/>
          </w:tcPr>
          <w:p w:rsidR="00403A96" w:rsidRPr="004D451D" w:rsidRDefault="00403A96" w:rsidP="004B75EF">
            <w:pPr>
              <w:spacing w:line="240" w:lineRule="atLeast"/>
              <w:jc w:val="center"/>
              <w:rPr>
                <w:rFonts w:eastAsia="標楷體"/>
              </w:rPr>
            </w:pPr>
            <w:r w:rsidRPr="004D451D">
              <w:rPr>
                <w:rFonts w:eastAsia="標楷體"/>
              </w:rPr>
              <w:t>12</w:t>
            </w:r>
          </w:p>
        </w:tc>
        <w:tc>
          <w:tcPr>
            <w:tcW w:w="2505" w:type="dxa"/>
            <w:vAlign w:val="center"/>
          </w:tcPr>
          <w:p w:rsidR="00403A96" w:rsidRPr="004D451D" w:rsidRDefault="00403A96" w:rsidP="00ED4EB3">
            <w:pPr>
              <w:spacing w:line="240" w:lineRule="atLeast"/>
              <w:ind w:leftChars="100" w:left="240"/>
              <w:jc w:val="both"/>
              <w:rPr>
                <w:rFonts w:eastAsia="標楷體"/>
              </w:rPr>
            </w:pPr>
            <w:r w:rsidRPr="004D451D">
              <w:rPr>
                <w:rFonts w:eastAsia="標楷體" w:hint="eastAsia"/>
              </w:rPr>
              <w:t>資產基礎商業本票、結構型投資工具、資產擔保證券或特殊目的機構等類似融資工具</w:t>
            </w:r>
            <w:r w:rsidRPr="004D451D">
              <w:rPr>
                <w:rFonts w:eastAsia="標楷體" w:hAnsi="標楷體" w:hint="eastAsia"/>
              </w:rPr>
              <w:t>之資金流出</w:t>
            </w:r>
          </w:p>
        </w:tc>
        <w:tc>
          <w:tcPr>
            <w:tcW w:w="1559" w:type="dxa"/>
            <w:vAlign w:val="center"/>
          </w:tcPr>
          <w:p w:rsidR="00403A96" w:rsidRPr="004D451D" w:rsidRDefault="00403A96" w:rsidP="00403A96">
            <w:pPr>
              <w:jc w:val="right"/>
              <w:rPr>
                <w:rFonts w:ascii="Arial" w:hAnsi="Arial" w:cs="Arial"/>
              </w:rPr>
            </w:pPr>
            <w:r w:rsidRPr="004D451D">
              <w:rPr>
                <w:rFonts w:ascii="Arial" w:hAnsi="Arial" w:cs="Arial" w:hint="eastAsia"/>
              </w:rPr>
              <w:t xml:space="preserve">          -   </w:t>
            </w:r>
          </w:p>
        </w:tc>
        <w:tc>
          <w:tcPr>
            <w:tcW w:w="1554" w:type="dxa"/>
            <w:vAlign w:val="center"/>
          </w:tcPr>
          <w:p w:rsidR="00403A96" w:rsidRPr="004D451D" w:rsidRDefault="00403A96" w:rsidP="00403A96">
            <w:pPr>
              <w:jc w:val="right"/>
              <w:rPr>
                <w:rFonts w:ascii="Arial" w:hAnsi="Arial" w:cs="Arial"/>
              </w:rPr>
            </w:pPr>
            <w:r w:rsidRPr="004D451D">
              <w:rPr>
                <w:rFonts w:ascii="Arial" w:hAnsi="Arial" w:cs="Arial" w:hint="eastAsia"/>
              </w:rPr>
              <w:t xml:space="preserve">         -   </w:t>
            </w:r>
          </w:p>
        </w:tc>
        <w:tc>
          <w:tcPr>
            <w:tcW w:w="1551" w:type="dxa"/>
            <w:vAlign w:val="center"/>
          </w:tcPr>
          <w:p w:rsidR="00403A96" w:rsidRPr="004D451D" w:rsidRDefault="00403A96" w:rsidP="00403A96">
            <w:pPr>
              <w:jc w:val="right"/>
              <w:rPr>
                <w:rFonts w:ascii="Arial" w:hAnsi="Arial" w:cs="Arial"/>
              </w:rPr>
            </w:pPr>
            <w:r w:rsidRPr="004D451D">
              <w:rPr>
                <w:rFonts w:ascii="Arial" w:hAnsi="Arial" w:cs="Arial" w:hint="eastAsia"/>
              </w:rPr>
              <w:t>-</w:t>
            </w:r>
          </w:p>
        </w:tc>
        <w:tc>
          <w:tcPr>
            <w:tcW w:w="1688" w:type="dxa"/>
            <w:gridSpan w:val="2"/>
            <w:vAlign w:val="center"/>
          </w:tcPr>
          <w:p w:rsidR="00403A96" w:rsidRPr="004D451D" w:rsidRDefault="00403A96" w:rsidP="00403A96">
            <w:pPr>
              <w:jc w:val="right"/>
              <w:rPr>
                <w:rFonts w:ascii="Arial" w:hAnsi="Arial" w:cs="Arial"/>
              </w:rPr>
            </w:pPr>
            <w:r w:rsidRPr="004D451D">
              <w:rPr>
                <w:rFonts w:ascii="Arial" w:hAnsi="Arial" w:cs="Arial" w:hint="eastAsia"/>
              </w:rPr>
              <w:t>-</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13</w:t>
            </w:r>
          </w:p>
        </w:tc>
        <w:tc>
          <w:tcPr>
            <w:tcW w:w="2505" w:type="dxa"/>
          </w:tcPr>
          <w:p w:rsidR="009C783C" w:rsidRPr="004D451D" w:rsidRDefault="009C783C" w:rsidP="00ED4EB3">
            <w:pPr>
              <w:spacing w:line="240" w:lineRule="atLeast"/>
              <w:ind w:leftChars="100" w:left="240"/>
              <w:jc w:val="both"/>
              <w:rPr>
                <w:rFonts w:eastAsia="標楷體"/>
              </w:rPr>
            </w:pPr>
            <w:r w:rsidRPr="004D451D">
              <w:rPr>
                <w:rFonts w:eastAsia="標楷體" w:hAnsi="標楷體" w:hint="eastAsia"/>
              </w:rPr>
              <w:t>經承諾信用融資額度及流動性</w:t>
            </w:r>
            <w:r w:rsidRPr="004D451D">
              <w:rPr>
                <w:rFonts w:eastAsia="標楷體" w:hint="eastAsia"/>
              </w:rPr>
              <w:t>融資</w:t>
            </w:r>
            <w:r w:rsidRPr="004D451D">
              <w:rPr>
                <w:rFonts w:eastAsia="標楷體" w:hAnsi="標楷體" w:hint="eastAsia"/>
              </w:rPr>
              <w:t>額度未動用餘額</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13,639,052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1,192,046 </w:t>
            </w:r>
          </w:p>
        </w:tc>
        <w:tc>
          <w:tcPr>
            <w:tcW w:w="1551" w:type="dxa"/>
            <w:vAlign w:val="center"/>
          </w:tcPr>
          <w:p w:rsidR="009C783C" w:rsidRPr="004D451D" w:rsidRDefault="009C783C" w:rsidP="009C783C">
            <w:pPr>
              <w:jc w:val="right"/>
            </w:pPr>
            <w:r w:rsidRPr="004D451D">
              <w:t xml:space="preserve"> 14,160,978 </w:t>
            </w:r>
          </w:p>
        </w:tc>
        <w:tc>
          <w:tcPr>
            <w:tcW w:w="1688" w:type="dxa"/>
            <w:gridSpan w:val="2"/>
            <w:vAlign w:val="center"/>
          </w:tcPr>
          <w:p w:rsidR="009C783C" w:rsidRPr="004D451D" w:rsidRDefault="009C783C" w:rsidP="009C783C">
            <w:pPr>
              <w:jc w:val="right"/>
            </w:pPr>
            <w:r w:rsidRPr="004D451D">
              <w:t xml:space="preserve"> 1,215,590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14</w:t>
            </w:r>
          </w:p>
        </w:tc>
        <w:tc>
          <w:tcPr>
            <w:tcW w:w="2505" w:type="dxa"/>
          </w:tcPr>
          <w:p w:rsidR="009C783C" w:rsidRPr="004D451D" w:rsidRDefault="009C783C" w:rsidP="00ED4EB3">
            <w:pPr>
              <w:spacing w:line="240" w:lineRule="atLeast"/>
              <w:ind w:leftChars="100" w:left="240"/>
              <w:jc w:val="both"/>
              <w:rPr>
                <w:rFonts w:eastAsia="標楷體"/>
              </w:rPr>
            </w:pPr>
            <w:r w:rsidRPr="004D451D">
              <w:rPr>
                <w:rFonts w:eastAsia="標楷體" w:hAnsi="標楷體" w:hint="eastAsia"/>
              </w:rPr>
              <w:t>其他約定現金流出</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2,139,825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2,139,825 </w:t>
            </w:r>
          </w:p>
        </w:tc>
        <w:tc>
          <w:tcPr>
            <w:tcW w:w="1551" w:type="dxa"/>
            <w:vAlign w:val="center"/>
          </w:tcPr>
          <w:p w:rsidR="009C783C" w:rsidRPr="004D451D" w:rsidRDefault="009C783C" w:rsidP="009C783C">
            <w:pPr>
              <w:jc w:val="right"/>
            </w:pPr>
            <w:r w:rsidRPr="004D451D">
              <w:t xml:space="preserve"> 253,884 </w:t>
            </w:r>
          </w:p>
        </w:tc>
        <w:tc>
          <w:tcPr>
            <w:tcW w:w="1688" w:type="dxa"/>
            <w:gridSpan w:val="2"/>
            <w:vAlign w:val="center"/>
          </w:tcPr>
          <w:p w:rsidR="009C783C" w:rsidRPr="004D451D" w:rsidRDefault="009C783C" w:rsidP="009C783C">
            <w:pPr>
              <w:jc w:val="right"/>
            </w:pPr>
            <w:r w:rsidRPr="004D451D">
              <w:t xml:space="preserve"> 253,884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15</w:t>
            </w:r>
          </w:p>
        </w:tc>
        <w:tc>
          <w:tcPr>
            <w:tcW w:w="2505" w:type="dxa"/>
          </w:tcPr>
          <w:p w:rsidR="009C783C" w:rsidRPr="004D451D" w:rsidRDefault="009C783C" w:rsidP="00ED4EB3">
            <w:pPr>
              <w:spacing w:line="240" w:lineRule="atLeast"/>
              <w:ind w:leftChars="100" w:left="240"/>
              <w:jc w:val="both"/>
              <w:rPr>
                <w:rFonts w:eastAsia="標楷體"/>
              </w:rPr>
            </w:pPr>
            <w:r w:rsidRPr="004D451D">
              <w:rPr>
                <w:rFonts w:eastAsia="標楷體" w:hAnsi="標楷體" w:hint="eastAsia"/>
              </w:rPr>
              <w:t>其他或有融資負債</w:t>
            </w:r>
          </w:p>
        </w:tc>
        <w:tc>
          <w:tcPr>
            <w:tcW w:w="1559"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4,544,170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124,075 </w:t>
            </w:r>
          </w:p>
        </w:tc>
        <w:tc>
          <w:tcPr>
            <w:tcW w:w="1551" w:type="dxa"/>
            <w:vAlign w:val="center"/>
          </w:tcPr>
          <w:p w:rsidR="009C783C" w:rsidRPr="004D451D" w:rsidRDefault="009C783C" w:rsidP="009C783C">
            <w:pPr>
              <w:jc w:val="right"/>
            </w:pPr>
            <w:r w:rsidRPr="004D451D">
              <w:t xml:space="preserve"> 4,422,051 </w:t>
            </w:r>
          </w:p>
        </w:tc>
        <w:tc>
          <w:tcPr>
            <w:tcW w:w="1688" w:type="dxa"/>
            <w:gridSpan w:val="2"/>
            <w:vAlign w:val="center"/>
          </w:tcPr>
          <w:p w:rsidR="009C783C" w:rsidRPr="004D451D" w:rsidRDefault="009C783C" w:rsidP="009C783C">
            <w:pPr>
              <w:jc w:val="right"/>
            </w:pPr>
            <w:r w:rsidRPr="004D451D">
              <w:t xml:space="preserve"> 125,613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16</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現金流出總額</w:t>
            </w:r>
          </w:p>
        </w:tc>
        <w:tc>
          <w:tcPr>
            <w:tcW w:w="1559" w:type="dxa"/>
            <w:shd w:val="clear" w:color="auto" w:fill="FFFFFF"/>
            <w:vAlign w:val="center"/>
          </w:tcPr>
          <w:p w:rsidR="009C783C" w:rsidRPr="004D451D" w:rsidRDefault="009C783C" w:rsidP="00403A96">
            <w:pPr>
              <w:jc w:val="right"/>
              <w:rPr>
                <w:rFonts w:ascii="Arial" w:hAnsi="Arial" w:cs="Arial"/>
              </w:rPr>
            </w:pPr>
            <w:r w:rsidRPr="004D451D">
              <w:rPr>
                <w:rFonts w:ascii="Arial" w:hAnsi="Arial" w:cs="Arial" w:hint="eastAsia"/>
              </w:rPr>
              <w:t xml:space="preserve">250,338,596 </w:t>
            </w:r>
          </w:p>
        </w:tc>
        <w:tc>
          <w:tcPr>
            <w:tcW w:w="1554" w:type="dxa"/>
            <w:vAlign w:val="center"/>
          </w:tcPr>
          <w:p w:rsidR="009C783C" w:rsidRPr="004D451D" w:rsidRDefault="009C783C" w:rsidP="00403A96">
            <w:pPr>
              <w:jc w:val="right"/>
              <w:rPr>
                <w:rFonts w:ascii="Arial" w:hAnsi="Arial" w:cs="Arial"/>
              </w:rPr>
            </w:pPr>
            <w:r w:rsidRPr="004D451D">
              <w:rPr>
                <w:rFonts w:ascii="Arial" w:hAnsi="Arial" w:cs="Arial" w:hint="eastAsia"/>
              </w:rPr>
              <w:t xml:space="preserve"> 55,119,228 </w:t>
            </w:r>
          </w:p>
        </w:tc>
        <w:tc>
          <w:tcPr>
            <w:tcW w:w="1551" w:type="dxa"/>
            <w:shd w:val="clear" w:color="auto" w:fill="FFFFFF"/>
            <w:vAlign w:val="center"/>
          </w:tcPr>
          <w:p w:rsidR="009C783C" w:rsidRPr="004D451D" w:rsidRDefault="009C783C" w:rsidP="009C783C">
            <w:pPr>
              <w:jc w:val="right"/>
            </w:pPr>
            <w:r w:rsidRPr="004D451D">
              <w:t xml:space="preserve"> 236,048,744 </w:t>
            </w:r>
          </w:p>
        </w:tc>
        <w:tc>
          <w:tcPr>
            <w:tcW w:w="1688" w:type="dxa"/>
            <w:gridSpan w:val="2"/>
            <w:vAlign w:val="center"/>
          </w:tcPr>
          <w:p w:rsidR="009C783C" w:rsidRPr="004D451D" w:rsidRDefault="009C783C" w:rsidP="009C783C">
            <w:pPr>
              <w:jc w:val="right"/>
            </w:pPr>
            <w:r w:rsidRPr="004D451D">
              <w:t xml:space="preserve"> 49,746,540 </w:t>
            </w:r>
          </w:p>
        </w:tc>
      </w:tr>
      <w:tr w:rsidR="004D451D" w:rsidRPr="004D451D" w:rsidTr="00593A61">
        <w:trPr>
          <w:trHeight w:val="353"/>
        </w:trPr>
        <w:tc>
          <w:tcPr>
            <w:tcW w:w="9464" w:type="dxa"/>
            <w:gridSpan w:val="7"/>
            <w:shd w:val="clear" w:color="auto" w:fill="D9D9D9"/>
          </w:tcPr>
          <w:p w:rsidR="008E4494" w:rsidRPr="004D451D" w:rsidRDefault="008E4494" w:rsidP="004B75EF">
            <w:pPr>
              <w:spacing w:line="240" w:lineRule="atLeast"/>
              <w:rPr>
                <w:rFonts w:eastAsia="標楷體"/>
                <w:b/>
              </w:rPr>
            </w:pPr>
            <w:r w:rsidRPr="004D451D">
              <w:rPr>
                <w:rFonts w:eastAsia="標楷體" w:hAnsi="標楷體" w:hint="eastAsia"/>
                <w:b/>
              </w:rPr>
              <w:t>現金流入</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17</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擔保借出交易</w:t>
            </w:r>
          </w:p>
        </w:tc>
        <w:tc>
          <w:tcPr>
            <w:tcW w:w="1559" w:type="dxa"/>
          </w:tcPr>
          <w:p w:rsidR="009C783C" w:rsidRPr="004D451D" w:rsidRDefault="009C783C" w:rsidP="00403A96">
            <w:pPr>
              <w:jc w:val="right"/>
              <w:rPr>
                <w:rFonts w:ascii="Arial" w:hAnsi="Arial" w:cs="Arial"/>
              </w:rPr>
            </w:pPr>
            <w:r w:rsidRPr="004D451D">
              <w:rPr>
                <w:rFonts w:ascii="Arial" w:hAnsi="Arial" w:cs="Arial"/>
              </w:rPr>
              <w:t xml:space="preserve"> 72,015 </w:t>
            </w:r>
          </w:p>
        </w:tc>
        <w:tc>
          <w:tcPr>
            <w:tcW w:w="1554" w:type="dxa"/>
          </w:tcPr>
          <w:p w:rsidR="009C783C" w:rsidRPr="004D451D" w:rsidRDefault="009C783C" w:rsidP="00403A96">
            <w:pPr>
              <w:jc w:val="right"/>
              <w:rPr>
                <w:rFonts w:ascii="Arial" w:hAnsi="Arial" w:cs="Arial"/>
              </w:rPr>
            </w:pPr>
            <w:r w:rsidRPr="004D451D">
              <w:rPr>
                <w:rFonts w:ascii="Arial" w:hAnsi="Arial" w:cs="Arial"/>
              </w:rPr>
              <w:t xml:space="preserve"> -   </w:t>
            </w:r>
          </w:p>
        </w:tc>
        <w:tc>
          <w:tcPr>
            <w:tcW w:w="1551" w:type="dxa"/>
            <w:vAlign w:val="center"/>
          </w:tcPr>
          <w:p w:rsidR="009C783C" w:rsidRPr="004D451D" w:rsidRDefault="009C783C" w:rsidP="009C783C">
            <w:pPr>
              <w:jc w:val="right"/>
            </w:pPr>
            <w:r w:rsidRPr="004D451D">
              <w:t xml:space="preserve"> 2,598,282 </w:t>
            </w:r>
          </w:p>
        </w:tc>
        <w:tc>
          <w:tcPr>
            <w:tcW w:w="1688" w:type="dxa"/>
            <w:gridSpan w:val="2"/>
            <w:vAlign w:val="center"/>
          </w:tcPr>
          <w:p w:rsidR="009C783C" w:rsidRPr="004D451D" w:rsidRDefault="009C783C" w:rsidP="009C783C">
            <w:pPr>
              <w:jc w:val="right"/>
            </w:pPr>
            <w:r w:rsidRPr="004D451D">
              <w:t xml:space="preserve"> -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18</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履約暴險之現金流入</w:t>
            </w:r>
          </w:p>
        </w:tc>
        <w:tc>
          <w:tcPr>
            <w:tcW w:w="1559" w:type="dxa"/>
          </w:tcPr>
          <w:p w:rsidR="009C783C" w:rsidRPr="004D451D" w:rsidRDefault="009C783C" w:rsidP="00403A96">
            <w:pPr>
              <w:jc w:val="right"/>
              <w:rPr>
                <w:rFonts w:ascii="Arial" w:hAnsi="Arial" w:cs="Arial"/>
              </w:rPr>
            </w:pPr>
            <w:r w:rsidRPr="004D451D">
              <w:rPr>
                <w:rFonts w:ascii="Arial" w:hAnsi="Arial" w:cs="Arial"/>
              </w:rPr>
              <w:t xml:space="preserve"> 8,837,427 </w:t>
            </w:r>
          </w:p>
        </w:tc>
        <w:tc>
          <w:tcPr>
            <w:tcW w:w="1554" w:type="dxa"/>
          </w:tcPr>
          <w:p w:rsidR="009C783C" w:rsidRPr="004D451D" w:rsidRDefault="009C783C" w:rsidP="00403A96">
            <w:pPr>
              <w:jc w:val="right"/>
              <w:rPr>
                <w:rFonts w:ascii="Arial" w:hAnsi="Arial" w:cs="Arial"/>
              </w:rPr>
            </w:pPr>
            <w:r w:rsidRPr="004D451D">
              <w:rPr>
                <w:rFonts w:ascii="Arial" w:hAnsi="Arial" w:cs="Arial"/>
              </w:rPr>
              <w:t xml:space="preserve"> 5,188,061 </w:t>
            </w:r>
          </w:p>
        </w:tc>
        <w:tc>
          <w:tcPr>
            <w:tcW w:w="1551" w:type="dxa"/>
            <w:vAlign w:val="center"/>
          </w:tcPr>
          <w:p w:rsidR="009C783C" w:rsidRPr="004D451D" w:rsidRDefault="009C783C" w:rsidP="009C783C">
            <w:pPr>
              <w:jc w:val="right"/>
            </w:pPr>
            <w:r w:rsidRPr="004D451D">
              <w:t xml:space="preserve"> 13,181,813 </w:t>
            </w:r>
          </w:p>
        </w:tc>
        <w:tc>
          <w:tcPr>
            <w:tcW w:w="1688" w:type="dxa"/>
            <w:gridSpan w:val="2"/>
            <w:vAlign w:val="center"/>
          </w:tcPr>
          <w:p w:rsidR="009C783C" w:rsidRPr="004D451D" w:rsidRDefault="009C783C" w:rsidP="009C783C">
            <w:pPr>
              <w:jc w:val="right"/>
            </w:pPr>
            <w:r w:rsidRPr="004D451D">
              <w:t xml:space="preserve"> 9,898,659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19</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其他現金流入</w:t>
            </w:r>
          </w:p>
        </w:tc>
        <w:tc>
          <w:tcPr>
            <w:tcW w:w="1559" w:type="dxa"/>
          </w:tcPr>
          <w:p w:rsidR="009C783C" w:rsidRPr="004D451D" w:rsidRDefault="009C783C" w:rsidP="00403A96">
            <w:pPr>
              <w:jc w:val="right"/>
              <w:rPr>
                <w:rFonts w:ascii="Arial" w:hAnsi="Arial" w:cs="Arial"/>
              </w:rPr>
            </w:pPr>
            <w:r w:rsidRPr="004D451D">
              <w:rPr>
                <w:rFonts w:ascii="Arial" w:hAnsi="Arial" w:cs="Arial"/>
              </w:rPr>
              <w:t xml:space="preserve"> 5,421,385 </w:t>
            </w:r>
          </w:p>
        </w:tc>
        <w:tc>
          <w:tcPr>
            <w:tcW w:w="1554" w:type="dxa"/>
          </w:tcPr>
          <w:p w:rsidR="009C783C" w:rsidRPr="004D451D" w:rsidRDefault="009C783C" w:rsidP="00403A96">
            <w:pPr>
              <w:jc w:val="right"/>
              <w:rPr>
                <w:rFonts w:ascii="Arial" w:hAnsi="Arial" w:cs="Arial"/>
              </w:rPr>
            </w:pPr>
            <w:r w:rsidRPr="004D451D">
              <w:rPr>
                <w:rFonts w:ascii="Arial" w:hAnsi="Arial" w:cs="Arial"/>
              </w:rPr>
              <w:t xml:space="preserve"> 5,421,385 </w:t>
            </w:r>
          </w:p>
        </w:tc>
        <w:tc>
          <w:tcPr>
            <w:tcW w:w="1551" w:type="dxa"/>
            <w:vAlign w:val="center"/>
          </w:tcPr>
          <w:p w:rsidR="009C783C" w:rsidRPr="004D451D" w:rsidRDefault="009C783C" w:rsidP="009C783C">
            <w:pPr>
              <w:jc w:val="right"/>
            </w:pPr>
            <w:r w:rsidRPr="004D451D">
              <w:t xml:space="preserve"> 3,775,255 </w:t>
            </w:r>
          </w:p>
        </w:tc>
        <w:tc>
          <w:tcPr>
            <w:tcW w:w="1688" w:type="dxa"/>
            <w:gridSpan w:val="2"/>
            <w:vAlign w:val="center"/>
          </w:tcPr>
          <w:p w:rsidR="009C783C" w:rsidRPr="004D451D" w:rsidRDefault="009C783C" w:rsidP="009C783C">
            <w:pPr>
              <w:jc w:val="right"/>
            </w:pPr>
            <w:r w:rsidRPr="004D451D">
              <w:t xml:space="preserve"> 3,775,255 </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20</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現金流入總額</w:t>
            </w:r>
          </w:p>
        </w:tc>
        <w:tc>
          <w:tcPr>
            <w:tcW w:w="1559" w:type="dxa"/>
          </w:tcPr>
          <w:p w:rsidR="009C783C" w:rsidRPr="004D451D" w:rsidRDefault="009C783C" w:rsidP="00403A96">
            <w:pPr>
              <w:jc w:val="right"/>
              <w:rPr>
                <w:rFonts w:ascii="Arial" w:hAnsi="Arial" w:cs="Arial"/>
              </w:rPr>
            </w:pPr>
            <w:r w:rsidRPr="004D451D">
              <w:rPr>
                <w:rFonts w:ascii="Arial" w:hAnsi="Arial" w:cs="Arial"/>
              </w:rPr>
              <w:t xml:space="preserve"> 14,330,827 </w:t>
            </w:r>
          </w:p>
        </w:tc>
        <w:tc>
          <w:tcPr>
            <w:tcW w:w="1554" w:type="dxa"/>
          </w:tcPr>
          <w:p w:rsidR="009C783C" w:rsidRPr="004D451D" w:rsidRDefault="009C783C" w:rsidP="00403A96">
            <w:pPr>
              <w:jc w:val="right"/>
              <w:rPr>
                <w:rFonts w:ascii="Arial" w:hAnsi="Arial" w:cs="Arial"/>
              </w:rPr>
            </w:pPr>
            <w:r w:rsidRPr="004D451D">
              <w:rPr>
                <w:rFonts w:ascii="Arial" w:hAnsi="Arial" w:cs="Arial"/>
              </w:rPr>
              <w:t xml:space="preserve"> 10,609,446 </w:t>
            </w:r>
          </w:p>
        </w:tc>
        <w:tc>
          <w:tcPr>
            <w:tcW w:w="1551" w:type="dxa"/>
            <w:vAlign w:val="center"/>
          </w:tcPr>
          <w:p w:rsidR="009C783C" w:rsidRPr="004D451D" w:rsidRDefault="009C783C" w:rsidP="009C783C">
            <w:pPr>
              <w:jc w:val="right"/>
            </w:pPr>
            <w:r w:rsidRPr="004D451D">
              <w:t xml:space="preserve"> 19,555,350 </w:t>
            </w:r>
          </w:p>
        </w:tc>
        <w:tc>
          <w:tcPr>
            <w:tcW w:w="1688" w:type="dxa"/>
            <w:gridSpan w:val="2"/>
            <w:vAlign w:val="center"/>
          </w:tcPr>
          <w:p w:rsidR="009C783C" w:rsidRPr="004D451D" w:rsidRDefault="009C783C" w:rsidP="009C783C">
            <w:pPr>
              <w:jc w:val="right"/>
            </w:pPr>
            <w:r w:rsidRPr="004D451D">
              <w:t xml:space="preserve"> 13,673,914 </w:t>
            </w:r>
          </w:p>
        </w:tc>
      </w:tr>
      <w:tr w:rsidR="004D451D" w:rsidRPr="004D451D" w:rsidTr="008E4494">
        <w:trPr>
          <w:trHeight w:val="353"/>
        </w:trPr>
        <w:tc>
          <w:tcPr>
            <w:tcW w:w="3112" w:type="dxa"/>
            <w:gridSpan w:val="2"/>
            <w:shd w:val="clear" w:color="auto" w:fill="D9D9D9"/>
            <w:vAlign w:val="center"/>
          </w:tcPr>
          <w:p w:rsidR="008E4494" w:rsidRPr="004D451D" w:rsidRDefault="008E4494" w:rsidP="004B75EF">
            <w:pPr>
              <w:spacing w:line="240" w:lineRule="atLeast"/>
              <w:rPr>
                <w:rFonts w:eastAsia="標楷體"/>
                <w:b/>
              </w:rPr>
            </w:pPr>
            <w:r w:rsidRPr="004D451D">
              <w:rPr>
                <w:rFonts w:eastAsia="標楷體" w:hint="eastAsia"/>
                <w:b/>
              </w:rPr>
              <w:t>流動性覆蓋比率</w:t>
            </w:r>
          </w:p>
        </w:tc>
        <w:tc>
          <w:tcPr>
            <w:tcW w:w="1559" w:type="dxa"/>
            <w:shd w:val="clear" w:color="auto" w:fill="D9D9D9"/>
            <w:vAlign w:val="center"/>
          </w:tcPr>
          <w:p w:rsidR="008E4494" w:rsidRPr="004D451D" w:rsidRDefault="008E4494" w:rsidP="004B75EF">
            <w:pPr>
              <w:spacing w:line="240" w:lineRule="atLeast"/>
              <w:rPr>
                <w:rFonts w:eastAsia="標楷體"/>
                <w:b/>
              </w:rPr>
            </w:pPr>
          </w:p>
        </w:tc>
        <w:tc>
          <w:tcPr>
            <w:tcW w:w="1554" w:type="dxa"/>
            <w:shd w:val="clear" w:color="auto" w:fill="D9D9D9"/>
            <w:vAlign w:val="center"/>
          </w:tcPr>
          <w:p w:rsidR="008E4494" w:rsidRPr="004D451D" w:rsidRDefault="008E4494" w:rsidP="004B75EF">
            <w:pPr>
              <w:spacing w:line="240" w:lineRule="atLeast"/>
              <w:rPr>
                <w:rFonts w:eastAsia="標楷體"/>
                <w:b/>
              </w:rPr>
            </w:pPr>
            <w:r w:rsidRPr="004D451D">
              <w:rPr>
                <w:rFonts w:eastAsia="標楷體" w:hint="eastAsia"/>
                <w:b/>
              </w:rPr>
              <w:t>調整後金額</w:t>
            </w:r>
          </w:p>
        </w:tc>
        <w:tc>
          <w:tcPr>
            <w:tcW w:w="1551" w:type="dxa"/>
            <w:shd w:val="clear" w:color="auto" w:fill="D9D9D9"/>
            <w:vAlign w:val="center"/>
          </w:tcPr>
          <w:p w:rsidR="008E4494" w:rsidRPr="004D451D" w:rsidRDefault="008E4494" w:rsidP="004B75EF">
            <w:pPr>
              <w:spacing w:line="240" w:lineRule="atLeast"/>
              <w:rPr>
                <w:rFonts w:eastAsia="標楷體"/>
                <w:b/>
              </w:rPr>
            </w:pPr>
          </w:p>
        </w:tc>
        <w:tc>
          <w:tcPr>
            <w:tcW w:w="1688" w:type="dxa"/>
            <w:gridSpan w:val="2"/>
            <w:shd w:val="clear" w:color="auto" w:fill="D9D9D9"/>
            <w:vAlign w:val="center"/>
          </w:tcPr>
          <w:p w:rsidR="008E4494" w:rsidRPr="004D451D" w:rsidRDefault="008E4494" w:rsidP="004B75EF">
            <w:pPr>
              <w:spacing w:line="240" w:lineRule="atLeast"/>
              <w:rPr>
                <w:rFonts w:eastAsia="標楷體"/>
                <w:b/>
              </w:rPr>
            </w:pPr>
            <w:r w:rsidRPr="004D451D">
              <w:rPr>
                <w:rFonts w:eastAsia="標楷體" w:hint="eastAsia"/>
                <w:b/>
              </w:rPr>
              <w:t>調整後金額</w:t>
            </w:r>
          </w:p>
        </w:tc>
      </w:tr>
      <w:tr w:rsidR="004D451D" w:rsidRPr="004D451D" w:rsidTr="009C783C">
        <w:trPr>
          <w:trHeight w:val="353"/>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21</w:t>
            </w:r>
          </w:p>
        </w:tc>
        <w:tc>
          <w:tcPr>
            <w:tcW w:w="2505" w:type="dxa"/>
          </w:tcPr>
          <w:p w:rsidR="009C783C" w:rsidRPr="004D451D" w:rsidRDefault="009C783C" w:rsidP="004B75EF">
            <w:pPr>
              <w:spacing w:line="240" w:lineRule="atLeast"/>
              <w:jc w:val="both"/>
              <w:rPr>
                <w:rFonts w:eastAsia="標楷體"/>
                <w:vertAlign w:val="superscript"/>
              </w:rPr>
            </w:pPr>
            <w:r w:rsidRPr="004D451D">
              <w:rPr>
                <w:rFonts w:eastAsia="標楷體" w:hint="eastAsia"/>
              </w:rPr>
              <w:t>合格高品質流動性資產</w:t>
            </w:r>
            <w:r w:rsidRPr="004D451D">
              <w:rPr>
                <w:rFonts w:eastAsia="標楷體" w:hAnsi="標楷體" w:hint="eastAsia"/>
              </w:rPr>
              <w:t>總額</w:t>
            </w:r>
            <w:r w:rsidRPr="004D451D">
              <w:rPr>
                <w:rFonts w:eastAsia="標楷體" w:hAnsi="標楷體" w:hint="eastAsia"/>
                <w:vertAlign w:val="superscript"/>
              </w:rPr>
              <w:t>4</w:t>
            </w:r>
          </w:p>
        </w:tc>
        <w:tc>
          <w:tcPr>
            <w:tcW w:w="1559" w:type="dxa"/>
            <w:shd w:val="clear" w:color="auto" w:fill="7F7F7F"/>
          </w:tcPr>
          <w:p w:rsidR="009C783C" w:rsidRPr="004D451D" w:rsidRDefault="009C783C" w:rsidP="004B75EF">
            <w:pPr>
              <w:spacing w:line="240" w:lineRule="atLeast"/>
              <w:jc w:val="both"/>
              <w:rPr>
                <w:rFonts w:eastAsia="標楷體"/>
              </w:rPr>
            </w:pPr>
          </w:p>
        </w:tc>
        <w:tc>
          <w:tcPr>
            <w:tcW w:w="1554" w:type="dxa"/>
            <w:vAlign w:val="center"/>
          </w:tcPr>
          <w:p w:rsidR="009C783C" w:rsidRPr="004D451D" w:rsidRDefault="009C783C" w:rsidP="009C783C">
            <w:pPr>
              <w:jc w:val="right"/>
            </w:pPr>
            <w:r w:rsidRPr="004D451D">
              <w:t xml:space="preserve"> 58,360,326</w:t>
            </w:r>
          </w:p>
        </w:tc>
        <w:tc>
          <w:tcPr>
            <w:tcW w:w="1551" w:type="dxa"/>
            <w:shd w:val="clear" w:color="auto" w:fill="7F7F7F"/>
          </w:tcPr>
          <w:p w:rsidR="009C783C" w:rsidRPr="004D451D" w:rsidRDefault="009C783C" w:rsidP="004B75EF">
            <w:pPr>
              <w:spacing w:line="240" w:lineRule="atLeast"/>
              <w:rPr>
                <w:rFonts w:eastAsia="標楷體"/>
              </w:rPr>
            </w:pPr>
          </w:p>
        </w:tc>
        <w:tc>
          <w:tcPr>
            <w:tcW w:w="1688" w:type="dxa"/>
            <w:gridSpan w:val="2"/>
            <w:vAlign w:val="center"/>
          </w:tcPr>
          <w:p w:rsidR="009C783C" w:rsidRPr="004D451D" w:rsidRDefault="009C783C" w:rsidP="009C783C">
            <w:pPr>
              <w:jc w:val="right"/>
            </w:pPr>
            <w:r w:rsidRPr="004D451D">
              <w:t xml:space="preserve"> 63,210,256 </w:t>
            </w:r>
          </w:p>
        </w:tc>
      </w:tr>
      <w:tr w:rsidR="004D451D" w:rsidRPr="004D451D" w:rsidTr="009C783C">
        <w:trPr>
          <w:trHeight w:val="367"/>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22</w:t>
            </w:r>
          </w:p>
        </w:tc>
        <w:tc>
          <w:tcPr>
            <w:tcW w:w="2505" w:type="dxa"/>
          </w:tcPr>
          <w:p w:rsidR="009C783C" w:rsidRPr="004D451D" w:rsidRDefault="009C783C" w:rsidP="004B75EF">
            <w:pPr>
              <w:spacing w:line="240" w:lineRule="atLeast"/>
              <w:jc w:val="both"/>
              <w:rPr>
                <w:rFonts w:eastAsia="標楷體"/>
                <w:vertAlign w:val="superscript"/>
              </w:rPr>
            </w:pPr>
            <w:r w:rsidRPr="004D451D">
              <w:rPr>
                <w:rFonts w:eastAsia="標楷體" w:hAnsi="標楷體" w:hint="eastAsia"/>
              </w:rPr>
              <w:t>淨現金流出總計</w:t>
            </w:r>
            <w:r w:rsidRPr="004D451D">
              <w:rPr>
                <w:rFonts w:eastAsia="標楷體" w:hAnsi="標楷體" w:hint="eastAsia"/>
                <w:vertAlign w:val="superscript"/>
              </w:rPr>
              <w:t>4</w:t>
            </w:r>
          </w:p>
        </w:tc>
        <w:tc>
          <w:tcPr>
            <w:tcW w:w="1559" w:type="dxa"/>
            <w:shd w:val="clear" w:color="auto" w:fill="7F7F7F"/>
          </w:tcPr>
          <w:p w:rsidR="009C783C" w:rsidRPr="004D451D" w:rsidRDefault="009C783C" w:rsidP="004B75EF">
            <w:pPr>
              <w:spacing w:line="240" w:lineRule="atLeast"/>
              <w:jc w:val="both"/>
              <w:rPr>
                <w:rFonts w:eastAsia="標楷體"/>
              </w:rPr>
            </w:pPr>
          </w:p>
        </w:tc>
        <w:tc>
          <w:tcPr>
            <w:tcW w:w="1554" w:type="dxa"/>
            <w:vAlign w:val="center"/>
          </w:tcPr>
          <w:p w:rsidR="009C783C" w:rsidRPr="004D451D" w:rsidRDefault="009C783C" w:rsidP="009C783C">
            <w:pPr>
              <w:jc w:val="right"/>
            </w:pPr>
            <w:r w:rsidRPr="004D451D">
              <w:t xml:space="preserve"> 44,509,782 </w:t>
            </w:r>
          </w:p>
        </w:tc>
        <w:tc>
          <w:tcPr>
            <w:tcW w:w="1551" w:type="dxa"/>
            <w:shd w:val="clear" w:color="auto" w:fill="7F7F7F"/>
          </w:tcPr>
          <w:p w:rsidR="009C783C" w:rsidRPr="004D451D" w:rsidRDefault="009C783C" w:rsidP="004B75EF">
            <w:pPr>
              <w:spacing w:line="240" w:lineRule="atLeast"/>
              <w:rPr>
                <w:rFonts w:eastAsia="標楷體"/>
              </w:rPr>
            </w:pPr>
          </w:p>
        </w:tc>
        <w:tc>
          <w:tcPr>
            <w:tcW w:w="1688" w:type="dxa"/>
            <w:gridSpan w:val="2"/>
            <w:vAlign w:val="center"/>
          </w:tcPr>
          <w:p w:rsidR="009C783C" w:rsidRPr="004D451D" w:rsidRDefault="009C783C" w:rsidP="009C783C">
            <w:pPr>
              <w:jc w:val="right"/>
            </w:pPr>
            <w:r w:rsidRPr="004D451D">
              <w:t xml:space="preserve"> 36,072,626 </w:t>
            </w:r>
          </w:p>
        </w:tc>
      </w:tr>
      <w:tr w:rsidR="004D451D" w:rsidRPr="004D451D" w:rsidTr="009C783C">
        <w:trPr>
          <w:trHeight w:val="367"/>
        </w:trPr>
        <w:tc>
          <w:tcPr>
            <w:tcW w:w="607" w:type="dxa"/>
            <w:vAlign w:val="center"/>
          </w:tcPr>
          <w:p w:rsidR="009C783C" w:rsidRPr="004D451D" w:rsidRDefault="009C783C" w:rsidP="004B75EF">
            <w:pPr>
              <w:spacing w:line="240" w:lineRule="atLeast"/>
              <w:jc w:val="center"/>
              <w:rPr>
                <w:rFonts w:eastAsia="標楷體"/>
              </w:rPr>
            </w:pPr>
            <w:r w:rsidRPr="004D451D">
              <w:rPr>
                <w:rFonts w:eastAsia="標楷體"/>
              </w:rPr>
              <w:t>23</w:t>
            </w:r>
          </w:p>
        </w:tc>
        <w:tc>
          <w:tcPr>
            <w:tcW w:w="2505" w:type="dxa"/>
          </w:tcPr>
          <w:p w:rsidR="009C783C" w:rsidRPr="004D451D" w:rsidRDefault="009C783C" w:rsidP="004B75EF">
            <w:pPr>
              <w:spacing w:line="240" w:lineRule="atLeast"/>
              <w:jc w:val="both"/>
              <w:rPr>
                <w:rFonts w:eastAsia="標楷體"/>
              </w:rPr>
            </w:pPr>
            <w:r w:rsidRPr="004D451D">
              <w:rPr>
                <w:rFonts w:eastAsia="標楷體" w:hAnsi="標楷體" w:hint="eastAsia"/>
              </w:rPr>
              <w:t>流動性覆蓋比率</w:t>
            </w:r>
            <w:r w:rsidRPr="004D451D">
              <w:rPr>
                <w:rFonts w:eastAsia="標楷體"/>
              </w:rPr>
              <w:t>(%)</w:t>
            </w:r>
          </w:p>
        </w:tc>
        <w:tc>
          <w:tcPr>
            <w:tcW w:w="1559" w:type="dxa"/>
            <w:shd w:val="clear" w:color="auto" w:fill="7F7F7F"/>
          </w:tcPr>
          <w:p w:rsidR="009C783C" w:rsidRPr="004D451D" w:rsidRDefault="009C783C" w:rsidP="004B75EF">
            <w:pPr>
              <w:spacing w:line="240" w:lineRule="atLeast"/>
              <w:jc w:val="both"/>
              <w:rPr>
                <w:rFonts w:eastAsia="標楷體"/>
              </w:rPr>
            </w:pPr>
          </w:p>
        </w:tc>
        <w:tc>
          <w:tcPr>
            <w:tcW w:w="1554" w:type="dxa"/>
            <w:vAlign w:val="center"/>
          </w:tcPr>
          <w:p w:rsidR="009C783C" w:rsidRPr="004D451D" w:rsidRDefault="009C783C" w:rsidP="009C783C">
            <w:pPr>
              <w:jc w:val="right"/>
            </w:pPr>
            <w:r w:rsidRPr="004D451D">
              <w:t>131.12</w:t>
            </w:r>
          </w:p>
        </w:tc>
        <w:tc>
          <w:tcPr>
            <w:tcW w:w="1551" w:type="dxa"/>
            <w:shd w:val="clear" w:color="auto" w:fill="7F7F7F"/>
          </w:tcPr>
          <w:p w:rsidR="009C783C" w:rsidRPr="004D451D" w:rsidRDefault="009C783C" w:rsidP="004B75EF">
            <w:pPr>
              <w:spacing w:line="240" w:lineRule="atLeast"/>
              <w:rPr>
                <w:rFonts w:eastAsia="標楷體"/>
              </w:rPr>
            </w:pPr>
          </w:p>
        </w:tc>
        <w:tc>
          <w:tcPr>
            <w:tcW w:w="1688" w:type="dxa"/>
            <w:gridSpan w:val="2"/>
            <w:vAlign w:val="center"/>
          </w:tcPr>
          <w:p w:rsidR="009C783C" w:rsidRPr="004D451D" w:rsidRDefault="009C783C" w:rsidP="009C783C">
            <w:pPr>
              <w:jc w:val="right"/>
            </w:pPr>
            <w:r w:rsidRPr="004D451D">
              <w:t>175.23</w:t>
            </w:r>
          </w:p>
        </w:tc>
      </w:tr>
      <w:tr w:rsidR="004D451D" w:rsidRPr="004D451D" w:rsidTr="00593A61">
        <w:trPr>
          <w:trHeight w:val="367"/>
        </w:trPr>
        <w:tc>
          <w:tcPr>
            <w:tcW w:w="9464" w:type="dxa"/>
            <w:gridSpan w:val="7"/>
            <w:vAlign w:val="center"/>
          </w:tcPr>
          <w:p w:rsidR="008E4494" w:rsidRPr="004D451D" w:rsidRDefault="008E4494" w:rsidP="009F53B0">
            <w:pPr>
              <w:pStyle w:val="affb"/>
              <w:numPr>
                <w:ilvl w:val="0"/>
                <w:numId w:val="106"/>
              </w:numPr>
              <w:spacing w:line="240" w:lineRule="atLeast"/>
              <w:ind w:leftChars="0" w:left="340" w:hanging="340"/>
              <w:rPr>
                <w:rFonts w:eastAsia="標楷體"/>
              </w:rPr>
            </w:pPr>
            <w:r w:rsidRPr="004D451D">
              <w:rPr>
                <w:rFonts w:eastAsia="標楷體" w:hint="eastAsia"/>
              </w:rPr>
              <w:t>重大變動原因說明：</w:t>
            </w:r>
          </w:p>
          <w:p w:rsidR="008E4494" w:rsidRPr="004D451D" w:rsidRDefault="008E4494" w:rsidP="009F53B0">
            <w:pPr>
              <w:pStyle w:val="affb"/>
              <w:numPr>
                <w:ilvl w:val="0"/>
                <w:numId w:val="106"/>
              </w:numPr>
              <w:spacing w:line="240" w:lineRule="atLeast"/>
              <w:ind w:leftChars="0" w:left="340" w:hanging="340"/>
              <w:rPr>
                <w:rFonts w:eastAsia="標楷體"/>
              </w:rPr>
            </w:pPr>
            <w:r w:rsidRPr="004D451D">
              <w:rPr>
                <w:rFonts w:eastAsia="標楷體" w:hint="eastAsia"/>
              </w:rPr>
              <w:t>合格高品質流動性資產主要組項目說明：</w:t>
            </w:r>
          </w:p>
          <w:p w:rsidR="008E4494" w:rsidRPr="004D451D" w:rsidRDefault="008E4494" w:rsidP="009F53B0">
            <w:pPr>
              <w:pStyle w:val="affb"/>
              <w:numPr>
                <w:ilvl w:val="0"/>
                <w:numId w:val="106"/>
              </w:numPr>
              <w:spacing w:line="240" w:lineRule="atLeast"/>
              <w:ind w:leftChars="0" w:left="340" w:hanging="340"/>
              <w:rPr>
                <w:rFonts w:eastAsia="標楷體"/>
              </w:rPr>
            </w:pPr>
            <w:r w:rsidRPr="004D451D">
              <w:rPr>
                <w:rFonts w:eastAsia="標楷體" w:hint="eastAsia"/>
              </w:rPr>
              <w:t>其他附註說明：</w:t>
            </w:r>
          </w:p>
        </w:tc>
      </w:tr>
    </w:tbl>
    <w:p w:rsidR="00532410" w:rsidRPr="004D451D" w:rsidRDefault="00532410" w:rsidP="00ED4EB3">
      <w:pPr>
        <w:spacing w:line="340" w:lineRule="exact"/>
        <w:ind w:left="720" w:hangingChars="300" w:hanging="720"/>
        <w:jc w:val="both"/>
        <w:rPr>
          <w:rFonts w:eastAsia="標楷體"/>
        </w:rPr>
      </w:pPr>
      <w:r w:rsidRPr="004D451D">
        <w:rPr>
          <w:rFonts w:eastAsia="標楷體" w:hint="eastAsia"/>
        </w:rPr>
        <w:t>註</w:t>
      </w:r>
      <w:r w:rsidRPr="004D451D">
        <w:rPr>
          <w:rFonts w:eastAsia="標楷體" w:hint="eastAsia"/>
        </w:rPr>
        <w:t>1</w:t>
      </w:r>
      <w:r w:rsidRPr="004D451D">
        <w:rPr>
          <w:rFonts w:eastAsia="標楷體" w:hint="eastAsia"/>
        </w:rPr>
        <w:t>：未加權金額及加權後金額為季底日資料。</w:t>
      </w:r>
    </w:p>
    <w:p w:rsidR="00693508" w:rsidRPr="004D451D" w:rsidRDefault="00693508" w:rsidP="00ED4EB3">
      <w:pPr>
        <w:spacing w:line="340" w:lineRule="exact"/>
        <w:ind w:left="720" w:hangingChars="300" w:hanging="720"/>
        <w:jc w:val="both"/>
        <w:rPr>
          <w:rFonts w:eastAsia="標楷體"/>
        </w:rPr>
      </w:pPr>
      <w:r w:rsidRPr="004D451D">
        <w:rPr>
          <w:rFonts w:eastAsia="標楷體" w:hint="eastAsia"/>
        </w:rPr>
        <w:t>註</w:t>
      </w:r>
      <w:r w:rsidR="00532410" w:rsidRPr="004D451D">
        <w:rPr>
          <w:rFonts w:eastAsia="標楷體" w:hint="eastAsia"/>
        </w:rPr>
        <w:t>2</w:t>
      </w:r>
      <w:r w:rsidRPr="004D451D">
        <w:rPr>
          <w:rFonts w:ascii="標楷體" w:eastAsia="標楷體" w:hAnsi="標楷體" w:hint="eastAsia"/>
        </w:rPr>
        <w:t>：</w:t>
      </w:r>
      <w:r w:rsidRPr="004D451D">
        <w:rPr>
          <w:rFonts w:eastAsia="標楷體" w:hint="eastAsia"/>
        </w:rPr>
        <w:t>未加權之現金流出與流入金額，</w:t>
      </w:r>
      <w:r w:rsidR="00532410" w:rsidRPr="004D451D">
        <w:rPr>
          <w:rFonts w:eastAsia="標楷體" w:hint="eastAsia"/>
        </w:rPr>
        <w:t>請參照「流動性覆蓋比率計算方法說明及表格」之規定填報。</w:t>
      </w:r>
      <w:r w:rsidRPr="004D451D">
        <w:rPr>
          <w:rFonts w:eastAsia="標楷體" w:hint="eastAsia"/>
        </w:rPr>
        <w:t>。</w:t>
      </w:r>
    </w:p>
    <w:p w:rsidR="00693508" w:rsidRPr="004D451D" w:rsidRDefault="00693508" w:rsidP="00ED4EB3">
      <w:pPr>
        <w:spacing w:line="340" w:lineRule="exact"/>
        <w:ind w:left="720" w:hangingChars="300" w:hanging="720"/>
        <w:jc w:val="both"/>
        <w:rPr>
          <w:rFonts w:eastAsia="標楷體"/>
        </w:rPr>
      </w:pPr>
      <w:r w:rsidRPr="004D451D">
        <w:rPr>
          <w:rFonts w:eastAsia="標楷體" w:hint="eastAsia"/>
        </w:rPr>
        <w:t>註</w:t>
      </w:r>
      <w:r w:rsidR="00532410" w:rsidRPr="004D451D">
        <w:rPr>
          <w:rFonts w:eastAsia="標楷體" w:hint="eastAsia"/>
        </w:rPr>
        <w:t>3</w:t>
      </w:r>
      <w:r w:rsidRPr="004D451D">
        <w:rPr>
          <w:rFonts w:ascii="標楷體" w:eastAsia="標楷體" w:hAnsi="標楷體" w:hint="eastAsia"/>
        </w:rPr>
        <w:t>：加權後</w:t>
      </w:r>
      <w:r w:rsidRPr="004D451D">
        <w:rPr>
          <w:rFonts w:eastAsia="標楷體" w:hint="eastAsia"/>
        </w:rPr>
        <w:t>高品質流動性資產</w:t>
      </w:r>
      <w:r w:rsidRPr="004D451D">
        <w:rPr>
          <w:rFonts w:eastAsia="標楷體" w:hAnsi="標楷體" w:hint="eastAsia"/>
        </w:rPr>
        <w:t>金額，係指須適用相關折扣比率後之金額</w:t>
      </w:r>
      <w:r w:rsidRPr="004D451D">
        <w:rPr>
          <w:rFonts w:eastAsia="標楷體" w:hAnsi="標楷體" w:hint="eastAsia"/>
        </w:rPr>
        <w:t>(</w:t>
      </w:r>
      <w:r w:rsidRPr="004D451D">
        <w:rPr>
          <w:rFonts w:eastAsia="標楷體" w:hAnsi="標楷體" w:hint="eastAsia"/>
        </w:rPr>
        <w:t>未經第二層</w:t>
      </w:r>
      <w:r w:rsidRPr="004D451D">
        <w:rPr>
          <w:rFonts w:eastAsia="標楷體"/>
        </w:rPr>
        <w:t>B</w:t>
      </w:r>
      <w:r w:rsidRPr="004D451D">
        <w:rPr>
          <w:rFonts w:eastAsia="標楷體" w:hAnsi="標楷體" w:hint="eastAsia"/>
        </w:rPr>
        <w:t>級與第</w:t>
      </w:r>
      <w:r w:rsidRPr="004D451D">
        <w:rPr>
          <w:rFonts w:eastAsia="標楷體" w:hint="eastAsia"/>
        </w:rPr>
        <w:t>二層資產</w:t>
      </w:r>
      <w:r w:rsidRPr="004D451D">
        <w:rPr>
          <w:rFonts w:eastAsia="標楷體" w:hAnsi="標楷體" w:hint="eastAsia"/>
        </w:rPr>
        <w:t>上限調整之金額</w:t>
      </w:r>
      <w:r w:rsidRPr="004D451D">
        <w:rPr>
          <w:rFonts w:eastAsia="標楷體" w:hAnsi="標楷體" w:hint="eastAsia"/>
        </w:rPr>
        <w:t>)</w:t>
      </w:r>
      <w:r w:rsidRPr="004D451D">
        <w:rPr>
          <w:rFonts w:ascii="標楷體" w:eastAsia="標楷體" w:hAnsi="標楷體" w:hint="eastAsia"/>
        </w:rPr>
        <w:t>；</w:t>
      </w:r>
      <w:r w:rsidRPr="004D451D">
        <w:rPr>
          <w:rFonts w:eastAsia="標楷體" w:hAnsi="標楷體" w:hint="eastAsia"/>
        </w:rPr>
        <w:t>加權後現金流出與流入金額係適用相關流失與流入係數後之金額。</w:t>
      </w:r>
    </w:p>
    <w:p w:rsidR="00693508" w:rsidRPr="004D451D" w:rsidRDefault="00693508" w:rsidP="00ED4EB3">
      <w:pPr>
        <w:spacing w:line="340" w:lineRule="exact"/>
        <w:ind w:left="720" w:hangingChars="300" w:hanging="720"/>
        <w:jc w:val="both"/>
        <w:rPr>
          <w:rFonts w:eastAsia="標楷體"/>
        </w:rPr>
      </w:pPr>
      <w:r w:rsidRPr="004D451D">
        <w:rPr>
          <w:rFonts w:eastAsia="標楷體" w:hint="eastAsia"/>
        </w:rPr>
        <w:t>註</w:t>
      </w:r>
      <w:r w:rsidR="00532410" w:rsidRPr="004D451D">
        <w:rPr>
          <w:rFonts w:eastAsia="標楷體" w:hint="eastAsia"/>
        </w:rPr>
        <w:t>4</w:t>
      </w:r>
      <w:r w:rsidRPr="004D451D">
        <w:rPr>
          <w:rFonts w:ascii="標楷體" w:eastAsia="標楷體" w:hAnsi="標楷體" w:hint="eastAsia"/>
        </w:rPr>
        <w:t>：</w:t>
      </w:r>
      <w:r w:rsidRPr="004D451D">
        <w:rPr>
          <w:rFonts w:eastAsia="標楷體" w:hAnsi="標楷體" w:hint="eastAsia"/>
        </w:rPr>
        <w:t>調整後合格高品質流動性資產總額，係適用折扣比率及第二層</w:t>
      </w:r>
      <w:r w:rsidRPr="004D451D">
        <w:rPr>
          <w:rFonts w:eastAsia="標楷體"/>
        </w:rPr>
        <w:t>B</w:t>
      </w:r>
      <w:r w:rsidRPr="004D451D">
        <w:rPr>
          <w:rFonts w:eastAsia="標楷體" w:hAnsi="標楷體" w:hint="eastAsia"/>
        </w:rPr>
        <w:t>級與第二</w:t>
      </w:r>
      <w:r w:rsidRPr="004D451D">
        <w:rPr>
          <w:rFonts w:eastAsia="標楷體" w:hint="eastAsia"/>
        </w:rPr>
        <w:t>層資產</w:t>
      </w:r>
      <w:r w:rsidRPr="004D451D">
        <w:rPr>
          <w:rFonts w:eastAsia="標楷體" w:hAnsi="標楷體" w:hint="eastAsia"/>
        </w:rPr>
        <w:t>上限調整後之金額</w:t>
      </w:r>
      <w:r w:rsidRPr="004D451D">
        <w:rPr>
          <w:rFonts w:ascii="標楷體" w:eastAsia="標楷體" w:hAnsi="標楷體" w:hint="eastAsia"/>
        </w:rPr>
        <w:t>；</w:t>
      </w:r>
      <w:r w:rsidRPr="004D451D">
        <w:rPr>
          <w:rFonts w:eastAsia="標楷體" w:hAnsi="標楷體" w:hint="eastAsia"/>
        </w:rPr>
        <w:t>調整後淨現金流出總計，係適用相關流失與流入係數及現金流入上限調整後之金額。</w:t>
      </w:r>
    </w:p>
    <w:p w:rsidR="00693508" w:rsidRPr="004D451D" w:rsidRDefault="00693508" w:rsidP="00693508">
      <w:pPr>
        <w:rPr>
          <w:rFonts w:eastAsia="標楷體"/>
        </w:rPr>
      </w:pPr>
    </w:p>
    <w:p w:rsidR="00693508" w:rsidRPr="004D451D" w:rsidRDefault="00693508" w:rsidP="00693508">
      <w:pPr>
        <w:rPr>
          <w:rFonts w:ascii="標楷體" w:eastAsia="標楷體" w:hAnsi="標楷體"/>
          <w:b/>
        </w:rPr>
      </w:pPr>
      <w:r w:rsidRPr="004D451D">
        <w:rPr>
          <w:rFonts w:eastAsia="標楷體" w:hint="eastAsia"/>
          <w:b/>
        </w:rPr>
        <w:t>填表說明</w:t>
      </w:r>
      <w:r w:rsidRPr="004D451D">
        <w:rPr>
          <w:rFonts w:ascii="標楷體" w:eastAsia="標楷體" w:hAnsi="標楷體" w:hint="eastAsia"/>
          <w:b/>
        </w:rPr>
        <w:t>：</w:t>
      </w:r>
    </w:p>
    <w:p w:rsidR="00693508" w:rsidRPr="004D451D" w:rsidRDefault="00532410" w:rsidP="00EF4134">
      <w:pPr>
        <w:pStyle w:val="affb"/>
        <w:numPr>
          <w:ilvl w:val="0"/>
          <w:numId w:val="94"/>
        </w:numPr>
        <w:ind w:leftChars="150" w:left="720" w:hangingChars="150"/>
        <w:jc w:val="both"/>
        <w:rPr>
          <w:rFonts w:eastAsia="標楷體"/>
        </w:rPr>
      </w:pPr>
      <w:r w:rsidRPr="004D451D">
        <w:rPr>
          <w:rFonts w:eastAsia="標楷體"/>
        </w:rPr>
        <w:t>本表更新頻率：半年</w:t>
      </w:r>
      <w:r w:rsidR="00D20153" w:rsidRPr="004D451D">
        <w:rPr>
          <w:rFonts w:eastAsia="標楷體" w:hint="eastAsia"/>
        </w:rPr>
        <w:t>(</w:t>
      </w:r>
      <w:r w:rsidR="00AF4E01" w:rsidRPr="004D451D">
        <w:rPr>
          <w:rFonts w:eastAsia="標楷體" w:hint="eastAsia"/>
        </w:rPr>
        <w:t>每半年揭露</w:t>
      </w:r>
      <w:r w:rsidR="00D20153" w:rsidRPr="004D451D">
        <w:rPr>
          <w:rFonts w:eastAsia="標楷體" w:hint="eastAsia"/>
        </w:rPr>
        <w:t>近兩季資料</w:t>
      </w:r>
      <w:r w:rsidR="00D20153" w:rsidRPr="004D451D">
        <w:rPr>
          <w:rFonts w:eastAsia="標楷體" w:hint="eastAsia"/>
        </w:rPr>
        <w:t>)</w:t>
      </w:r>
      <w:r w:rsidR="00693508" w:rsidRPr="004D451D">
        <w:rPr>
          <w:rFonts w:eastAsia="標楷體"/>
        </w:rPr>
        <w:t>。</w:t>
      </w:r>
    </w:p>
    <w:p w:rsidR="00532410" w:rsidRPr="004D451D" w:rsidRDefault="00532410" w:rsidP="00EF4134">
      <w:pPr>
        <w:pStyle w:val="affb"/>
        <w:numPr>
          <w:ilvl w:val="0"/>
          <w:numId w:val="94"/>
        </w:numPr>
        <w:ind w:leftChars="150" w:left="720" w:hangingChars="150"/>
        <w:jc w:val="both"/>
        <w:rPr>
          <w:rFonts w:eastAsia="標楷體"/>
        </w:rPr>
      </w:pPr>
      <w:r w:rsidRPr="004D451D">
        <w:rPr>
          <w:rFonts w:eastAsia="標楷體"/>
        </w:rPr>
        <w:t>本表採個體基礎填報。</w:t>
      </w:r>
    </w:p>
    <w:p w:rsidR="003D2D68" w:rsidRPr="004D451D" w:rsidRDefault="003D2D68" w:rsidP="00EF4134">
      <w:pPr>
        <w:pStyle w:val="affb"/>
        <w:numPr>
          <w:ilvl w:val="0"/>
          <w:numId w:val="94"/>
        </w:numPr>
        <w:ind w:leftChars="150" w:left="720" w:hangingChars="150"/>
        <w:jc w:val="both"/>
        <w:rPr>
          <w:rFonts w:eastAsia="標楷體"/>
        </w:rPr>
      </w:pPr>
      <w:r w:rsidRPr="004D451D">
        <w:rPr>
          <w:rFonts w:eastAsia="標楷體"/>
        </w:rPr>
        <w:t>黑影欄位不須填報。</w:t>
      </w:r>
    </w:p>
    <w:p w:rsidR="003D2D68" w:rsidRPr="004D451D" w:rsidRDefault="00593A61" w:rsidP="00EF4134">
      <w:pPr>
        <w:pStyle w:val="affb"/>
        <w:numPr>
          <w:ilvl w:val="0"/>
          <w:numId w:val="94"/>
        </w:numPr>
        <w:ind w:leftChars="150" w:left="720" w:hangingChars="150"/>
        <w:jc w:val="both"/>
        <w:rPr>
          <w:rFonts w:eastAsia="標楷體"/>
        </w:rPr>
      </w:pPr>
      <w:r w:rsidRPr="004D451D">
        <w:rPr>
          <w:rFonts w:eastAsia="標楷體"/>
        </w:rPr>
        <w:t>流動性覆蓋比率揭露表可與流動性覆蓋比率計算表</w:t>
      </w:r>
      <w:r w:rsidRPr="004D451D">
        <w:rPr>
          <w:rFonts w:eastAsia="標楷體" w:hint="eastAsia"/>
        </w:rPr>
        <w:t>(</w:t>
      </w:r>
      <w:r w:rsidR="003D2D68" w:rsidRPr="004D451D">
        <w:rPr>
          <w:rFonts w:eastAsia="標楷體"/>
        </w:rPr>
        <w:t>單一申報窗口之報表編號</w:t>
      </w:r>
      <w:r w:rsidR="003D2D68" w:rsidRPr="004D451D">
        <w:rPr>
          <w:rFonts w:eastAsia="標楷體"/>
        </w:rPr>
        <w:t>AI260</w:t>
      </w:r>
      <w:r w:rsidRPr="004D451D">
        <w:rPr>
          <w:rFonts w:eastAsia="標楷體" w:hint="eastAsia"/>
        </w:rPr>
        <w:t>)</w:t>
      </w:r>
      <w:r w:rsidR="003D2D68" w:rsidRPr="004D451D">
        <w:rPr>
          <w:rFonts w:eastAsia="標楷體"/>
        </w:rPr>
        <w:t>相互勾稽，其對應項目整理如表</w:t>
      </w:r>
      <w:r w:rsidR="003D2D68" w:rsidRPr="004D451D">
        <w:rPr>
          <w:rFonts w:eastAsia="標楷體"/>
        </w:rPr>
        <w:t>2</w:t>
      </w:r>
      <w:r w:rsidR="003D2D68" w:rsidRPr="004D451D">
        <w:rPr>
          <w:rFonts w:eastAsia="標楷體"/>
        </w:rPr>
        <w:t>。</w:t>
      </w:r>
    </w:p>
    <w:p w:rsidR="003D2D68" w:rsidRPr="004D451D" w:rsidRDefault="003D2D68" w:rsidP="00EF4134">
      <w:pPr>
        <w:pStyle w:val="affb"/>
        <w:numPr>
          <w:ilvl w:val="0"/>
          <w:numId w:val="94"/>
        </w:numPr>
        <w:ind w:leftChars="150" w:left="720" w:hangingChars="150"/>
        <w:jc w:val="both"/>
        <w:rPr>
          <w:rFonts w:eastAsia="標楷體"/>
        </w:rPr>
      </w:pPr>
      <w:r w:rsidRPr="004D451D">
        <w:rPr>
          <w:rFonts w:eastAsia="標楷體"/>
        </w:rPr>
        <w:t>本表填報資料毋須經會計師覆核。</w:t>
      </w:r>
    </w:p>
    <w:p w:rsidR="003D2D68" w:rsidRPr="004D451D" w:rsidRDefault="003D2D68" w:rsidP="00693508">
      <w:pPr>
        <w:pStyle w:val="affb"/>
        <w:ind w:leftChars="0" w:left="238" w:hangingChars="99" w:hanging="238"/>
        <w:jc w:val="both"/>
        <w:rPr>
          <w:rFonts w:ascii="標楷體" w:eastAsia="標楷體" w:hAnsi="標楷體"/>
        </w:rPr>
      </w:pPr>
    </w:p>
    <w:p w:rsidR="00693508" w:rsidRPr="004D451D" w:rsidRDefault="00693508" w:rsidP="00693508">
      <w:pPr>
        <w:pStyle w:val="affb"/>
        <w:spacing w:line="360" w:lineRule="exact"/>
        <w:ind w:leftChars="0" w:left="461" w:hangingChars="192" w:hanging="461"/>
        <w:jc w:val="center"/>
        <w:rPr>
          <w:rFonts w:ascii="標楷體" w:eastAsia="標楷體" w:hAnsi="標楷體"/>
          <w:b/>
          <w:sz w:val="28"/>
          <w:szCs w:val="28"/>
        </w:rPr>
      </w:pPr>
      <w:r w:rsidRPr="004D451D">
        <w:rPr>
          <w:rFonts w:ascii="標楷體" w:eastAsia="標楷體" w:hAnsi="標楷體"/>
        </w:rPr>
        <w:br w:type="page"/>
      </w:r>
      <w:r w:rsidRPr="004D451D">
        <w:rPr>
          <w:rFonts w:ascii="標楷體" w:eastAsia="標楷體" w:hAnsi="標楷體" w:hint="eastAsia"/>
          <w:b/>
          <w:sz w:val="28"/>
          <w:szCs w:val="28"/>
        </w:rPr>
        <w:t>表</w:t>
      </w:r>
      <w:r w:rsidRPr="004D451D">
        <w:rPr>
          <w:rFonts w:eastAsia="標楷體"/>
          <w:b/>
          <w:sz w:val="28"/>
          <w:szCs w:val="28"/>
        </w:rPr>
        <w:t>2</w:t>
      </w:r>
      <w:r w:rsidRPr="004D451D">
        <w:rPr>
          <w:rFonts w:ascii="標楷體" w:eastAsia="標楷體" w:hAnsi="標楷體" w:hint="eastAsia"/>
          <w:b/>
          <w:sz w:val="28"/>
          <w:szCs w:val="28"/>
        </w:rPr>
        <w:t>：流動性覆蓋比率揭露表項目說明</w:t>
      </w:r>
    </w:p>
    <w:tbl>
      <w:tblPr>
        <w:tblW w:w="964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5386"/>
        <w:gridCol w:w="1701"/>
      </w:tblGrid>
      <w:tr w:rsidR="004D451D" w:rsidRPr="004D451D" w:rsidTr="00490013">
        <w:trPr>
          <w:trHeight w:val="492"/>
          <w:jc w:val="center"/>
        </w:trPr>
        <w:tc>
          <w:tcPr>
            <w:tcW w:w="568" w:type="dxa"/>
            <w:vAlign w:val="center"/>
          </w:tcPr>
          <w:p w:rsidR="00693508" w:rsidRPr="004D451D" w:rsidRDefault="00693508" w:rsidP="004B75EF">
            <w:pPr>
              <w:spacing w:line="320" w:lineRule="exact"/>
              <w:jc w:val="center"/>
              <w:rPr>
                <w:rFonts w:eastAsia="標楷體"/>
              </w:rPr>
            </w:pPr>
            <w:r w:rsidRPr="004D451D">
              <w:rPr>
                <w:rFonts w:eastAsia="標楷體" w:hint="eastAsia"/>
              </w:rPr>
              <w:t>項次</w:t>
            </w:r>
          </w:p>
        </w:tc>
        <w:tc>
          <w:tcPr>
            <w:tcW w:w="1985" w:type="dxa"/>
            <w:vAlign w:val="center"/>
          </w:tcPr>
          <w:p w:rsidR="00693508" w:rsidRPr="004D451D" w:rsidRDefault="00693508" w:rsidP="004B75EF">
            <w:pPr>
              <w:jc w:val="center"/>
              <w:rPr>
                <w:rFonts w:eastAsia="標楷體" w:hAnsi="標楷體"/>
              </w:rPr>
            </w:pPr>
            <w:r w:rsidRPr="004D451D">
              <w:rPr>
                <w:rFonts w:eastAsia="標楷體" w:hAnsi="標楷體" w:hint="eastAsia"/>
              </w:rPr>
              <w:t>項目</w:t>
            </w:r>
          </w:p>
        </w:tc>
        <w:tc>
          <w:tcPr>
            <w:tcW w:w="5386" w:type="dxa"/>
            <w:vAlign w:val="center"/>
          </w:tcPr>
          <w:p w:rsidR="00693508" w:rsidRPr="004D451D" w:rsidRDefault="00693508" w:rsidP="004B75EF">
            <w:pPr>
              <w:jc w:val="center"/>
              <w:rPr>
                <w:rFonts w:eastAsia="標楷體"/>
              </w:rPr>
            </w:pPr>
            <w:r w:rsidRPr="004D451D">
              <w:rPr>
                <w:rFonts w:eastAsia="標楷體" w:hAnsi="標楷體" w:hint="eastAsia"/>
              </w:rPr>
              <w:t>說明</w:t>
            </w:r>
          </w:p>
        </w:tc>
        <w:tc>
          <w:tcPr>
            <w:tcW w:w="1701" w:type="dxa"/>
            <w:vAlign w:val="center"/>
          </w:tcPr>
          <w:p w:rsidR="00693508" w:rsidRPr="004D451D" w:rsidRDefault="00693508" w:rsidP="004B75EF">
            <w:pPr>
              <w:spacing w:line="320" w:lineRule="exact"/>
              <w:jc w:val="center"/>
              <w:rPr>
                <w:rFonts w:eastAsia="標楷體"/>
                <w:vertAlign w:val="superscript"/>
              </w:rPr>
            </w:pPr>
            <w:r w:rsidRPr="004D451D">
              <w:rPr>
                <w:rFonts w:ascii="標楷體" w:eastAsia="標楷體" w:hAnsi="標楷體" w:hint="eastAsia"/>
                <w:sz w:val="22"/>
                <w:szCs w:val="22"/>
              </w:rPr>
              <w:t>與單一申報窗口報表</w:t>
            </w:r>
            <w:r w:rsidRPr="004D451D">
              <w:rPr>
                <w:rFonts w:eastAsia="標楷體"/>
                <w:sz w:val="22"/>
                <w:szCs w:val="22"/>
              </w:rPr>
              <w:t>AI260</w:t>
            </w:r>
            <w:r w:rsidRPr="004D451D">
              <w:rPr>
                <w:rFonts w:eastAsia="標楷體" w:hint="eastAsia"/>
                <w:sz w:val="22"/>
                <w:szCs w:val="22"/>
              </w:rPr>
              <w:t>項目代號對照</w:t>
            </w:r>
            <w:r w:rsidRPr="004D451D">
              <w:rPr>
                <w:rFonts w:eastAsia="標楷體" w:hint="eastAsia"/>
                <w:vertAlign w:val="superscript"/>
              </w:rPr>
              <w:t>註</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1</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hAnsi="標楷體" w:hint="eastAsia"/>
              </w:rPr>
              <w:t>高品質流動性資產總額</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int="eastAsia"/>
              </w:rPr>
              <w:t>包含第一層資產、第二層</w:t>
            </w:r>
            <w:r w:rsidRPr="004D451D">
              <w:rPr>
                <w:rFonts w:eastAsia="標楷體"/>
              </w:rPr>
              <w:t>A</w:t>
            </w:r>
            <w:r w:rsidRPr="004D451D">
              <w:rPr>
                <w:rFonts w:eastAsia="標楷體" w:hint="eastAsia"/>
              </w:rPr>
              <w:t>級資產及第二層</w:t>
            </w:r>
            <w:r w:rsidRPr="004D451D">
              <w:rPr>
                <w:rFonts w:eastAsia="標楷體"/>
              </w:rPr>
              <w:t>B</w:t>
            </w:r>
            <w:r w:rsidRPr="004D451D">
              <w:rPr>
                <w:rFonts w:eastAsia="標楷體" w:hint="eastAsia"/>
              </w:rPr>
              <w:t>級資產</w:t>
            </w:r>
            <w:r w:rsidRPr="004D451D">
              <w:rPr>
                <w:rFonts w:eastAsia="標楷體" w:hAnsi="標楷體" w:hint="eastAsia"/>
              </w:rPr>
              <w:t>，未經第</w:t>
            </w:r>
            <w:r w:rsidRPr="004D451D">
              <w:rPr>
                <w:rFonts w:eastAsia="標楷體" w:hint="eastAsia"/>
              </w:rPr>
              <w:t>二層</w:t>
            </w:r>
            <w:r w:rsidRPr="004D451D">
              <w:rPr>
                <w:rFonts w:eastAsia="標楷體"/>
              </w:rPr>
              <w:t>B</w:t>
            </w:r>
            <w:r w:rsidRPr="004D451D">
              <w:rPr>
                <w:rFonts w:eastAsia="標楷體" w:hAnsi="標楷體" w:hint="eastAsia"/>
              </w:rPr>
              <w:t>級資產</w:t>
            </w:r>
            <w:r w:rsidRPr="004D451D">
              <w:rPr>
                <w:rFonts w:eastAsia="標楷體" w:hAnsi="標楷體"/>
              </w:rPr>
              <w:t>15%</w:t>
            </w:r>
            <w:r w:rsidRPr="004D451D">
              <w:rPr>
                <w:rFonts w:eastAsia="標楷體" w:hAnsi="標楷體" w:hint="eastAsia"/>
              </w:rPr>
              <w:t>上限與第</w:t>
            </w:r>
            <w:r w:rsidRPr="004D451D">
              <w:rPr>
                <w:rFonts w:eastAsia="標楷體" w:hint="eastAsia"/>
              </w:rPr>
              <w:t>二</w:t>
            </w:r>
            <w:r w:rsidRPr="004D451D">
              <w:rPr>
                <w:rFonts w:eastAsia="標楷體" w:hAnsi="標楷體" w:hint="eastAsia"/>
              </w:rPr>
              <w:t>層資產</w:t>
            </w:r>
            <w:r w:rsidRPr="004D451D">
              <w:rPr>
                <w:rFonts w:eastAsia="標楷體" w:hAnsi="標楷體"/>
              </w:rPr>
              <w:t>40%</w:t>
            </w:r>
            <w:r w:rsidRPr="004D451D">
              <w:rPr>
                <w:rFonts w:eastAsia="標楷體" w:hAnsi="標楷體" w:hint="eastAsia"/>
              </w:rPr>
              <w:t>上限調整前之金額。</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ind w:left="883" w:hangingChars="368" w:hanging="883"/>
              <w:jc w:val="both"/>
              <w:rPr>
                <w:rFonts w:eastAsia="標楷體"/>
              </w:rPr>
            </w:pPr>
            <w:r w:rsidRPr="004D451D">
              <w:rPr>
                <w:rFonts w:eastAsia="標楷體"/>
              </w:rPr>
              <w:t>11000+14000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2</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零售存款與小型企業存款</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來自自然人與小型企業之穩定存款及較不穩定存款</w:t>
            </w:r>
            <w:r w:rsidRPr="004D451D">
              <w:rPr>
                <w:rFonts w:ascii="標楷體"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ind w:left="883" w:hangingChars="368" w:hanging="883"/>
              <w:jc w:val="both"/>
              <w:rPr>
                <w:rFonts w:eastAsia="標楷體"/>
              </w:rPr>
            </w:pPr>
            <w:r w:rsidRPr="004D451D">
              <w:rPr>
                <w:rFonts w:eastAsia="標楷體"/>
              </w:rPr>
              <w:t>21000+22100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3</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零售存款與小型企業存款中之穩定存款</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項次</w:t>
            </w:r>
            <w:r w:rsidRPr="004D451D">
              <w:rPr>
                <w:rFonts w:eastAsia="標楷體" w:hAnsi="標楷體"/>
              </w:rPr>
              <w:t>2</w:t>
            </w:r>
            <w:r w:rsidRPr="004D451D">
              <w:rPr>
                <w:rFonts w:eastAsia="標楷體" w:hAnsi="標楷體" w:hint="eastAsia"/>
              </w:rPr>
              <w:t>中屬穩定存款者。</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21011+21012</w:t>
            </w:r>
          </w:p>
          <w:p w:rsidR="00693508" w:rsidRPr="004D451D" w:rsidRDefault="00693508" w:rsidP="004B75EF">
            <w:pPr>
              <w:spacing w:line="356" w:lineRule="exact"/>
              <w:jc w:val="both"/>
              <w:rPr>
                <w:rFonts w:eastAsia="標楷體"/>
              </w:rPr>
            </w:pPr>
            <w:r w:rsidRPr="004D451D">
              <w:rPr>
                <w:rFonts w:eastAsia="標楷體"/>
              </w:rPr>
              <w:t>+21021+22111</w:t>
            </w:r>
          </w:p>
          <w:p w:rsidR="00693508" w:rsidRPr="004D451D" w:rsidRDefault="00693508" w:rsidP="004B75EF">
            <w:pPr>
              <w:spacing w:line="356" w:lineRule="exact"/>
              <w:jc w:val="both"/>
              <w:rPr>
                <w:rFonts w:eastAsia="標楷體"/>
              </w:rPr>
            </w:pPr>
            <w:r w:rsidRPr="004D451D">
              <w:rPr>
                <w:rFonts w:eastAsia="標楷體"/>
              </w:rPr>
              <w:t>+22121</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4</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零售存款與小型企業存款中之較不穩定存款</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項次</w:t>
            </w:r>
            <w:r w:rsidRPr="004D451D">
              <w:rPr>
                <w:rFonts w:eastAsia="標楷體" w:hAnsi="標楷體"/>
              </w:rPr>
              <w:t>2</w:t>
            </w:r>
            <w:r w:rsidRPr="004D451D">
              <w:rPr>
                <w:rFonts w:eastAsia="標楷體" w:hAnsi="標楷體" w:hint="eastAsia"/>
              </w:rPr>
              <w:t>中非屬穩定存款者</w:t>
            </w:r>
            <w:r w:rsidRPr="004D451D">
              <w:rPr>
                <w:rFonts w:eastAsia="標楷體" w:hAnsi="標楷體"/>
              </w:rPr>
              <w:t>(</w:t>
            </w:r>
            <w:r w:rsidRPr="004D451D">
              <w:rPr>
                <w:rFonts w:eastAsia="標楷體" w:hAnsi="標楷體" w:hint="eastAsia"/>
              </w:rPr>
              <w:t>包含較不穩定存款及外幣存款</w:t>
            </w:r>
            <w:r w:rsidRPr="004D451D">
              <w:rPr>
                <w:rFonts w:eastAsia="標楷體" w:hAnsi="標楷體"/>
              </w:rPr>
              <w:t>)</w:t>
            </w:r>
            <w:r w:rsidRPr="004D451D">
              <w:rPr>
                <w:rFonts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21013+21014</w:t>
            </w:r>
          </w:p>
          <w:p w:rsidR="00693508" w:rsidRPr="004D451D" w:rsidRDefault="00693508" w:rsidP="004B75EF">
            <w:pPr>
              <w:spacing w:line="356" w:lineRule="exact"/>
              <w:jc w:val="both"/>
              <w:rPr>
                <w:rFonts w:eastAsia="標楷體"/>
              </w:rPr>
            </w:pPr>
            <w:r w:rsidRPr="004D451D">
              <w:rPr>
                <w:rFonts w:eastAsia="標楷體"/>
              </w:rPr>
              <w:t>+21022+22112</w:t>
            </w:r>
          </w:p>
          <w:p w:rsidR="00693508" w:rsidRPr="004D451D" w:rsidRDefault="00693508" w:rsidP="004B75EF">
            <w:pPr>
              <w:spacing w:line="356" w:lineRule="exact"/>
              <w:jc w:val="both"/>
              <w:rPr>
                <w:rFonts w:eastAsia="標楷體"/>
              </w:rPr>
            </w:pPr>
            <w:r w:rsidRPr="004D451D">
              <w:rPr>
                <w:rFonts w:eastAsia="標楷體"/>
              </w:rPr>
              <w:t>+22113+22122</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5</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無擔保批發性資金</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包含營運存款</w:t>
            </w:r>
            <w:r w:rsidRPr="004D451D">
              <w:rPr>
                <w:rFonts w:ascii="標楷體" w:eastAsia="標楷體" w:hAnsi="標楷體" w:hint="eastAsia"/>
              </w:rPr>
              <w:t>、</w:t>
            </w:r>
            <w:r w:rsidRPr="004D451D">
              <w:rPr>
                <w:rFonts w:eastAsia="標楷體" w:hAnsi="標楷體" w:hint="eastAsia"/>
              </w:rPr>
              <w:t>非營運存款</w:t>
            </w:r>
            <w:r w:rsidRPr="004D451D">
              <w:rPr>
                <w:rFonts w:ascii="標楷體" w:eastAsia="標楷體" w:hAnsi="標楷體" w:hint="eastAsia"/>
              </w:rPr>
              <w:t>、</w:t>
            </w:r>
            <w:r w:rsidRPr="004D451D">
              <w:rPr>
                <w:rFonts w:eastAsia="標楷體" w:hAnsi="標楷體" w:hint="eastAsia"/>
              </w:rPr>
              <w:t>於機構網路中合作銀行之存款</w:t>
            </w:r>
            <w:r w:rsidRPr="004D451D">
              <w:rPr>
                <w:rFonts w:ascii="標楷體" w:eastAsia="標楷體" w:hAnsi="標楷體" w:hint="eastAsia"/>
              </w:rPr>
              <w:t>及</w:t>
            </w:r>
            <w:r w:rsidRPr="004D451D">
              <w:rPr>
                <w:rFonts w:eastAsia="標楷體" w:hAnsi="標楷體" w:hint="eastAsia"/>
              </w:rPr>
              <w:t>其他存款</w:t>
            </w:r>
            <w:r w:rsidRPr="004D451D">
              <w:rPr>
                <w:rFonts w:eastAsia="標楷體" w:hAnsi="標楷體"/>
              </w:rPr>
              <w:t>(</w:t>
            </w:r>
            <w:r w:rsidRPr="004D451D">
              <w:rPr>
                <w:rFonts w:eastAsia="標楷體" w:hAnsi="標楷體" w:hint="eastAsia"/>
              </w:rPr>
              <w:t>負債</w:t>
            </w:r>
            <w:r w:rsidRPr="004D451D">
              <w:rPr>
                <w:rFonts w:eastAsia="標楷體" w:hAnsi="標楷體"/>
              </w:rPr>
              <w:t>)</w:t>
            </w:r>
            <w:r w:rsidRPr="004D451D">
              <w:rPr>
                <w:rFonts w:eastAsia="標楷體" w:hAnsi="標楷體" w:hint="eastAsia"/>
              </w:rPr>
              <w:t>等。</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22200+22300</w:t>
            </w:r>
          </w:p>
          <w:p w:rsidR="00693508" w:rsidRPr="004D451D" w:rsidRDefault="00693508" w:rsidP="004B75EF">
            <w:pPr>
              <w:spacing w:line="356" w:lineRule="exact"/>
              <w:ind w:left="883" w:hangingChars="368" w:hanging="883"/>
              <w:jc w:val="both"/>
              <w:rPr>
                <w:rFonts w:eastAsia="標楷體"/>
              </w:rPr>
            </w:pPr>
            <w:r w:rsidRPr="004D451D">
              <w:rPr>
                <w:rFonts w:eastAsia="標楷體"/>
              </w:rPr>
              <w:t>+22400+22500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17"/>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6</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營運存款及於機構網路中合作銀行之存款</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營運存款係指基於營運目的所需之存款，包含清算、保管與現金管理</w:t>
            </w:r>
            <w:r w:rsidRPr="004D451D">
              <w:rPr>
                <w:rFonts w:ascii="標楷體" w:eastAsia="標楷體" w:hAnsi="標楷體" w:hint="eastAsia"/>
              </w:rPr>
              <w:t>；</w:t>
            </w:r>
            <w:r w:rsidRPr="004D451D">
              <w:rPr>
                <w:rFonts w:eastAsia="標楷體" w:hAnsi="標楷體" w:hint="eastAsia"/>
              </w:rPr>
              <w:t>於機構網路中合作銀行之存款，係指銀行合作網路中，成員機構存於集中機構並符合一定條件之存款。</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ind w:left="883" w:hangingChars="368" w:hanging="883"/>
              <w:jc w:val="both"/>
              <w:rPr>
                <w:rFonts w:eastAsia="標楷體"/>
              </w:rPr>
            </w:pPr>
            <w:r w:rsidRPr="004D451D">
              <w:rPr>
                <w:rFonts w:eastAsia="標楷體"/>
              </w:rPr>
              <w:t>22200+22400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7</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非營運存款</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非依前述營運目的所為之批發性存款。</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22300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7"/>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8</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其他無擔保批發性資金</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非歸類於前述營運存款、於機構網路中合作銀行之存款及非營運存款之其他無擔保批發性資金</w:t>
            </w:r>
            <w:r w:rsidRPr="004D451D">
              <w:rPr>
                <w:rFonts w:ascii="標楷體" w:eastAsia="標楷體" w:hAnsi="標楷體" w:hint="eastAsia"/>
              </w:rPr>
              <w:t>〔其他存款</w:t>
            </w:r>
            <w:r w:rsidRPr="004D451D">
              <w:rPr>
                <w:rFonts w:ascii="標楷體" w:eastAsia="標楷體" w:hAnsi="標楷體"/>
              </w:rPr>
              <w:t>(</w:t>
            </w:r>
            <w:r w:rsidRPr="004D451D">
              <w:rPr>
                <w:rFonts w:ascii="標楷體" w:eastAsia="標楷體" w:hAnsi="標楷體" w:hint="eastAsia"/>
              </w:rPr>
              <w:t>負債</w:t>
            </w:r>
            <w:r w:rsidRPr="004D451D">
              <w:rPr>
                <w:rFonts w:ascii="標楷體" w:eastAsia="標楷體" w:hAnsi="標楷體"/>
              </w:rPr>
              <w:t>)</w:t>
            </w:r>
            <w:r w:rsidRPr="004D451D">
              <w:rPr>
                <w:rFonts w:ascii="標楷體" w:eastAsia="標楷體" w:hAnsi="標楷體" w:hint="eastAsia"/>
              </w:rPr>
              <w:t>〕</w:t>
            </w:r>
            <w:r w:rsidRPr="004D451D">
              <w:rPr>
                <w:rFonts w:eastAsia="標楷體" w:hAnsi="標楷體" w:hint="eastAsia"/>
              </w:rPr>
              <w:t>。</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22500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9</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hAnsi="標楷體" w:hint="eastAsia"/>
              </w:rPr>
              <w:t>擔保融資交易</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hint="eastAsia"/>
              </w:rPr>
              <w:t>擔保融資交易係指由銀行以特定資產為擔保之負債和義務，在其破產、清算或重整時該等資產具法律擔保效力，如附買回、有價證券借出、擔保品交換或其他類似形式之交易。</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23000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10</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其他現金流出要求</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shd w:val="pct15" w:color="auto" w:fill="FFFFFF"/>
              </w:rPr>
            </w:pPr>
            <w:r w:rsidRPr="004D451D">
              <w:rPr>
                <w:rFonts w:eastAsia="標楷體" w:hAnsi="標楷體" w:hint="eastAsia"/>
              </w:rPr>
              <w:t>包含</w:t>
            </w:r>
            <w:r w:rsidRPr="004D451D">
              <w:rPr>
                <w:rFonts w:eastAsia="標楷體" w:hint="eastAsia"/>
              </w:rPr>
              <w:t>衍生性商品交易現金流出</w:t>
            </w:r>
            <w:r w:rsidRPr="004D451D">
              <w:rPr>
                <w:rFonts w:ascii="標楷體" w:eastAsia="標楷體" w:hAnsi="標楷體" w:hint="eastAsia"/>
              </w:rPr>
              <w:t>、</w:t>
            </w:r>
            <w:r w:rsidRPr="004D451D">
              <w:rPr>
                <w:rFonts w:eastAsia="標楷體" w:hint="eastAsia"/>
              </w:rPr>
              <w:t>資產基礎商業本票、結構型投資工具、資產擔保證券或特殊目的機構等類似融資工具之資金流出</w:t>
            </w:r>
            <w:r w:rsidRPr="004D451D">
              <w:rPr>
                <w:rFonts w:ascii="標楷體" w:eastAsia="標楷體" w:hAnsi="標楷體" w:hint="eastAsia"/>
              </w:rPr>
              <w:t>、</w:t>
            </w:r>
            <w:r w:rsidRPr="004D451D">
              <w:rPr>
                <w:rFonts w:eastAsia="標楷體" w:hint="eastAsia"/>
              </w:rPr>
              <w:t>經承諾信用融資額度及流動性融資額度未動用餘額</w:t>
            </w:r>
            <w:r w:rsidRPr="004D451D">
              <w:rPr>
                <w:rFonts w:ascii="標楷體" w:eastAsia="標楷體" w:hAnsi="標楷體" w:hint="eastAsia"/>
              </w:rPr>
              <w:t>、</w:t>
            </w:r>
            <w:r w:rsidRPr="004D451D">
              <w:rPr>
                <w:rFonts w:eastAsia="標楷體" w:hint="eastAsia"/>
              </w:rPr>
              <w:t>其他或有融資負債</w:t>
            </w:r>
            <w:r w:rsidRPr="004D451D">
              <w:rPr>
                <w:rFonts w:ascii="標楷體" w:eastAsia="標楷體" w:hAnsi="標楷體" w:hint="eastAsia"/>
              </w:rPr>
              <w:t>及</w:t>
            </w:r>
            <w:r w:rsidRPr="004D451D">
              <w:rPr>
                <w:rFonts w:eastAsia="標楷體" w:hint="eastAsia"/>
              </w:rPr>
              <w:t>其他約定現金流出</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24000</w:t>
            </w:r>
          </w:p>
        </w:tc>
      </w:tr>
      <w:tr w:rsidR="004D451D" w:rsidRPr="004D451D" w:rsidTr="00490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jc w:val="center"/>
        </w:trPr>
        <w:tc>
          <w:tcPr>
            <w:tcW w:w="568"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center"/>
              <w:rPr>
                <w:rFonts w:eastAsia="標楷體"/>
              </w:rPr>
            </w:pPr>
            <w:r w:rsidRPr="004D451D">
              <w:rPr>
                <w:rFonts w:eastAsia="標楷體"/>
              </w:rPr>
              <w:t>11</w:t>
            </w:r>
          </w:p>
        </w:tc>
        <w:tc>
          <w:tcPr>
            <w:tcW w:w="1985"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衍生性商品交易現金流出</w:t>
            </w:r>
          </w:p>
        </w:tc>
        <w:tc>
          <w:tcPr>
            <w:tcW w:w="5386"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hAnsi="標楷體"/>
              </w:rPr>
            </w:pPr>
            <w:r w:rsidRPr="004D451D">
              <w:rPr>
                <w:rFonts w:eastAsia="標楷體" w:hAnsi="標楷體" w:hint="eastAsia"/>
              </w:rPr>
              <w:t>包含</w:t>
            </w:r>
            <w:r w:rsidRPr="004D451D">
              <w:rPr>
                <w:rFonts w:eastAsia="標楷體" w:hint="eastAsia"/>
              </w:rPr>
              <w:t>衍生性商品淨現金流出、融資交易、衍生性商品及其他契約因評等調降觸發機制所產生之流動性需求、衍生性商品及其他交易之市場評價變化所增加之流動性需求、衍生性商品擔保品之評價變化、超額非分離擔保品依契約規定可能遭交易對手要求返還，所需增加之流動性需求、依契約規定需提供擔保品，但交易對手尚未提出要求所需增加的流動性需求、契約允許擔保品以非</w:t>
            </w:r>
            <w:r w:rsidRPr="004D451D">
              <w:rPr>
                <w:rFonts w:eastAsia="標楷體" w:hint="eastAsia"/>
                <w:lang w:val="fr-FR"/>
              </w:rPr>
              <w:t>合格高品質流動性資產</w:t>
            </w:r>
            <w:r w:rsidRPr="004D451D">
              <w:rPr>
                <w:rFonts w:eastAsia="標楷體" w:hint="eastAsia"/>
              </w:rPr>
              <w:t>替代，所增加之流動性需求等。</w:t>
            </w:r>
          </w:p>
        </w:tc>
        <w:tc>
          <w:tcPr>
            <w:tcW w:w="1701" w:type="dxa"/>
            <w:tcBorders>
              <w:top w:val="single" w:sz="4" w:space="0" w:color="auto"/>
              <w:left w:val="single" w:sz="4" w:space="0" w:color="auto"/>
              <w:bottom w:val="single" w:sz="4" w:space="0" w:color="auto"/>
              <w:right w:val="single" w:sz="4" w:space="0" w:color="auto"/>
            </w:tcBorders>
          </w:tcPr>
          <w:p w:rsidR="00693508" w:rsidRPr="004D451D" w:rsidRDefault="00693508" w:rsidP="004B75EF">
            <w:pPr>
              <w:spacing w:line="356" w:lineRule="exact"/>
              <w:jc w:val="both"/>
              <w:rPr>
                <w:rFonts w:eastAsia="標楷體"/>
              </w:rPr>
            </w:pPr>
            <w:r w:rsidRPr="004D451D">
              <w:rPr>
                <w:rFonts w:eastAsia="標楷體"/>
              </w:rPr>
              <w:t>24010</w:t>
            </w:r>
          </w:p>
        </w:tc>
      </w:tr>
      <w:tr w:rsidR="004D451D" w:rsidRPr="004D451D" w:rsidTr="00490013">
        <w:trPr>
          <w:trHeight w:val="1199"/>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12</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int="eastAsia"/>
              </w:rPr>
              <w:t>資產基礎商業本票、結構型投資工具、資產擔保證券或特殊目的機構等類似融資工具</w:t>
            </w:r>
            <w:r w:rsidRPr="004D451D">
              <w:rPr>
                <w:rFonts w:eastAsia="標楷體" w:hAnsi="標楷體" w:hint="eastAsia"/>
              </w:rPr>
              <w:t>之資金流出</w:t>
            </w:r>
          </w:p>
        </w:tc>
        <w:tc>
          <w:tcPr>
            <w:tcW w:w="5386" w:type="dxa"/>
          </w:tcPr>
          <w:p w:rsidR="00693508" w:rsidRPr="004D451D" w:rsidRDefault="00693508" w:rsidP="004B75EF">
            <w:pPr>
              <w:spacing w:line="356" w:lineRule="exact"/>
              <w:jc w:val="both"/>
              <w:rPr>
                <w:rFonts w:eastAsia="標楷體"/>
              </w:rPr>
            </w:pPr>
            <w:r w:rsidRPr="004D451D">
              <w:rPr>
                <w:rFonts w:eastAsia="標楷體" w:hAnsi="標楷體" w:hint="eastAsia"/>
              </w:rPr>
              <w:t>來自資產擔保證券、擔保債券及其他結構型融資工具、資產基礎商業本票、證券化投資工具和其他類似融資工具之資金流失。</w:t>
            </w:r>
          </w:p>
        </w:tc>
        <w:tc>
          <w:tcPr>
            <w:tcW w:w="1701" w:type="dxa"/>
          </w:tcPr>
          <w:p w:rsidR="00693508" w:rsidRPr="004D451D" w:rsidRDefault="00693508" w:rsidP="004B75EF">
            <w:pPr>
              <w:spacing w:line="356" w:lineRule="exact"/>
              <w:rPr>
                <w:rFonts w:eastAsia="標楷體"/>
              </w:rPr>
            </w:pPr>
            <w:r w:rsidRPr="004D451D">
              <w:rPr>
                <w:rFonts w:eastAsia="標楷體"/>
              </w:rPr>
              <w:t>24020</w:t>
            </w:r>
          </w:p>
        </w:tc>
      </w:tr>
      <w:tr w:rsidR="004D451D" w:rsidRPr="004D451D" w:rsidTr="00490013">
        <w:trPr>
          <w:trHeight w:val="1199"/>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13</w:t>
            </w:r>
          </w:p>
        </w:tc>
        <w:tc>
          <w:tcPr>
            <w:tcW w:w="1985" w:type="dxa"/>
          </w:tcPr>
          <w:p w:rsidR="00693508" w:rsidRPr="004D451D" w:rsidRDefault="00693508" w:rsidP="004B75EF">
            <w:pPr>
              <w:spacing w:line="356" w:lineRule="exact"/>
              <w:jc w:val="both"/>
              <w:rPr>
                <w:rFonts w:eastAsia="標楷體"/>
              </w:rPr>
            </w:pPr>
            <w:r w:rsidRPr="004D451D">
              <w:rPr>
                <w:rFonts w:eastAsia="標楷體" w:hAnsi="標楷體" w:hint="eastAsia"/>
              </w:rPr>
              <w:t>經承諾信用融資額度及流動性</w:t>
            </w:r>
            <w:r w:rsidRPr="004D451D">
              <w:rPr>
                <w:rFonts w:eastAsia="標楷體" w:hint="eastAsia"/>
              </w:rPr>
              <w:t>融資</w:t>
            </w:r>
            <w:r w:rsidRPr="004D451D">
              <w:rPr>
                <w:rFonts w:eastAsia="標楷體" w:hAnsi="標楷體" w:hint="eastAsia"/>
              </w:rPr>
              <w:t>額度未動用餘額</w:t>
            </w:r>
          </w:p>
        </w:tc>
        <w:tc>
          <w:tcPr>
            <w:tcW w:w="5386" w:type="dxa"/>
          </w:tcPr>
          <w:p w:rsidR="00693508" w:rsidRPr="004D451D" w:rsidRDefault="00693508" w:rsidP="004B75EF">
            <w:pPr>
              <w:spacing w:line="356" w:lineRule="exact"/>
              <w:jc w:val="both"/>
              <w:rPr>
                <w:rFonts w:eastAsia="標楷體"/>
              </w:rPr>
            </w:pPr>
            <w:r w:rsidRPr="004D451D">
              <w:rPr>
                <w:rFonts w:eastAsia="標楷體" w:hint="eastAsia"/>
              </w:rPr>
              <w:t>信用融資額度應計入約定融資額度</w:t>
            </w:r>
            <w:r w:rsidRPr="004D451D">
              <w:rPr>
                <w:rFonts w:ascii="標楷體" w:eastAsia="標楷體" w:hAnsi="標楷體" w:hint="eastAsia"/>
              </w:rPr>
              <w:t>中屬</w:t>
            </w:r>
            <w:r w:rsidRPr="004D451D">
              <w:rPr>
                <w:rFonts w:eastAsia="標楷體" w:hint="eastAsia"/>
              </w:rPr>
              <w:t>不可取消及有條件可取消之融資額度</w:t>
            </w:r>
            <w:r w:rsidRPr="004D451D">
              <w:rPr>
                <w:rFonts w:ascii="標楷體" w:eastAsia="標楷體" w:hAnsi="標楷體" w:hint="eastAsia"/>
              </w:rPr>
              <w:t>；</w:t>
            </w:r>
            <w:r w:rsidRPr="004D451D">
              <w:rPr>
                <w:rFonts w:eastAsia="標楷體" w:hint="eastAsia"/>
              </w:rPr>
              <w:t>流動性融資額度係指所提供予客戶之承諾備援額度，供客戶無法於金融市場中展期其債務時，得運用該額度再融資其債務之約定融資額度。</w:t>
            </w:r>
          </w:p>
        </w:tc>
        <w:tc>
          <w:tcPr>
            <w:tcW w:w="1701" w:type="dxa"/>
          </w:tcPr>
          <w:p w:rsidR="00693508" w:rsidRPr="004D451D" w:rsidRDefault="00693508" w:rsidP="004B75EF">
            <w:pPr>
              <w:spacing w:line="356" w:lineRule="exact"/>
              <w:rPr>
                <w:rFonts w:eastAsia="標楷體"/>
              </w:rPr>
            </w:pPr>
            <w:r w:rsidRPr="004D451D">
              <w:rPr>
                <w:rFonts w:eastAsia="標楷體"/>
              </w:rPr>
              <w:t>24030</w:t>
            </w:r>
          </w:p>
        </w:tc>
      </w:tr>
      <w:tr w:rsidR="004D451D" w:rsidRPr="004D451D" w:rsidTr="00490013">
        <w:trPr>
          <w:trHeight w:val="673"/>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14</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其他約定現金流出</w:t>
            </w:r>
          </w:p>
        </w:tc>
        <w:tc>
          <w:tcPr>
            <w:tcW w:w="5386" w:type="dxa"/>
          </w:tcPr>
          <w:p w:rsidR="00693508" w:rsidRPr="004D451D" w:rsidRDefault="00693508" w:rsidP="004B75EF">
            <w:pPr>
              <w:spacing w:line="356" w:lineRule="exact"/>
              <w:rPr>
                <w:rFonts w:eastAsia="標楷體" w:hAnsi="標楷體"/>
              </w:rPr>
            </w:pPr>
            <w:r w:rsidRPr="004D451D">
              <w:rPr>
                <w:rFonts w:eastAsia="標楷體" w:hAnsi="標楷體" w:hint="eastAsia"/>
              </w:rPr>
              <w:t>非屬以上現金流出項目之</w:t>
            </w:r>
            <w:r w:rsidRPr="004D451D">
              <w:rPr>
                <w:rFonts w:eastAsia="標楷體" w:hAnsi="標楷體"/>
              </w:rPr>
              <w:t>30</w:t>
            </w:r>
            <w:r w:rsidRPr="004D451D">
              <w:rPr>
                <w:rFonts w:eastAsia="標楷體" w:hAnsi="標楷體" w:hint="eastAsia"/>
              </w:rPr>
              <w:t>天內現金流出</w:t>
            </w:r>
            <w:r w:rsidRPr="004D451D">
              <w:rPr>
                <w:rFonts w:eastAsia="標楷體" w:hAnsi="標楷體" w:hint="eastAsia"/>
              </w:rPr>
              <w:t>(</w:t>
            </w:r>
            <w:r w:rsidRPr="004D451D">
              <w:rPr>
                <w:rFonts w:eastAsia="標楷體" w:hAnsi="標楷體" w:hint="eastAsia"/>
              </w:rPr>
              <w:t>不含其他或有融資負債之現金流出</w:t>
            </w:r>
            <w:r w:rsidRPr="004D451D">
              <w:rPr>
                <w:rFonts w:eastAsia="標楷體" w:hAnsi="標楷體" w:hint="eastAsia"/>
              </w:rPr>
              <w:t>)</w:t>
            </w:r>
            <w:r w:rsidRPr="004D451D">
              <w:rPr>
                <w:rFonts w:eastAsia="標楷體" w:hAnsi="標楷體" w:hint="eastAsia"/>
              </w:rPr>
              <w:t>。</w:t>
            </w:r>
          </w:p>
        </w:tc>
        <w:tc>
          <w:tcPr>
            <w:tcW w:w="1701" w:type="dxa"/>
          </w:tcPr>
          <w:p w:rsidR="00693508" w:rsidRPr="004D451D" w:rsidRDefault="00693508" w:rsidP="004B75EF">
            <w:pPr>
              <w:spacing w:line="356" w:lineRule="exact"/>
              <w:rPr>
                <w:rFonts w:eastAsia="標楷體"/>
              </w:rPr>
            </w:pPr>
            <w:r w:rsidRPr="004D451D">
              <w:rPr>
                <w:rFonts w:eastAsia="標楷體"/>
              </w:rPr>
              <w:t>24050</w:t>
            </w:r>
          </w:p>
        </w:tc>
      </w:tr>
      <w:tr w:rsidR="004D451D" w:rsidRPr="004D451D" w:rsidTr="00490013">
        <w:trPr>
          <w:trHeight w:val="503"/>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15</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其他或有融資負債</w:t>
            </w:r>
          </w:p>
        </w:tc>
        <w:tc>
          <w:tcPr>
            <w:tcW w:w="5386"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包含與貿易融資有關之或有融資義務、與貿易融資無關之保證及信用狀及其他約定融資額度等。</w:t>
            </w:r>
          </w:p>
        </w:tc>
        <w:tc>
          <w:tcPr>
            <w:tcW w:w="1701" w:type="dxa"/>
          </w:tcPr>
          <w:p w:rsidR="00693508" w:rsidRPr="004D451D" w:rsidRDefault="00693508" w:rsidP="004B75EF">
            <w:pPr>
              <w:spacing w:line="356" w:lineRule="exact"/>
              <w:jc w:val="both"/>
              <w:rPr>
                <w:rFonts w:eastAsia="標楷體"/>
              </w:rPr>
            </w:pPr>
            <w:r w:rsidRPr="004D451D">
              <w:rPr>
                <w:rFonts w:eastAsia="標楷體"/>
              </w:rPr>
              <w:t>24040</w:t>
            </w:r>
          </w:p>
        </w:tc>
      </w:tr>
      <w:tr w:rsidR="004D451D" w:rsidRPr="004D451D" w:rsidTr="00490013">
        <w:trPr>
          <w:trHeight w:val="307"/>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16</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現金流出總額</w:t>
            </w:r>
          </w:p>
        </w:tc>
        <w:tc>
          <w:tcPr>
            <w:tcW w:w="5386" w:type="dxa"/>
          </w:tcPr>
          <w:p w:rsidR="00693508" w:rsidRPr="004D451D" w:rsidRDefault="00693508" w:rsidP="004B75EF">
            <w:pPr>
              <w:spacing w:line="356" w:lineRule="exact"/>
              <w:jc w:val="both"/>
              <w:rPr>
                <w:rFonts w:eastAsia="標楷體"/>
              </w:rPr>
            </w:pPr>
            <w:r w:rsidRPr="004D451D">
              <w:rPr>
                <w:rFonts w:eastAsia="標楷體" w:hAnsi="標楷體" w:hint="eastAsia"/>
              </w:rPr>
              <w:t>項次</w:t>
            </w:r>
            <w:r w:rsidRPr="004D451D">
              <w:rPr>
                <w:rFonts w:eastAsia="標楷體"/>
              </w:rPr>
              <w:t>2</w:t>
            </w:r>
            <w:r w:rsidRPr="004D451D">
              <w:rPr>
                <w:rFonts w:eastAsia="標楷體" w:hAnsi="標楷體" w:hint="eastAsia"/>
              </w:rPr>
              <w:t>、項次</w:t>
            </w:r>
            <w:r w:rsidRPr="004D451D">
              <w:rPr>
                <w:rFonts w:eastAsia="標楷體" w:hAnsi="標楷體"/>
              </w:rPr>
              <w:t>5</w:t>
            </w:r>
            <w:r w:rsidRPr="004D451D">
              <w:rPr>
                <w:rFonts w:eastAsia="標楷體" w:hAnsi="標楷體" w:hint="eastAsia"/>
              </w:rPr>
              <w:t>、項次</w:t>
            </w:r>
            <w:r w:rsidRPr="004D451D">
              <w:rPr>
                <w:rFonts w:eastAsia="標楷體" w:hAnsi="標楷體"/>
              </w:rPr>
              <w:t>9</w:t>
            </w:r>
            <w:r w:rsidRPr="004D451D">
              <w:rPr>
                <w:rFonts w:eastAsia="標楷體" w:hAnsi="標楷體" w:hint="eastAsia"/>
              </w:rPr>
              <w:t>及項次</w:t>
            </w:r>
            <w:r w:rsidRPr="004D451D">
              <w:rPr>
                <w:rFonts w:eastAsia="標楷體" w:hAnsi="標楷體"/>
              </w:rPr>
              <w:t>10</w:t>
            </w:r>
            <w:r w:rsidRPr="004D451D">
              <w:rPr>
                <w:rFonts w:eastAsia="標楷體" w:hAnsi="標楷體" w:hint="eastAsia"/>
              </w:rPr>
              <w:t>之合計數</w:t>
            </w:r>
            <w:r w:rsidRPr="004D451D">
              <w:rPr>
                <w:rFonts w:ascii="標楷體" w:eastAsia="標楷體" w:hAnsi="標楷體" w:hint="eastAsia"/>
              </w:rPr>
              <w:t>。</w:t>
            </w:r>
          </w:p>
        </w:tc>
        <w:tc>
          <w:tcPr>
            <w:tcW w:w="1701" w:type="dxa"/>
          </w:tcPr>
          <w:p w:rsidR="00693508" w:rsidRPr="004D451D" w:rsidRDefault="00693508" w:rsidP="004B75EF">
            <w:pPr>
              <w:spacing w:line="356" w:lineRule="exact"/>
              <w:jc w:val="both"/>
              <w:rPr>
                <w:rFonts w:eastAsia="標楷體"/>
              </w:rPr>
            </w:pPr>
            <w:r w:rsidRPr="004D451D">
              <w:rPr>
                <w:rFonts w:eastAsia="標楷體"/>
              </w:rPr>
              <w:t>29999</w:t>
            </w:r>
          </w:p>
        </w:tc>
      </w:tr>
      <w:tr w:rsidR="004D451D" w:rsidRPr="004D451D" w:rsidTr="00490013">
        <w:trPr>
          <w:trHeight w:val="690"/>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17</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擔保借出交易</w:t>
            </w:r>
          </w:p>
        </w:tc>
        <w:tc>
          <w:tcPr>
            <w:tcW w:w="5386" w:type="dxa"/>
          </w:tcPr>
          <w:p w:rsidR="00693508" w:rsidRPr="004D451D" w:rsidRDefault="00693508" w:rsidP="004B75EF">
            <w:pPr>
              <w:spacing w:line="356" w:lineRule="exact"/>
              <w:rPr>
                <w:rFonts w:eastAsia="標楷體"/>
              </w:rPr>
            </w:pPr>
            <w:r w:rsidRPr="004D451D">
              <w:rPr>
                <w:rFonts w:eastAsia="標楷體" w:hAnsi="標楷體" w:hint="eastAsia"/>
              </w:rPr>
              <w:t>擔保借出交易包含附賣回、有價證券借入與有價證券融資交易等。</w:t>
            </w:r>
          </w:p>
        </w:tc>
        <w:tc>
          <w:tcPr>
            <w:tcW w:w="1701" w:type="dxa"/>
          </w:tcPr>
          <w:p w:rsidR="00693508" w:rsidRPr="004D451D" w:rsidRDefault="00693508" w:rsidP="004B75EF">
            <w:pPr>
              <w:spacing w:line="356" w:lineRule="exact"/>
              <w:rPr>
                <w:rFonts w:eastAsia="標楷體"/>
              </w:rPr>
            </w:pPr>
            <w:r w:rsidRPr="004D451D">
              <w:rPr>
                <w:rFonts w:eastAsia="標楷體"/>
              </w:rPr>
              <w:t>31000</w:t>
            </w:r>
          </w:p>
        </w:tc>
      </w:tr>
      <w:tr w:rsidR="004D451D" w:rsidRPr="004D451D" w:rsidTr="00490013">
        <w:trPr>
          <w:trHeight w:val="1018"/>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18</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履約暴險之現金流入</w:t>
            </w:r>
            <w:r w:rsidR="00490013" w:rsidRPr="004D451D">
              <w:rPr>
                <w:rFonts w:eastAsia="標楷體" w:hAnsi="標楷體" w:hint="eastAsia"/>
              </w:rPr>
              <w:t>(fully performing exposures)</w:t>
            </w:r>
          </w:p>
        </w:tc>
        <w:tc>
          <w:tcPr>
            <w:tcW w:w="5386" w:type="dxa"/>
          </w:tcPr>
          <w:p w:rsidR="00693508" w:rsidRPr="004D451D" w:rsidRDefault="00693508" w:rsidP="004B75EF">
            <w:pPr>
              <w:spacing w:line="356" w:lineRule="exact"/>
              <w:jc w:val="both"/>
              <w:rPr>
                <w:rFonts w:eastAsia="標楷體"/>
              </w:rPr>
            </w:pPr>
            <w:r w:rsidRPr="004D451D">
              <w:rPr>
                <w:rFonts w:eastAsia="標楷體" w:hAnsi="標楷體" w:hint="eastAsia"/>
              </w:rPr>
              <w:t>包含存放於其他金融機構之營運存款、存放於合作銀行網路中集中機構之存款及來自交易對手其他現金流入。</w:t>
            </w:r>
          </w:p>
        </w:tc>
        <w:tc>
          <w:tcPr>
            <w:tcW w:w="1701" w:type="dxa"/>
          </w:tcPr>
          <w:p w:rsidR="00693508" w:rsidRPr="004D451D" w:rsidRDefault="00693508" w:rsidP="004B75EF">
            <w:pPr>
              <w:spacing w:line="356" w:lineRule="exact"/>
              <w:ind w:left="939" w:hangingChars="427" w:hanging="939"/>
              <w:jc w:val="both"/>
              <w:rPr>
                <w:rFonts w:eastAsia="標楷體" w:hAnsi="標楷體"/>
                <w:spacing w:val="-10"/>
                <w:szCs w:val="20"/>
              </w:rPr>
            </w:pPr>
            <w:r w:rsidRPr="004D451D">
              <w:rPr>
                <w:rFonts w:eastAsia="標楷體" w:hAnsi="標楷體"/>
                <w:spacing w:val="-10"/>
                <w:szCs w:val="20"/>
              </w:rPr>
              <w:t>33000+34000</w:t>
            </w:r>
          </w:p>
          <w:p w:rsidR="00693508" w:rsidRPr="004D451D" w:rsidRDefault="00693508" w:rsidP="004B75EF">
            <w:pPr>
              <w:spacing w:line="356" w:lineRule="exact"/>
              <w:ind w:left="939" w:hangingChars="427" w:hanging="939"/>
              <w:jc w:val="both"/>
              <w:rPr>
                <w:rFonts w:eastAsia="標楷體"/>
              </w:rPr>
            </w:pPr>
            <w:r w:rsidRPr="004D451D">
              <w:rPr>
                <w:rFonts w:eastAsia="標楷體" w:hAnsi="標楷體"/>
                <w:spacing w:val="-10"/>
                <w:szCs w:val="20"/>
              </w:rPr>
              <w:t>+</w:t>
            </w:r>
            <w:r w:rsidRPr="004D451D">
              <w:rPr>
                <w:rFonts w:eastAsia="標楷體"/>
              </w:rPr>
              <w:t>35000</w:t>
            </w:r>
          </w:p>
        </w:tc>
      </w:tr>
      <w:tr w:rsidR="004D451D" w:rsidRPr="004D451D" w:rsidTr="00490013">
        <w:trPr>
          <w:trHeight w:val="328"/>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19</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其他現金流入</w:t>
            </w:r>
          </w:p>
        </w:tc>
        <w:tc>
          <w:tcPr>
            <w:tcW w:w="5386" w:type="dxa"/>
          </w:tcPr>
          <w:p w:rsidR="00693508" w:rsidRPr="004D451D" w:rsidRDefault="00693508" w:rsidP="004B75EF">
            <w:pPr>
              <w:spacing w:line="356" w:lineRule="exact"/>
              <w:jc w:val="both"/>
              <w:rPr>
                <w:rFonts w:eastAsia="標楷體"/>
              </w:rPr>
            </w:pPr>
            <w:r w:rsidRPr="004D451D">
              <w:rPr>
                <w:rFonts w:eastAsia="標楷體" w:hAnsi="標楷體" w:hint="eastAsia"/>
              </w:rPr>
              <w:t>包含承諾信用或流動性融資額度、到期證券現金流入、衍生性商品淨現金流入與其他約定現金流入</w:t>
            </w:r>
            <w:r w:rsidRPr="004D451D">
              <w:rPr>
                <w:rFonts w:ascii="標楷體" w:eastAsia="標楷體" w:hAnsi="標楷體" w:hint="eastAsia"/>
              </w:rPr>
              <w:t>。</w:t>
            </w:r>
          </w:p>
        </w:tc>
        <w:tc>
          <w:tcPr>
            <w:tcW w:w="1701" w:type="dxa"/>
          </w:tcPr>
          <w:p w:rsidR="00693508" w:rsidRPr="004D451D" w:rsidRDefault="00693508" w:rsidP="004B75EF">
            <w:pPr>
              <w:spacing w:line="356" w:lineRule="exact"/>
              <w:jc w:val="both"/>
              <w:rPr>
                <w:rFonts w:eastAsia="標楷體"/>
              </w:rPr>
            </w:pPr>
            <w:r w:rsidRPr="004D451D">
              <w:rPr>
                <w:rFonts w:eastAsia="標楷體" w:hAnsi="標楷體"/>
                <w:spacing w:val="-10"/>
                <w:szCs w:val="20"/>
              </w:rPr>
              <w:t>32000+</w:t>
            </w:r>
            <w:r w:rsidRPr="004D451D">
              <w:rPr>
                <w:rFonts w:eastAsia="標楷體"/>
              </w:rPr>
              <w:t>36000</w:t>
            </w:r>
          </w:p>
          <w:p w:rsidR="00693508" w:rsidRPr="004D451D" w:rsidRDefault="00693508" w:rsidP="004B75EF">
            <w:pPr>
              <w:spacing w:line="356" w:lineRule="exact"/>
              <w:jc w:val="both"/>
              <w:rPr>
                <w:rFonts w:eastAsia="標楷體"/>
              </w:rPr>
            </w:pPr>
            <w:r w:rsidRPr="004D451D">
              <w:rPr>
                <w:rFonts w:eastAsia="標楷體"/>
              </w:rPr>
              <w:t>+37000+38000</w:t>
            </w:r>
          </w:p>
        </w:tc>
      </w:tr>
      <w:tr w:rsidR="004D451D" w:rsidRPr="004D451D" w:rsidTr="00490013">
        <w:trPr>
          <w:trHeight w:val="344"/>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20</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現金流入總額</w:t>
            </w:r>
          </w:p>
        </w:tc>
        <w:tc>
          <w:tcPr>
            <w:tcW w:w="5386" w:type="dxa"/>
          </w:tcPr>
          <w:p w:rsidR="00693508" w:rsidRPr="004D451D" w:rsidRDefault="00693508" w:rsidP="004B75EF">
            <w:pPr>
              <w:spacing w:line="356" w:lineRule="exact"/>
              <w:jc w:val="both"/>
              <w:rPr>
                <w:rFonts w:eastAsia="標楷體"/>
              </w:rPr>
            </w:pPr>
            <w:r w:rsidRPr="004D451D">
              <w:rPr>
                <w:rFonts w:eastAsia="標楷體" w:hAnsi="標楷體" w:hint="eastAsia"/>
              </w:rPr>
              <w:t>項次</w:t>
            </w:r>
            <w:r w:rsidRPr="004D451D">
              <w:rPr>
                <w:rFonts w:eastAsia="標楷體"/>
              </w:rPr>
              <w:t>17</w:t>
            </w:r>
            <w:r w:rsidRPr="004D451D">
              <w:rPr>
                <w:rFonts w:eastAsia="標楷體" w:hAnsi="標楷體" w:hint="eastAsia"/>
              </w:rPr>
              <w:t>至項次</w:t>
            </w:r>
            <w:r w:rsidRPr="004D451D">
              <w:rPr>
                <w:rFonts w:eastAsia="標楷體"/>
              </w:rPr>
              <w:t>19</w:t>
            </w:r>
            <w:r w:rsidRPr="004D451D">
              <w:rPr>
                <w:rFonts w:eastAsia="標楷體" w:hAnsi="標楷體" w:hint="eastAsia"/>
              </w:rPr>
              <w:t>之合計數</w:t>
            </w:r>
            <w:r w:rsidRPr="004D451D">
              <w:rPr>
                <w:rFonts w:ascii="標楷體" w:eastAsia="標楷體" w:hAnsi="標楷體" w:hint="eastAsia"/>
              </w:rPr>
              <w:t>。</w:t>
            </w:r>
          </w:p>
        </w:tc>
        <w:tc>
          <w:tcPr>
            <w:tcW w:w="1701" w:type="dxa"/>
          </w:tcPr>
          <w:p w:rsidR="00693508" w:rsidRPr="004D451D" w:rsidRDefault="00693508" w:rsidP="004B75EF">
            <w:pPr>
              <w:spacing w:line="356" w:lineRule="exact"/>
              <w:rPr>
                <w:rFonts w:eastAsia="標楷體"/>
              </w:rPr>
            </w:pPr>
            <w:r w:rsidRPr="004D451D">
              <w:rPr>
                <w:rFonts w:eastAsia="標楷體"/>
              </w:rPr>
              <w:t>39999</w:t>
            </w:r>
          </w:p>
        </w:tc>
      </w:tr>
      <w:tr w:rsidR="004D451D" w:rsidRPr="004D451D" w:rsidTr="00490013">
        <w:trPr>
          <w:trHeight w:val="328"/>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21</w:t>
            </w:r>
          </w:p>
        </w:tc>
        <w:tc>
          <w:tcPr>
            <w:tcW w:w="1985" w:type="dxa"/>
          </w:tcPr>
          <w:p w:rsidR="00693508" w:rsidRPr="004D451D" w:rsidRDefault="00693508" w:rsidP="004B75EF">
            <w:pPr>
              <w:spacing w:line="356" w:lineRule="exact"/>
              <w:jc w:val="both"/>
              <w:rPr>
                <w:rFonts w:eastAsia="標楷體"/>
              </w:rPr>
            </w:pPr>
            <w:r w:rsidRPr="004D451D">
              <w:rPr>
                <w:rFonts w:eastAsia="標楷體" w:hint="eastAsia"/>
              </w:rPr>
              <w:t>合格高品質流動性資產</w:t>
            </w:r>
            <w:r w:rsidRPr="004D451D">
              <w:rPr>
                <w:rFonts w:eastAsia="標楷體" w:hAnsi="標楷體" w:hint="eastAsia"/>
              </w:rPr>
              <w:t>總額</w:t>
            </w:r>
          </w:p>
        </w:tc>
        <w:tc>
          <w:tcPr>
            <w:tcW w:w="5386" w:type="dxa"/>
          </w:tcPr>
          <w:p w:rsidR="00693508" w:rsidRPr="004D451D" w:rsidRDefault="00693508" w:rsidP="004B75EF">
            <w:pPr>
              <w:spacing w:line="356" w:lineRule="exact"/>
              <w:jc w:val="both"/>
              <w:rPr>
                <w:rFonts w:eastAsia="標楷體"/>
              </w:rPr>
            </w:pPr>
            <w:r w:rsidRPr="004D451D">
              <w:rPr>
                <w:rFonts w:eastAsia="標楷體" w:hint="eastAsia"/>
              </w:rPr>
              <w:t>高品質流動性資產</w:t>
            </w:r>
            <w:r w:rsidRPr="004D451D">
              <w:rPr>
                <w:rFonts w:ascii="標楷體" w:eastAsia="標楷體" w:hAnsi="標楷體" w:hint="eastAsia"/>
              </w:rPr>
              <w:t>經「</w:t>
            </w:r>
            <w:r w:rsidRPr="004D451D">
              <w:rPr>
                <w:rFonts w:eastAsia="標楷體" w:hAnsi="標楷體" w:hint="eastAsia"/>
              </w:rPr>
              <w:t>第</w:t>
            </w:r>
            <w:r w:rsidRPr="004D451D">
              <w:rPr>
                <w:rFonts w:eastAsia="標楷體" w:hint="eastAsia"/>
              </w:rPr>
              <w:t>二層</w:t>
            </w:r>
            <w:r w:rsidRPr="004D451D">
              <w:rPr>
                <w:rFonts w:eastAsia="標楷體"/>
              </w:rPr>
              <w:t>B</w:t>
            </w:r>
            <w:r w:rsidRPr="004D451D">
              <w:rPr>
                <w:rFonts w:eastAsia="標楷體" w:hAnsi="標楷體" w:hint="eastAsia"/>
              </w:rPr>
              <w:t>級資產</w:t>
            </w:r>
            <w:r w:rsidRPr="004D451D">
              <w:rPr>
                <w:rFonts w:eastAsia="標楷體" w:hAnsi="標楷體"/>
              </w:rPr>
              <w:t>15%</w:t>
            </w:r>
            <w:r w:rsidRPr="004D451D">
              <w:rPr>
                <w:rFonts w:eastAsia="標楷體" w:hAnsi="標楷體" w:hint="eastAsia"/>
              </w:rPr>
              <w:t>上限與第</w:t>
            </w:r>
            <w:r w:rsidRPr="004D451D">
              <w:rPr>
                <w:rFonts w:eastAsia="標楷體" w:hint="eastAsia"/>
              </w:rPr>
              <w:t>二</w:t>
            </w:r>
            <w:r w:rsidRPr="004D451D">
              <w:rPr>
                <w:rFonts w:eastAsia="標楷體" w:hAnsi="標楷體" w:hint="eastAsia"/>
              </w:rPr>
              <w:t>層資產</w:t>
            </w:r>
            <w:r w:rsidRPr="004D451D">
              <w:rPr>
                <w:rFonts w:eastAsia="標楷體" w:hAnsi="標楷體"/>
              </w:rPr>
              <w:t>40%</w:t>
            </w:r>
            <w:r w:rsidRPr="004D451D">
              <w:rPr>
                <w:rFonts w:eastAsia="標楷體" w:hAnsi="標楷體" w:hint="eastAsia"/>
              </w:rPr>
              <w:t>上限</w:t>
            </w:r>
            <w:r w:rsidRPr="004D451D">
              <w:rPr>
                <w:rFonts w:ascii="標楷體" w:eastAsia="標楷體" w:hAnsi="標楷體" w:hint="eastAsia"/>
              </w:rPr>
              <w:t>」</w:t>
            </w:r>
            <w:r w:rsidRPr="004D451D">
              <w:rPr>
                <w:rFonts w:eastAsia="標楷體" w:hAnsi="標楷體" w:hint="eastAsia"/>
              </w:rPr>
              <w:t>調整後金</w:t>
            </w:r>
            <w:r w:rsidRPr="004D451D">
              <w:rPr>
                <w:rFonts w:ascii="標楷體" w:eastAsia="標楷體" w:hAnsi="標楷體" w:hint="eastAsia"/>
              </w:rPr>
              <w:t>額。</w:t>
            </w:r>
          </w:p>
        </w:tc>
        <w:tc>
          <w:tcPr>
            <w:tcW w:w="1701" w:type="dxa"/>
          </w:tcPr>
          <w:p w:rsidR="00693508" w:rsidRPr="004D451D" w:rsidRDefault="00693508" w:rsidP="004B75EF">
            <w:pPr>
              <w:spacing w:line="356" w:lineRule="exact"/>
              <w:rPr>
                <w:rFonts w:eastAsia="標楷體"/>
              </w:rPr>
            </w:pPr>
            <w:r w:rsidRPr="004D451D">
              <w:rPr>
                <w:rFonts w:eastAsia="標楷體"/>
              </w:rPr>
              <w:t>19999</w:t>
            </w:r>
          </w:p>
        </w:tc>
      </w:tr>
      <w:tr w:rsidR="004D451D" w:rsidRPr="004D451D" w:rsidTr="00490013">
        <w:trPr>
          <w:trHeight w:val="344"/>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22</w:t>
            </w:r>
          </w:p>
        </w:tc>
        <w:tc>
          <w:tcPr>
            <w:tcW w:w="1985" w:type="dxa"/>
          </w:tcPr>
          <w:p w:rsidR="00693508" w:rsidRPr="004D451D" w:rsidRDefault="00693508" w:rsidP="004B75EF">
            <w:pPr>
              <w:spacing w:line="356" w:lineRule="exact"/>
              <w:jc w:val="both"/>
              <w:rPr>
                <w:rFonts w:eastAsia="標楷體" w:hAnsi="標楷體"/>
              </w:rPr>
            </w:pPr>
            <w:r w:rsidRPr="004D451D">
              <w:rPr>
                <w:rFonts w:eastAsia="標楷體" w:hAnsi="標楷體" w:hint="eastAsia"/>
              </w:rPr>
              <w:t>淨現金流出總計</w:t>
            </w:r>
          </w:p>
        </w:tc>
        <w:tc>
          <w:tcPr>
            <w:tcW w:w="5386" w:type="dxa"/>
          </w:tcPr>
          <w:p w:rsidR="00693508" w:rsidRPr="004D451D" w:rsidRDefault="00693508" w:rsidP="004B75EF">
            <w:pPr>
              <w:spacing w:line="356" w:lineRule="exact"/>
              <w:jc w:val="both"/>
              <w:rPr>
                <w:rFonts w:eastAsia="標楷體"/>
              </w:rPr>
            </w:pPr>
            <w:r w:rsidRPr="004D451D">
              <w:rPr>
                <w:rFonts w:eastAsia="標楷體" w:hAnsi="標楷體" w:hint="eastAsia"/>
              </w:rPr>
              <w:t>淨現金流出</w:t>
            </w:r>
            <w:r w:rsidRPr="004D451D">
              <w:rPr>
                <w:rFonts w:ascii="標楷體" w:eastAsia="標楷體" w:hAnsi="標楷體" w:hint="eastAsia"/>
              </w:rPr>
              <w:t>經「</w:t>
            </w:r>
            <w:r w:rsidRPr="004D451D">
              <w:rPr>
                <w:rFonts w:eastAsia="標楷體" w:hAnsi="標楷體" w:hint="eastAsia"/>
              </w:rPr>
              <w:t>現金流入金額不得超過現金流出金額之</w:t>
            </w:r>
            <w:r w:rsidRPr="004D451D">
              <w:rPr>
                <w:rFonts w:eastAsia="標楷體" w:hAnsi="標楷體"/>
              </w:rPr>
              <w:t>75%</w:t>
            </w:r>
            <w:r w:rsidRPr="004D451D">
              <w:rPr>
                <w:rFonts w:eastAsia="標楷體" w:hAnsi="標楷體" w:hint="eastAsia"/>
              </w:rPr>
              <w:t>上限</w:t>
            </w:r>
            <w:r w:rsidRPr="004D451D">
              <w:rPr>
                <w:rFonts w:ascii="標楷體" w:eastAsia="標楷體" w:hAnsi="標楷體" w:hint="eastAsia"/>
              </w:rPr>
              <w:t>」</w:t>
            </w:r>
            <w:r w:rsidRPr="004D451D">
              <w:rPr>
                <w:rFonts w:eastAsia="標楷體" w:hAnsi="標楷體" w:hint="eastAsia"/>
              </w:rPr>
              <w:t>調整後金</w:t>
            </w:r>
            <w:r w:rsidRPr="004D451D">
              <w:rPr>
                <w:rFonts w:ascii="標楷體" w:eastAsia="標楷體" w:hAnsi="標楷體" w:hint="eastAsia"/>
              </w:rPr>
              <w:t>額。</w:t>
            </w:r>
          </w:p>
        </w:tc>
        <w:tc>
          <w:tcPr>
            <w:tcW w:w="1701" w:type="dxa"/>
          </w:tcPr>
          <w:p w:rsidR="00693508" w:rsidRPr="004D451D" w:rsidRDefault="00693508" w:rsidP="004B75EF">
            <w:pPr>
              <w:spacing w:line="356" w:lineRule="exact"/>
              <w:rPr>
                <w:rFonts w:eastAsia="標楷體"/>
              </w:rPr>
            </w:pPr>
            <w:r w:rsidRPr="004D451D">
              <w:rPr>
                <w:rFonts w:eastAsia="標楷體"/>
              </w:rPr>
              <w:t>49999</w:t>
            </w:r>
          </w:p>
        </w:tc>
      </w:tr>
      <w:tr w:rsidR="004D451D" w:rsidRPr="004D451D" w:rsidTr="00490013">
        <w:trPr>
          <w:trHeight w:val="310"/>
          <w:jc w:val="center"/>
        </w:trPr>
        <w:tc>
          <w:tcPr>
            <w:tcW w:w="568" w:type="dxa"/>
          </w:tcPr>
          <w:p w:rsidR="00693508" w:rsidRPr="004D451D" w:rsidRDefault="00693508" w:rsidP="004B75EF">
            <w:pPr>
              <w:spacing w:line="356" w:lineRule="exact"/>
              <w:jc w:val="center"/>
              <w:rPr>
                <w:rFonts w:eastAsia="標楷體"/>
              </w:rPr>
            </w:pPr>
            <w:r w:rsidRPr="004D451D">
              <w:rPr>
                <w:rFonts w:eastAsia="標楷體"/>
              </w:rPr>
              <w:t>23</w:t>
            </w:r>
          </w:p>
        </w:tc>
        <w:tc>
          <w:tcPr>
            <w:tcW w:w="1985" w:type="dxa"/>
          </w:tcPr>
          <w:p w:rsidR="00693508" w:rsidRPr="004D451D" w:rsidRDefault="00693508" w:rsidP="004B75EF">
            <w:pPr>
              <w:spacing w:line="356" w:lineRule="exact"/>
              <w:jc w:val="both"/>
              <w:rPr>
                <w:rFonts w:eastAsia="標楷體"/>
              </w:rPr>
            </w:pPr>
            <w:r w:rsidRPr="004D451D">
              <w:rPr>
                <w:rFonts w:eastAsia="標楷體" w:hAnsi="標楷體" w:hint="eastAsia"/>
              </w:rPr>
              <w:t>流動性覆蓋比率</w:t>
            </w:r>
          </w:p>
        </w:tc>
        <w:tc>
          <w:tcPr>
            <w:tcW w:w="5386" w:type="dxa"/>
          </w:tcPr>
          <w:p w:rsidR="00693508" w:rsidRPr="004D451D" w:rsidRDefault="00693508" w:rsidP="004B75EF">
            <w:pPr>
              <w:spacing w:line="356" w:lineRule="exact"/>
              <w:jc w:val="both"/>
              <w:rPr>
                <w:rFonts w:eastAsia="標楷體"/>
              </w:rPr>
            </w:pPr>
            <w:r w:rsidRPr="004D451D">
              <w:rPr>
                <w:rFonts w:eastAsia="標楷體" w:hint="eastAsia"/>
              </w:rPr>
              <w:t>項次</w:t>
            </w:r>
            <w:r w:rsidRPr="004D451D">
              <w:rPr>
                <w:rFonts w:eastAsia="標楷體"/>
              </w:rPr>
              <w:t>21</w:t>
            </w:r>
            <w:r w:rsidRPr="004D451D">
              <w:rPr>
                <w:rFonts w:eastAsia="標楷體" w:hint="eastAsia"/>
              </w:rPr>
              <w:t>除以項次</w:t>
            </w:r>
            <w:r w:rsidRPr="004D451D">
              <w:rPr>
                <w:rFonts w:eastAsia="標楷體"/>
              </w:rPr>
              <w:t>22</w:t>
            </w:r>
            <w:r w:rsidRPr="004D451D">
              <w:rPr>
                <w:rFonts w:eastAsia="標楷體" w:hint="eastAsia"/>
              </w:rPr>
              <w:t>乘以</w:t>
            </w:r>
            <w:r w:rsidRPr="004D451D">
              <w:rPr>
                <w:rFonts w:eastAsia="標楷體" w:hint="eastAsia"/>
              </w:rPr>
              <w:t>100</w:t>
            </w:r>
            <w:r w:rsidRPr="004D451D">
              <w:rPr>
                <w:rFonts w:ascii="標楷體" w:eastAsia="標楷體" w:hAnsi="標楷體" w:hint="eastAsia"/>
              </w:rPr>
              <w:t>。</w:t>
            </w:r>
          </w:p>
        </w:tc>
        <w:tc>
          <w:tcPr>
            <w:tcW w:w="1701" w:type="dxa"/>
          </w:tcPr>
          <w:p w:rsidR="00693508" w:rsidRPr="004D451D" w:rsidRDefault="00693508" w:rsidP="004B75EF">
            <w:pPr>
              <w:spacing w:line="356" w:lineRule="exact"/>
              <w:rPr>
                <w:rFonts w:eastAsia="標楷體"/>
              </w:rPr>
            </w:pPr>
            <w:r w:rsidRPr="004D451D">
              <w:rPr>
                <w:rFonts w:eastAsia="標楷體"/>
              </w:rPr>
              <w:t>59999</w:t>
            </w:r>
          </w:p>
        </w:tc>
      </w:tr>
    </w:tbl>
    <w:p w:rsidR="00693508" w:rsidRPr="004D451D" w:rsidRDefault="00693508" w:rsidP="00693508">
      <w:pPr>
        <w:spacing w:line="356" w:lineRule="exact"/>
        <w:ind w:left="461" w:hangingChars="192" w:hanging="461"/>
        <w:rPr>
          <w:rFonts w:ascii="標楷體" w:eastAsia="標楷體" w:hAnsi="標楷體"/>
        </w:rPr>
      </w:pPr>
      <w:r w:rsidRPr="004D451D">
        <w:rPr>
          <w:rFonts w:eastAsia="標楷體" w:hint="eastAsia"/>
        </w:rPr>
        <w:t>註</w:t>
      </w:r>
      <w:r w:rsidRPr="004D451D">
        <w:rPr>
          <w:rFonts w:ascii="標楷體" w:eastAsia="標楷體" w:hAnsi="標楷體" w:hint="eastAsia"/>
        </w:rPr>
        <w:t>：本欄供銀行填報參考。未加權金額係</w:t>
      </w:r>
      <w:r w:rsidRPr="004D451D">
        <w:rPr>
          <w:rFonts w:eastAsia="標楷體" w:hAnsi="標楷體" w:hint="eastAsia"/>
          <w:spacing w:val="-10"/>
        </w:rPr>
        <w:t>﹝</w:t>
      </w:r>
      <w:r w:rsidRPr="004D451D">
        <w:rPr>
          <w:rFonts w:eastAsia="標楷體"/>
          <w:spacing w:val="-20"/>
        </w:rPr>
        <w:t>AI</w:t>
      </w:r>
      <w:r w:rsidRPr="004D451D">
        <w:rPr>
          <w:rFonts w:eastAsia="標楷體"/>
        </w:rPr>
        <w:t>260</w:t>
      </w:r>
      <w:r w:rsidRPr="004D451D">
        <w:rPr>
          <w:rFonts w:eastAsia="標楷體" w:hint="eastAsia"/>
          <w:spacing w:val="-10"/>
        </w:rPr>
        <w:t>﹞</w:t>
      </w:r>
      <w:r w:rsidRPr="004D451D">
        <w:rPr>
          <w:rFonts w:eastAsia="標楷體"/>
        </w:rPr>
        <w:t>A</w:t>
      </w:r>
      <w:r w:rsidRPr="004D451D">
        <w:rPr>
          <w:rFonts w:eastAsia="標楷體" w:hint="eastAsia"/>
        </w:rPr>
        <w:t>欄</w:t>
      </w:r>
      <w:r w:rsidRPr="004D451D">
        <w:rPr>
          <w:rFonts w:ascii="標楷體" w:eastAsia="標楷體" w:hAnsi="標楷體" w:hint="eastAsia"/>
        </w:rPr>
        <w:t>數字；加權後金額係</w:t>
      </w:r>
      <w:r w:rsidRPr="004D451D">
        <w:rPr>
          <w:rFonts w:eastAsia="標楷體" w:hAnsi="標楷體" w:hint="eastAsia"/>
          <w:spacing w:val="-10"/>
        </w:rPr>
        <w:t>﹝</w:t>
      </w:r>
      <w:r w:rsidRPr="004D451D">
        <w:rPr>
          <w:rFonts w:eastAsia="標楷體"/>
          <w:spacing w:val="-20"/>
        </w:rPr>
        <w:t>AI</w:t>
      </w:r>
      <w:r w:rsidRPr="004D451D">
        <w:rPr>
          <w:rFonts w:eastAsia="標楷體"/>
        </w:rPr>
        <w:t>260</w:t>
      </w:r>
      <w:r w:rsidRPr="004D451D">
        <w:rPr>
          <w:rFonts w:eastAsia="標楷體" w:hint="eastAsia"/>
          <w:spacing w:val="-10"/>
        </w:rPr>
        <w:t>﹞</w:t>
      </w:r>
      <w:r w:rsidRPr="004D451D">
        <w:rPr>
          <w:rFonts w:eastAsia="標楷體"/>
        </w:rPr>
        <w:t>T</w:t>
      </w:r>
      <w:r w:rsidRPr="004D451D">
        <w:rPr>
          <w:rFonts w:eastAsia="標楷體" w:hint="eastAsia"/>
        </w:rPr>
        <w:t>欄</w:t>
      </w:r>
      <w:r w:rsidRPr="004D451D">
        <w:rPr>
          <w:rFonts w:ascii="標楷體" w:eastAsia="標楷體" w:hAnsi="標楷體" w:hint="eastAsia"/>
        </w:rPr>
        <w:t>數字。</w:t>
      </w:r>
    </w:p>
    <w:p w:rsidR="00ED4EB3" w:rsidRPr="004D451D" w:rsidRDefault="00ED4EB3" w:rsidP="00ED4EB3">
      <w:pPr>
        <w:spacing w:line="356" w:lineRule="exact"/>
        <w:rPr>
          <w:rFonts w:ascii="標楷體" w:eastAsia="標楷體" w:hAnsi="標楷體"/>
        </w:rPr>
      </w:pPr>
    </w:p>
    <w:p w:rsidR="00ED4EB3" w:rsidRPr="004D451D" w:rsidRDefault="00ED4EB3" w:rsidP="00ED4EB3">
      <w:pPr>
        <w:spacing w:line="356" w:lineRule="exact"/>
        <w:rPr>
          <w:rFonts w:ascii="標楷體" w:eastAsia="標楷體" w:hAnsi="標楷體"/>
        </w:rPr>
        <w:sectPr w:rsidR="00ED4EB3" w:rsidRPr="004D451D" w:rsidSect="003D6C69">
          <w:pgSz w:w="11906" w:h="16838" w:code="9"/>
          <w:pgMar w:top="907" w:right="1247" w:bottom="737" w:left="1247" w:header="851" w:footer="397" w:gutter="0"/>
          <w:cols w:space="425"/>
          <w:docGrid w:type="linesAndChars" w:linePitch="360"/>
        </w:sectPr>
      </w:pPr>
    </w:p>
    <w:p w:rsidR="00AB4AE2" w:rsidRPr="004D451D" w:rsidRDefault="00AB4AE2" w:rsidP="00AB4AE2">
      <w:pPr>
        <w:spacing w:line="340" w:lineRule="exact"/>
        <w:jc w:val="both"/>
        <w:rPr>
          <w:rFonts w:eastAsia="標楷體"/>
          <w:b/>
          <w:sz w:val="32"/>
          <w:szCs w:val="32"/>
        </w:rPr>
      </w:pPr>
      <w:r w:rsidRPr="004D451D">
        <w:rPr>
          <w:rFonts w:ascii="標楷體" w:eastAsia="標楷體" w:hAnsi="標楷體" w:hint="eastAsia"/>
          <w:b/>
          <w:sz w:val="32"/>
          <w:szCs w:val="32"/>
        </w:rPr>
        <w:t>【</w:t>
      </w:r>
      <w:r w:rsidRPr="004D451D">
        <w:rPr>
          <w:rFonts w:ascii="Garamond" w:eastAsia="標楷體" w:hAnsi="標楷體" w:hint="eastAsia"/>
          <w:b/>
          <w:sz w:val="32"/>
          <w:szCs w:val="32"/>
        </w:rPr>
        <w:t>附表五十二</w:t>
      </w:r>
      <w:r w:rsidRPr="004D451D">
        <w:rPr>
          <w:rFonts w:ascii="標楷體" w:eastAsia="標楷體" w:hAnsi="標楷體" w:hint="eastAsia"/>
          <w:b/>
          <w:sz w:val="32"/>
          <w:szCs w:val="32"/>
        </w:rPr>
        <w:t>】</w:t>
      </w:r>
    </w:p>
    <w:p w:rsidR="00AB4AE2" w:rsidRPr="004D451D" w:rsidRDefault="00AB4AE2" w:rsidP="00F0637F">
      <w:pPr>
        <w:jc w:val="center"/>
        <w:rPr>
          <w:rFonts w:eastAsia="標楷體"/>
          <w:b/>
          <w:sz w:val="32"/>
          <w:szCs w:val="32"/>
        </w:rPr>
      </w:pPr>
      <w:r w:rsidRPr="004D451D">
        <w:rPr>
          <w:rFonts w:eastAsia="標楷體" w:hint="eastAsia"/>
          <w:b/>
          <w:sz w:val="32"/>
          <w:szCs w:val="32"/>
        </w:rPr>
        <w:t>淨穩定資金比率揭露表</w:t>
      </w:r>
    </w:p>
    <w:p w:rsidR="00AB4AE2" w:rsidRPr="004D451D" w:rsidRDefault="00D42083" w:rsidP="00AB4AE2">
      <w:pPr>
        <w:widowControl/>
        <w:jc w:val="right"/>
        <w:rPr>
          <w:rFonts w:ascii="Calibri" w:eastAsia="標楷體" w:hAnsi="Calibri"/>
          <w:b/>
          <w:kern w:val="0"/>
        </w:rPr>
      </w:pPr>
      <w:r w:rsidRPr="004D451D">
        <w:rPr>
          <w:rFonts w:ascii="Calibri" w:eastAsia="標楷體" w:hAnsi="Calibri" w:hint="eastAsia"/>
          <w:kern w:val="0"/>
        </w:rPr>
        <w:t>（</w:t>
      </w:r>
      <w:r w:rsidR="00AB4AE2" w:rsidRPr="004D451D">
        <w:rPr>
          <w:rFonts w:ascii="Calibri" w:eastAsia="標楷體" w:hAnsi="Calibri" w:hint="eastAsia"/>
          <w:kern w:val="0"/>
        </w:rPr>
        <w:t>單位：新臺幣千元</w:t>
      </w:r>
      <w:r w:rsidRPr="004D451D">
        <w:rPr>
          <w:rFonts w:ascii="Calibri" w:eastAsia="標楷體" w:hAnsi="Calibri" w:hint="eastAsia"/>
          <w:kern w:val="0"/>
        </w:rPr>
        <w:t>）</w:t>
      </w:r>
    </w:p>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073"/>
        <w:gridCol w:w="1224"/>
        <w:gridCol w:w="1128"/>
        <w:gridCol w:w="1192"/>
        <w:gridCol w:w="1116"/>
        <w:gridCol w:w="1216"/>
        <w:gridCol w:w="1224"/>
        <w:gridCol w:w="1116"/>
        <w:gridCol w:w="1121"/>
        <w:gridCol w:w="1116"/>
        <w:gridCol w:w="1216"/>
      </w:tblGrid>
      <w:tr w:rsidR="004D451D" w:rsidRPr="004D451D" w:rsidTr="002F27F4">
        <w:trPr>
          <w:trHeight w:val="448"/>
          <w:jc w:val="center"/>
        </w:trPr>
        <w:tc>
          <w:tcPr>
            <w:tcW w:w="3531" w:type="dxa"/>
            <w:gridSpan w:val="2"/>
            <w:vMerge w:val="restart"/>
            <w:vAlign w:val="center"/>
          </w:tcPr>
          <w:p w:rsidR="00AB4AE2" w:rsidRPr="004D451D" w:rsidRDefault="00AB4AE2" w:rsidP="00AB4AE2">
            <w:pPr>
              <w:widowControl/>
              <w:spacing w:line="240" w:lineRule="atLeast"/>
              <w:jc w:val="center"/>
              <w:rPr>
                <w:rFonts w:eastAsia="標楷體" w:hAnsi="標楷體"/>
                <w:kern w:val="0"/>
                <w:lang w:eastAsia="en-US"/>
              </w:rPr>
            </w:pPr>
            <w:r w:rsidRPr="004D451D">
              <w:rPr>
                <w:rFonts w:eastAsia="標楷體" w:hAnsi="標楷體"/>
                <w:kern w:val="0"/>
                <w:lang w:eastAsia="en-US"/>
              </w:rPr>
              <w:t>項目</w:t>
            </w:r>
          </w:p>
        </w:tc>
        <w:tc>
          <w:tcPr>
            <w:tcW w:w="5876" w:type="dxa"/>
            <w:gridSpan w:val="5"/>
            <w:vAlign w:val="center"/>
          </w:tcPr>
          <w:p w:rsidR="00AB4AE2" w:rsidRPr="004D451D" w:rsidRDefault="00456A97" w:rsidP="00456A97">
            <w:pPr>
              <w:widowControl/>
              <w:spacing w:line="240" w:lineRule="atLeast"/>
              <w:jc w:val="center"/>
              <w:rPr>
                <w:rFonts w:ascii="標楷體" w:eastAsia="標楷體" w:hAnsi="標楷體"/>
                <w:kern w:val="0"/>
              </w:rPr>
            </w:pPr>
            <w:r w:rsidRPr="004D451D">
              <w:rPr>
                <w:rFonts w:ascii="標楷體" w:eastAsia="標楷體" w:hAnsi="標楷體" w:hint="eastAsia"/>
                <w:kern w:val="0"/>
              </w:rPr>
              <w:t>本</w:t>
            </w:r>
            <w:r w:rsidR="00AB4AE2" w:rsidRPr="004D451D">
              <w:rPr>
                <w:rFonts w:ascii="標楷體" w:eastAsia="標楷體" w:hAnsi="標楷體" w:hint="eastAsia"/>
                <w:kern w:val="0"/>
              </w:rPr>
              <w:t>季</w:t>
            </w:r>
          </w:p>
        </w:tc>
        <w:tc>
          <w:tcPr>
            <w:tcW w:w="5793" w:type="dxa"/>
            <w:gridSpan w:val="5"/>
            <w:vAlign w:val="center"/>
          </w:tcPr>
          <w:p w:rsidR="00AB4AE2" w:rsidRPr="004D451D" w:rsidRDefault="00AB4AE2" w:rsidP="00AB4AE2">
            <w:pPr>
              <w:widowControl/>
              <w:spacing w:line="240" w:lineRule="atLeast"/>
              <w:jc w:val="center"/>
              <w:rPr>
                <w:rFonts w:ascii="標楷體" w:eastAsia="標楷體" w:hAnsi="標楷體"/>
                <w:kern w:val="0"/>
              </w:rPr>
            </w:pPr>
            <w:r w:rsidRPr="004D451D">
              <w:rPr>
                <w:rFonts w:ascii="標楷體" w:eastAsia="標楷體" w:hAnsi="標楷體" w:hint="eastAsia"/>
                <w:kern w:val="0"/>
              </w:rPr>
              <w:t>前一季</w:t>
            </w:r>
          </w:p>
        </w:tc>
      </w:tr>
      <w:tr w:rsidR="004D451D" w:rsidRPr="004D451D" w:rsidTr="002F27F4">
        <w:trPr>
          <w:trHeight w:val="448"/>
          <w:jc w:val="center"/>
        </w:trPr>
        <w:tc>
          <w:tcPr>
            <w:tcW w:w="3531" w:type="dxa"/>
            <w:gridSpan w:val="2"/>
            <w:vMerge/>
            <w:vAlign w:val="center"/>
          </w:tcPr>
          <w:p w:rsidR="00AB4AE2" w:rsidRPr="004D451D" w:rsidRDefault="00AB4AE2" w:rsidP="00AB4AE2">
            <w:pPr>
              <w:widowControl/>
              <w:spacing w:line="240" w:lineRule="atLeast"/>
              <w:jc w:val="center"/>
              <w:rPr>
                <w:rFonts w:eastAsia="標楷體"/>
                <w:kern w:val="0"/>
                <w:lang w:eastAsia="en-US"/>
              </w:rPr>
            </w:pPr>
          </w:p>
        </w:tc>
        <w:tc>
          <w:tcPr>
            <w:tcW w:w="5876" w:type="dxa"/>
            <w:gridSpan w:val="5"/>
            <w:vAlign w:val="center"/>
          </w:tcPr>
          <w:p w:rsidR="00AB4AE2" w:rsidRPr="004D451D" w:rsidRDefault="00064577" w:rsidP="002F27F4">
            <w:pPr>
              <w:widowControl/>
              <w:spacing w:line="240" w:lineRule="atLeast"/>
              <w:jc w:val="center"/>
              <w:rPr>
                <w:rFonts w:eastAsia="標楷體"/>
                <w:kern w:val="0"/>
                <w:lang w:eastAsia="en-US"/>
              </w:rPr>
            </w:pPr>
            <w:r w:rsidRPr="004D451D">
              <w:rPr>
                <w:rFonts w:ascii="標楷體" w:eastAsia="標楷體" w:hAnsi="標楷體" w:hint="eastAsia"/>
                <w:kern w:val="0"/>
              </w:rPr>
              <w:t>10</w:t>
            </w:r>
            <w:r w:rsidR="002F27F4" w:rsidRPr="004D451D">
              <w:rPr>
                <w:rFonts w:ascii="標楷體" w:eastAsia="標楷體" w:hAnsi="標楷體" w:hint="eastAsia"/>
                <w:kern w:val="0"/>
              </w:rPr>
              <w:t>7</w:t>
            </w:r>
            <w:r w:rsidR="00AB4AE2" w:rsidRPr="004D451D">
              <w:rPr>
                <w:rFonts w:eastAsia="標楷體" w:hAnsi="標楷體"/>
                <w:kern w:val="0"/>
                <w:lang w:eastAsia="en-US"/>
              </w:rPr>
              <w:t>年</w:t>
            </w:r>
            <w:r w:rsidR="002F27F4" w:rsidRPr="004D451D">
              <w:rPr>
                <w:rFonts w:eastAsia="標楷體" w:hAnsi="標楷體" w:hint="eastAsia"/>
                <w:kern w:val="0"/>
              </w:rPr>
              <w:t>06</w:t>
            </w:r>
            <w:r w:rsidR="00AB4AE2" w:rsidRPr="004D451D">
              <w:rPr>
                <w:rFonts w:eastAsia="標楷體" w:hAnsi="標楷體"/>
                <w:kern w:val="0"/>
                <w:lang w:eastAsia="en-US"/>
              </w:rPr>
              <w:t>月</w:t>
            </w:r>
            <w:r w:rsidRPr="004D451D">
              <w:rPr>
                <w:rFonts w:eastAsia="標楷體" w:hAnsi="標楷體" w:hint="eastAsia"/>
                <w:kern w:val="0"/>
              </w:rPr>
              <w:t>3</w:t>
            </w:r>
            <w:r w:rsidR="002F27F4" w:rsidRPr="004D451D">
              <w:rPr>
                <w:rFonts w:eastAsia="標楷體" w:hAnsi="標楷體" w:hint="eastAsia"/>
                <w:kern w:val="0"/>
              </w:rPr>
              <w:t>0</w:t>
            </w:r>
            <w:r w:rsidR="00AB4AE2" w:rsidRPr="004D451D">
              <w:rPr>
                <w:rFonts w:eastAsia="標楷體" w:hAnsi="標楷體"/>
                <w:kern w:val="0"/>
                <w:lang w:eastAsia="en-US"/>
              </w:rPr>
              <w:t>日</w:t>
            </w:r>
          </w:p>
        </w:tc>
        <w:tc>
          <w:tcPr>
            <w:tcW w:w="5793" w:type="dxa"/>
            <w:gridSpan w:val="5"/>
            <w:vAlign w:val="center"/>
          </w:tcPr>
          <w:p w:rsidR="00AB4AE2" w:rsidRPr="004D451D" w:rsidRDefault="00064577" w:rsidP="002F27F4">
            <w:pPr>
              <w:widowControl/>
              <w:spacing w:line="240" w:lineRule="atLeast"/>
              <w:jc w:val="center"/>
              <w:rPr>
                <w:rFonts w:eastAsia="標楷體"/>
                <w:kern w:val="0"/>
                <w:lang w:eastAsia="en-US"/>
              </w:rPr>
            </w:pPr>
            <w:r w:rsidRPr="004D451D">
              <w:rPr>
                <w:rFonts w:ascii="標楷體" w:eastAsia="標楷體" w:hAnsi="標楷體" w:hint="eastAsia"/>
                <w:kern w:val="0"/>
              </w:rPr>
              <w:t>10</w:t>
            </w:r>
            <w:r w:rsidR="002F27F4" w:rsidRPr="004D451D">
              <w:rPr>
                <w:rFonts w:ascii="標楷體" w:eastAsia="標楷體" w:hAnsi="標楷體" w:hint="eastAsia"/>
                <w:kern w:val="0"/>
              </w:rPr>
              <w:t>7</w:t>
            </w:r>
            <w:r w:rsidR="00AB4AE2" w:rsidRPr="004D451D">
              <w:rPr>
                <w:rFonts w:eastAsia="標楷體" w:hAnsi="標楷體"/>
                <w:kern w:val="0"/>
                <w:lang w:eastAsia="en-US"/>
              </w:rPr>
              <w:t>年</w:t>
            </w:r>
            <w:r w:rsidRPr="004D451D">
              <w:rPr>
                <w:rFonts w:eastAsia="標楷體" w:hAnsi="標楷體" w:hint="eastAsia"/>
                <w:kern w:val="0"/>
              </w:rPr>
              <w:t>0</w:t>
            </w:r>
            <w:r w:rsidR="002F27F4" w:rsidRPr="004D451D">
              <w:rPr>
                <w:rFonts w:eastAsia="標楷體" w:hAnsi="標楷體" w:hint="eastAsia"/>
                <w:kern w:val="0"/>
              </w:rPr>
              <w:t>3</w:t>
            </w:r>
            <w:r w:rsidR="00AB4AE2" w:rsidRPr="004D451D">
              <w:rPr>
                <w:rFonts w:eastAsia="標楷體" w:hAnsi="標楷體"/>
                <w:kern w:val="0"/>
                <w:lang w:eastAsia="en-US"/>
              </w:rPr>
              <w:t>月</w:t>
            </w:r>
            <w:r w:rsidRPr="004D451D">
              <w:rPr>
                <w:rFonts w:eastAsia="標楷體" w:hAnsi="標楷體" w:hint="eastAsia"/>
                <w:kern w:val="0"/>
              </w:rPr>
              <w:t>3</w:t>
            </w:r>
            <w:r w:rsidR="002F27F4" w:rsidRPr="004D451D">
              <w:rPr>
                <w:rFonts w:eastAsia="標楷體" w:hAnsi="標楷體" w:hint="eastAsia"/>
                <w:kern w:val="0"/>
              </w:rPr>
              <w:t>1</w:t>
            </w:r>
            <w:r w:rsidR="003B42D0" w:rsidRPr="004D451D">
              <w:rPr>
                <w:rFonts w:eastAsia="標楷體" w:hAnsi="標楷體"/>
                <w:kern w:val="0"/>
                <w:lang w:eastAsia="en-US"/>
              </w:rPr>
              <w:t>日</w:t>
            </w:r>
          </w:p>
        </w:tc>
      </w:tr>
      <w:tr w:rsidR="004D451D" w:rsidRPr="004D451D" w:rsidTr="002F27F4">
        <w:trPr>
          <w:trHeight w:val="204"/>
          <w:jc w:val="center"/>
        </w:trPr>
        <w:tc>
          <w:tcPr>
            <w:tcW w:w="3531" w:type="dxa"/>
            <w:gridSpan w:val="2"/>
            <w:vMerge/>
          </w:tcPr>
          <w:p w:rsidR="00AB4AE2" w:rsidRPr="004D451D" w:rsidRDefault="00AB4AE2" w:rsidP="00AB4AE2">
            <w:pPr>
              <w:widowControl/>
              <w:spacing w:line="240" w:lineRule="atLeast"/>
              <w:jc w:val="center"/>
              <w:rPr>
                <w:rFonts w:eastAsia="標楷體"/>
                <w:kern w:val="0"/>
                <w:lang w:eastAsia="en-US"/>
              </w:rPr>
            </w:pPr>
          </w:p>
        </w:tc>
        <w:tc>
          <w:tcPr>
            <w:tcW w:w="4660" w:type="dxa"/>
            <w:gridSpan w:val="4"/>
          </w:tcPr>
          <w:p w:rsidR="00AB4AE2" w:rsidRPr="004D451D" w:rsidRDefault="00AB4AE2" w:rsidP="00AB4AE2">
            <w:pPr>
              <w:widowControl/>
              <w:spacing w:line="240" w:lineRule="atLeast"/>
              <w:jc w:val="center"/>
              <w:rPr>
                <w:rFonts w:eastAsia="標楷體"/>
                <w:kern w:val="0"/>
                <w:vertAlign w:val="superscript"/>
                <w:lang w:eastAsia="en-US"/>
              </w:rPr>
            </w:pPr>
            <w:r w:rsidRPr="004D451D">
              <w:rPr>
                <w:rFonts w:eastAsia="標楷體" w:hAnsi="標楷體"/>
                <w:kern w:val="0"/>
                <w:sz w:val="22"/>
                <w:szCs w:val="22"/>
                <w:lang w:eastAsia="en-US"/>
              </w:rPr>
              <w:t>未加權金額</w:t>
            </w:r>
            <w:r w:rsidRPr="004D451D">
              <w:rPr>
                <w:rFonts w:eastAsia="標楷體"/>
                <w:kern w:val="0"/>
                <w:vertAlign w:val="superscript"/>
                <w:lang w:eastAsia="en-US"/>
              </w:rPr>
              <w:t>1</w:t>
            </w:r>
          </w:p>
        </w:tc>
        <w:tc>
          <w:tcPr>
            <w:tcW w:w="1216" w:type="dxa"/>
            <w:vMerge w:val="restart"/>
            <w:vAlign w:val="center"/>
          </w:tcPr>
          <w:p w:rsidR="00AB4AE2" w:rsidRPr="004D451D" w:rsidRDefault="00AB4AE2" w:rsidP="00AB4AE2">
            <w:pPr>
              <w:widowControl/>
              <w:spacing w:line="240" w:lineRule="atLeast"/>
              <w:jc w:val="center"/>
              <w:rPr>
                <w:rFonts w:eastAsia="標楷體"/>
                <w:kern w:val="0"/>
                <w:vertAlign w:val="superscript"/>
              </w:rPr>
            </w:pPr>
            <w:r w:rsidRPr="004D451D">
              <w:rPr>
                <w:rFonts w:eastAsia="標楷體" w:hAnsi="標楷體"/>
                <w:kern w:val="0"/>
                <w:sz w:val="22"/>
                <w:szCs w:val="22"/>
                <w:lang w:eastAsia="en-US"/>
              </w:rPr>
              <w:t>加權後金額</w:t>
            </w:r>
            <w:r w:rsidRPr="004D451D">
              <w:rPr>
                <w:rFonts w:eastAsia="標楷體"/>
                <w:kern w:val="0"/>
                <w:vertAlign w:val="superscript"/>
                <w:lang w:eastAsia="en-US"/>
              </w:rPr>
              <w:t>2</w:t>
            </w:r>
          </w:p>
          <w:p w:rsidR="00B62105" w:rsidRPr="004D451D" w:rsidRDefault="00B62105" w:rsidP="00AB4AE2">
            <w:pPr>
              <w:widowControl/>
              <w:spacing w:line="240" w:lineRule="atLeast"/>
              <w:jc w:val="center"/>
              <w:rPr>
                <w:rFonts w:eastAsia="標楷體"/>
                <w:kern w:val="0"/>
              </w:rPr>
            </w:pPr>
            <w:r w:rsidRPr="004D451D">
              <w:rPr>
                <w:rFonts w:eastAsia="標楷體" w:hint="eastAsia"/>
                <w:kern w:val="0"/>
              </w:rPr>
              <w:t>E</w:t>
            </w:r>
          </w:p>
        </w:tc>
        <w:tc>
          <w:tcPr>
            <w:tcW w:w="4577" w:type="dxa"/>
            <w:gridSpan w:val="4"/>
          </w:tcPr>
          <w:p w:rsidR="00AB4AE2" w:rsidRPr="004D451D" w:rsidRDefault="00AB4AE2" w:rsidP="00AB4AE2">
            <w:pPr>
              <w:widowControl/>
              <w:spacing w:line="240" w:lineRule="atLeast"/>
              <w:jc w:val="center"/>
              <w:rPr>
                <w:rFonts w:eastAsia="標楷體"/>
                <w:kern w:val="0"/>
                <w:vertAlign w:val="superscript"/>
                <w:lang w:eastAsia="en-US"/>
              </w:rPr>
            </w:pPr>
            <w:r w:rsidRPr="004D451D">
              <w:rPr>
                <w:rFonts w:eastAsia="標楷體" w:hAnsi="標楷體"/>
                <w:kern w:val="0"/>
                <w:sz w:val="22"/>
                <w:szCs w:val="22"/>
                <w:lang w:eastAsia="en-US"/>
              </w:rPr>
              <w:t>未加權金額</w:t>
            </w:r>
            <w:r w:rsidRPr="004D451D">
              <w:rPr>
                <w:rFonts w:eastAsia="標楷體"/>
                <w:kern w:val="0"/>
                <w:vertAlign w:val="superscript"/>
                <w:lang w:eastAsia="en-US"/>
              </w:rPr>
              <w:t>1</w:t>
            </w:r>
          </w:p>
        </w:tc>
        <w:tc>
          <w:tcPr>
            <w:tcW w:w="1216" w:type="dxa"/>
            <w:vMerge w:val="restart"/>
            <w:vAlign w:val="center"/>
          </w:tcPr>
          <w:p w:rsidR="00AB4AE2" w:rsidRPr="004D451D" w:rsidRDefault="00AB4AE2" w:rsidP="00AB4AE2">
            <w:pPr>
              <w:widowControl/>
              <w:spacing w:line="240" w:lineRule="atLeast"/>
              <w:jc w:val="center"/>
              <w:rPr>
                <w:rFonts w:eastAsia="標楷體"/>
                <w:kern w:val="0"/>
                <w:vertAlign w:val="superscript"/>
              </w:rPr>
            </w:pPr>
            <w:r w:rsidRPr="004D451D">
              <w:rPr>
                <w:rFonts w:eastAsia="標楷體" w:hAnsi="標楷體"/>
                <w:kern w:val="0"/>
                <w:sz w:val="22"/>
                <w:szCs w:val="22"/>
                <w:lang w:eastAsia="en-US"/>
              </w:rPr>
              <w:t>加權後金額</w:t>
            </w:r>
            <w:r w:rsidRPr="004D451D">
              <w:rPr>
                <w:rFonts w:eastAsia="標楷體"/>
                <w:kern w:val="0"/>
                <w:vertAlign w:val="superscript"/>
                <w:lang w:eastAsia="en-US"/>
              </w:rPr>
              <w:t>2</w:t>
            </w:r>
          </w:p>
          <w:p w:rsidR="00B62105" w:rsidRPr="004D451D" w:rsidRDefault="00B62105" w:rsidP="00AB4AE2">
            <w:pPr>
              <w:widowControl/>
              <w:spacing w:line="240" w:lineRule="atLeast"/>
              <w:jc w:val="center"/>
              <w:rPr>
                <w:rFonts w:eastAsia="標楷體"/>
                <w:kern w:val="0"/>
              </w:rPr>
            </w:pPr>
            <w:r w:rsidRPr="004D451D">
              <w:rPr>
                <w:rFonts w:eastAsia="標楷體" w:hint="eastAsia"/>
                <w:kern w:val="0"/>
              </w:rPr>
              <w:t>J</w:t>
            </w:r>
          </w:p>
        </w:tc>
      </w:tr>
      <w:tr w:rsidR="004D451D" w:rsidRPr="004D451D" w:rsidTr="002F27F4">
        <w:trPr>
          <w:trHeight w:val="556"/>
          <w:jc w:val="center"/>
        </w:trPr>
        <w:tc>
          <w:tcPr>
            <w:tcW w:w="3531" w:type="dxa"/>
            <w:gridSpan w:val="2"/>
            <w:vMerge/>
          </w:tcPr>
          <w:p w:rsidR="00AB4AE2" w:rsidRPr="004D451D" w:rsidRDefault="00AB4AE2" w:rsidP="00AB4AE2">
            <w:pPr>
              <w:widowControl/>
              <w:spacing w:line="240" w:lineRule="atLeast"/>
              <w:jc w:val="center"/>
              <w:rPr>
                <w:rFonts w:eastAsia="標楷體"/>
                <w:kern w:val="0"/>
                <w:lang w:eastAsia="en-US"/>
              </w:rPr>
            </w:pPr>
          </w:p>
        </w:tc>
        <w:tc>
          <w:tcPr>
            <w:tcW w:w="1224" w:type="dxa"/>
            <w:vAlign w:val="center"/>
          </w:tcPr>
          <w:p w:rsidR="00AB4AE2" w:rsidRPr="004D451D" w:rsidRDefault="00AB4AE2" w:rsidP="00AB4AE2">
            <w:pPr>
              <w:autoSpaceDE w:val="0"/>
              <w:autoSpaceDN w:val="0"/>
              <w:adjustRightInd w:val="0"/>
              <w:jc w:val="center"/>
              <w:rPr>
                <w:rFonts w:eastAsia="標楷體"/>
                <w:kern w:val="0"/>
                <w:vertAlign w:val="superscript"/>
              </w:rPr>
            </w:pPr>
            <w:r w:rsidRPr="004D451D">
              <w:rPr>
                <w:rFonts w:eastAsia="標楷體" w:hAnsi="標楷體"/>
                <w:kern w:val="0"/>
                <w:sz w:val="22"/>
                <w:szCs w:val="16"/>
                <w:lang w:eastAsia="en-US"/>
              </w:rPr>
              <w:t>無到期日</w:t>
            </w:r>
            <w:r w:rsidRPr="004D451D">
              <w:rPr>
                <w:rFonts w:eastAsia="標楷體"/>
                <w:kern w:val="0"/>
                <w:vertAlign w:val="superscript"/>
              </w:rPr>
              <w:t>3</w:t>
            </w:r>
          </w:p>
          <w:p w:rsidR="00B62105" w:rsidRPr="004D451D" w:rsidRDefault="00B62105" w:rsidP="00AB4AE2">
            <w:pPr>
              <w:autoSpaceDE w:val="0"/>
              <w:autoSpaceDN w:val="0"/>
              <w:adjustRightInd w:val="0"/>
              <w:jc w:val="center"/>
              <w:rPr>
                <w:rFonts w:eastAsia="標楷體"/>
                <w:kern w:val="0"/>
                <w:sz w:val="22"/>
                <w:szCs w:val="16"/>
                <w:lang w:eastAsia="en-US"/>
              </w:rPr>
            </w:pPr>
            <w:r w:rsidRPr="004D451D">
              <w:rPr>
                <w:rFonts w:eastAsia="標楷體" w:hint="eastAsia"/>
                <w:kern w:val="0"/>
              </w:rPr>
              <w:t>A</w:t>
            </w:r>
          </w:p>
        </w:tc>
        <w:tc>
          <w:tcPr>
            <w:tcW w:w="1128" w:type="dxa"/>
            <w:vAlign w:val="center"/>
          </w:tcPr>
          <w:p w:rsidR="00AB4AE2" w:rsidRPr="004D451D" w:rsidRDefault="00ED4EB3" w:rsidP="00AB4AE2">
            <w:pPr>
              <w:autoSpaceDE w:val="0"/>
              <w:autoSpaceDN w:val="0"/>
              <w:adjustRightInd w:val="0"/>
              <w:jc w:val="center"/>
              <w:rPr>
                <w:rFonts w:eastAsia="標楷體" w:hAnsi="標楷體"/>
                <w:kern w:val="0"/>
                <w:sz w:val="22"/>
                <w:szCs w:val="16"/>
              </w:rPr>
            </w:pPr>
            <w:r w:rsidRPr="004D451D">
              <w:rPr>
                <w:rFonts w:eastAsia="標楷體"/>
                <w:kern w:val="0"/>
                <w:sz w:val="22"/>
                <w:szCs w:val="16"/>
                <w:lang w:eastAsia="en-US"/>
              </w:rPr>
              <w:t>&lt;</w:t>
            </w:r>
            <w:r w:rsidRPr="004D451D">
              <w:rPr>
                <w:rFonts w:eastAsia="標楷體" w:hint="eastAsia"/>
                <w:kern w:val="0"/>
                <w:sz w:val="22"/>
                <w:szCs w:val="16"/>
              </w:rPr>
              <w:t xml:space="preserve"> </w:t>
            </w:r>
            <w:r w:rsidRPr="004D451D">
              <w:rPr>
                <w:rFonts w:eastAsia="標楷體"/>
                <w:kern w:val="0"/>
                <w:sz w:val="22"/>
                <w:szCs w:val="16"/>
                <w:lang w:eastAsia="en-US"/>
              </w:rPr>
              <w:t>6</w:t>
            </w:r>
            <w:r w:rsidR="00AB4AE2" w:rsidRPr="004D451D">
              <w:rPr>
                <w:rFonts w:eastAsia="標楷體" w:hAnsi="標楷體"/>
                <w:kern w:val="0"/>
                <w:sz w:val="22"/>
                <w:szCs w:val="16"/>
                <w:lang w:eastAsia="en-US"/>
              </w:rPr>
              <w:t>個月</w:t>
            </w:r>
          </w:p>
          <w:p w:rsidR="00B62105" w:rsidRPr="004D451D" w:rsidRDefault="00B62105" w:rsidP="00AB4AE2">
            <w:pPr>
              <w:autoSpaceDE w:val="0"/>
              <w:autoSpaceDN w:val="0"/>
              <w:adjustRightInd w:val="0"/>
              <w:jc w:val="center"/>
              <w:rPr>
                <w:rFonts w:eastAsia="標楷體"/>
                <w:kern w:val="0"/>
                <w:sz w:val="22"/>
                <w:szCs w:val="16"/>
              </w:rPr>
            </w:pPr>
            <w:r w:rsidRPr="004D451D">
              <w:rPr>
                <w:rFonts w:eastAsia="標楷體" w:hAnsi="標楷體" w:hint="eastAsia"/>
                <w:kern w:val="0"/>
                <w:sz w:val="22"/>
                <w:szCs w:val="16"/>
              </w:rPr>
              <w:t>B</w:t>
            </w:r>
          </w:p>
        </w:tc>
        <w:tc>
          <w:tcPr>
            <w:tcW w:w="1192" w:type="dxa"/>
            <w:vAlign w:val="center"/>
          </w:tcPr>
          <w:p w:rsidR="00B62105" w:rsidRPr="004D451D" w:rsidRDefault="00ED4EB3" w:rsidP="00AB4AE2">
            <w:pPr>
              <w:autoSpaceDE w:val="0"/>
              <w:autoSpaceDN w:val="0"/>
              <w:adjustRightInd w:val="0"/>
              <w:jc w:val="center"/>
              <w:rPr>
                <w:rFonts w:eastAsia="標楷體" w:hAnsi="標楷體"/>
                <w:kern w:val="0"/>
                <w:sz w:val="22"/>
                <w:szCs w:val="16"/>
              </w:rPr>
            </w:pPr>
            <w:r w:rsidRPr="004D451D">
              <w:rPr>
                <w:rFonts w:eastAsia="標楷體"/>
                <w:kern w:val="0"/>
                <w:sz w:val="22"/>
                <w:szCs w:val="16"/>
                <w:lang w:eastAsia="en-US"/>
              </w:rPr>
              <w:t>6</w:t>
            </w:r>
            <w:r w:rsidR="00AB4AE2" w:rsidRPr="004D451D">
              <w:rPr>
                <w:rFonts w:eastAsia="標楷體" w:hAnsi="標楷體"/>
                <w:kern w:val="0"/>
                <w:sz w:val="22"/>
                <w:szCs w:val="16"/>
                <w:lang w:eastAsia="en-US"/>
              </w:rPr>
              <w:t>個月至</w:t>
            </w:r>
          </w:p>
          <w:p w:rsidR="00AB4AE2" w:rsidRPr="004D451D" w:rsidRDefault="00AB4AE2" w:rsidP="00AB4AE2">
            <w:pPr>
              <w:autoSpaceDE w:val="0"/>
              <w:autoSpaceDN w:val="0"/>
              <w:adjustRightInd w:val="0"/>
              <w:jc w:val="center"/>
              <w:rPr>
                <w:rFonts w:eastAsia="標楷體"/>
                <w:kern w:val="0"/>
                <w:sz w:val="22"/>
                <w:szCs w:val="16"/>
              </w:rPr>
            </w:pPr>
            <w:r w:rsidRPr="004D451D">
              <w:rPr>
                <w:rFonts w:eastAsia="標楷體"/>
                <w:kern w:val="0"/>
                <w:sz w:val="22"/>
                <w:szCs w:val="16"/>
                <w:lang w:eastAsia="en-US"/>
              </w:rPr>
              <w:t>&lt; 1</w:t>
            </w:r>
            <w:r w:rsidRPr="004D451D">
              <w:rPr>
                <w:rFonts w:eastAsia="標楷體" w:hAnsi="標楷體"/>
                <w:kern w:val="0"/>
                <w:sz w:val="22"/>
                <w:szCs w:val="16"/>
                <w:lang w:eastAsia="en-US"/>
              </w:rPr>
              <w:t>年</w:t>
            </w:r>
            <w:r w:rsidR="00B62105" w:rsidRPr="004D451D">
              <w:rPr>
                <w:rFonts w:eastAsia="標楷體" w:hAnsi="標楷體" w:hint="eastAsia"/>
                <w:kern w:val="0"/>
                <w:sz w:val="22"/>
                <w:szCs w:val="16"/>
              </w:rPr>
              <w:t xml:space="preserve"> C</w:t>
            </w:r>
          </w:p>
        </w:tc>
        <w:tc>
          <w:tcPr>
            <w:tcW w:w="1116" w:type="dxa"/>
            <w:vAlign w:val="center"/>
          </w:tcPr>
          <w:p w:rsidR="00AB4AE2" w:rsidRPr="004D451D" w:rsidRDefault="00AB4AE2" w:rsidP="00AB4AE2">
            <w:pPr>
              <w:autoSpaceDE w:val="0"/>
              <w:autoSpaceDN w:val="0"/>
              <w:adjustRightInd w:val="0"/>
              <w:jc w:val="center"/>
              <w:rPr>
                <w:rFonts w:eastAsia="標楷體" w:hAnsi="標楷體"/>
                <w:kern w:val="0"/>
                <w:sz w:val="22"/>
                <w:szCs w:val="16"/>
              </w:rPr>
            </w:pPr>
            <w:r w:rsidRPr="004D451D">
              <w:rPr>
                <w:rFonts w:eastAsia="標楷體"/>
                <w:kern w:val="0"/>
                <w:sz w:val="22"/>
                <w:szCs w:val="16"/>
                <w:lang w:eastAsia="en-US"/>
              </w:rPr>
              <w:t>≥ 1</w:t>
            </w:r>
            <w:r w:rsidRPr="004D451D">
              <w:rPr>
                <w:rFonts w:eastAsia="標楷體" w:hAnsi="標楷體"/>
                <w:kern w:val="0"/>
                <w:sz w:val="22"/>
                <w:szCs w:val="16"/>
                <w:lang w:eastAsia="en-US"/>
              </w:rPr>
              <w:t>年</w:t>
            </w:r>
          </w:p>
          <w:p w:rsidR="00B62105" w:rsidRPr="004D451D" w:rsidRDefault="00B62105" w:rsidP="00AB4AE2">
            <w:pPr>
              <w:autoSpaceDE w:val="0"/>
              <w:autoSpaceDN w:val="0"/>
              <w:adjustRightInd w:val="0"/>
              <w:jc w:val="center"/>
              <w:rPr>
                <w:rFonts w:eastAsia="標楷體"/>
                <w:kern w:val="0"/>
                <w:sz w:val="22"/>
                <w:szCs w:val="16"/>
              </w:rPr>
            </w:pPr>
            <w:r w:rsidRPr="004D451D">
              <w:rPr>
                <w:rFonts w:eastAsia="標楷體" w:hAnsi="標楷體" w:hint="eastAsia"/>
                <w:kern w:val="0"/>
                <w:sz w:val="22"/>
                <w:szCs w:val="16"/>
              </w:rPr>
              <w:t>D</w:t>
            </w:r>
          </w:p>
        </w:tc>
        <w:tc>
          <w:tcPr>
            <w:tcW w:w="1216" w:type="dxa"/>
            <w:vMerge/>
          </w:tcPr>
          <w:p w:rsidR="00AB4AE2" w:rsidRPr="004D451D" w:rsidRDefault="00AB4AE2" w:rsidP="00AB4AE2">
            <w:pPr>
              <w:widowControl/>
              <w:spacing w:line="240" w:lineRule="atLeast"/>
              <w:jc w:val="center"/>
              <w:rPr>
                <w:rFonts w:eastAsia="標楷體"/>
                <w:kern w:val="0"/>
                <w:sz w:val="22"/>
                <w:lang w:eastAsia="en-US"/>
              </w:rPr>
            </w:pPr>
          </w:p>
        </w:tc>
        <w:tc>
          <w:tcPr>
            <w:tcW w:w="1224" w:type="dxa"/>
            <w:vAlign w:val="center"/>
          </w:tcPr>
          <w:p w:rsidR="00AB4AE2" w:rsidRPr="004D451D" w:rsidRDefault="00AB4AE2" w:rsidP="00AB4AE2">
            <w:pPr>
              <w:autoSpaceDE w:val="0"/>
              <w:autoSpaceDN w:val="0"/>
              <w:adjustRightInd w:val="0"/>
              <w:jc w:val="center"/>
              <w:rPr>
                <w:rFonts w:eastAsia="標楷體"/>
                <w:kern w:val="0"/>
                <w:vertAlign w:val="superscript"/>
              </w:rPr>
            </w:pPr>
            <w:r w:rsidRPr="004D451D">
              <w:rPr>
                <w:rFonts w:eastAsia="標楷體" w:hAnsi="標楷體"/>
                <w:kern w:val="0"/>
                <w:sz w:val="22"/>
                <w:szCs w:val="16"/>
                <w:lang w:eastAsia="en-US"/>
              </w:rPr>
              <w:t>無到期日</w:t>
            </w:r>
            <w:r w:rsidRPr="004D451D">
              <w:rPr>
                <w:rFonts w:eastAsia="標楷體"/>
                <w:kern w:val="0"/>
                <w:vertAlign w:val="superscript"/>
              </w:rPr>
              <w:t>3</w:t>
            </w:r>
          </w:p>
          <w:p w:rsidR="00B62105" w:rsidRPr="004D451D" w:rsidRDefault="00B62105" w:rsidP="00AB4AE2">
            <w:pPr>
              <w:autoSpaceDE w:val="0"/>
              <w:autoSpaceDN w:val="0"/>
              <w:adjustRightInd w:val="0"/>
              <w:jc w:val="center"/>
              <w:rPr>
                <w:rFonts w:eastAsia="標楷體"/>
                <w:kern w:val="0"/>
                <w:sz w:val="22"/>
                <w:szCs w:val="16"/>
                <w:lang w:eastAsia="en-US"/>
              </w:rPr>
            </w:pPr>
            <w:r w:rsidRPr="004D451D">
              <w:rPr>
                <w:rFonts w:eastAsia="標楷體" w:hint="eastAsia"/>
                <w:kern w:val="0"/>
              </w:rPr>
              <w:t>F</w:t>
            </w:r>
          </w:p>
        </w:tc>
        <w:tc>
          <w:tcPr>
            <w:tcW w:w="1116" w:type="dxa"/>
            <w:vAlign w:val="center"/>
          </w:tcPr>
          <w:p w:rsidR="00AB4AE2" w:rsidRPr="004D451D" w:rsidRDefault="00B62105" w:rsidP="00AB4AE2">
            <w:pPr>
              <w:autoSpaceDE w:val="0"/>
              <w:autoSpaceDN w:val="0"/>
              <w:adjustRightInd w:val="0"/>
              <w:jc w:val="center"/>
              <w:rPr>
                <w:rFonts w:eastAsia="標楷體" w:hAnsi="標楷體"/>
                <w:kern w:val="0"/>
                <w:sz w:val="22"/>
                <w:szCs w:val="16"/>
              </w:rPr>
            </w:pPr>
            <w:r w:rsidRPr="004D451D">
              <w:rPr>
                <w:rFonts w:eastAsia="標楷體"/>
                <w:kern w:val="0"/>
                <w:sz w:val="22"/>
                <w:szCs w:val="16"/>
                <w:lang w:eastAsia="en-US"/>
              </w:rPr>
              <w:t>&lt; 6</w:t>
            </w:r>
            <w:r w:rsidR="00AB4AE2" w:rsidRPr="004D451D">
              <w:rPr>
                <w:rFonts w:eastAsia="標楷體" w:hAnsi="標楷體"/>
                <w:kern w:val="0"/>
                <w:sz w:val="22"/>
                <w:szCs w:val="16"/>
                <w:lang w:eastAsia="en-US"/>
              </w:rPr>
              <w:t>個月</w:t>
            </w:r>
          </w:p>
          <w:p w:rsidR="00B62105" w:rsidRPr="004D451D" w:rsidRDefault="00B62105" w:rsidP="00AB4AE2">
            <w:pPr>
              <w:autoSpaceDE w:val="0"/>
              <w:autoSpaceDN w:val="0"/>
              <w:adjustRightInd w:val="0"/>
              <w:jc w:val="center"/>
              <w:rPr>
                <w:rFonts w:eastAsia="標楷體"/>
                <w:kern w:val="0"/>
                <w:sz w:val="22"/>
                <w:szCs w:val="16"/>
              </w:rPr>
            </w:pPr>
            <w:r w:rsidRPr="004D451D">
              <w:rPr>
                <w:rFonts w:eastAsia="標楷體" w:hAnsi="標楷體" w:hint="eastAsia"/>
                <w:kern w:val="0"/>
                <w:sz w:val="22"/>
                <w:szCs w:val="16"/>
              </w:rPr>
              <w:t>G</w:t>
            </w:r>
          </w:p>
        </w:tc>
        <w:tc>
          <w:tcPr>
            <w:tcW w:w="1121" w:type="dxa"/>
            <w:vAlign w:val="center"/>
          </w:tcPr>
          <w:p w:rsidR="00B62105" w:rsidRPr="004D451D" w:rsidRDefault="00B62105" w:rsidP="00AB4AE2">
            <w:pPr>
              <w:autoSpaceDE w:val="0"/>
              <w:autoSpaceDN w:val="0"/>
              <w:adjustRightInd w:val="0"/>
              <w:jc w:val="center"/>
              <w:rPr>
                <w:rFonts w:eastAsia="標楷體" w:hAnsi="標楷體"/>
                <w:kern w:val="0"/>
                <w:sz w:val="22"/>
                <w:szCs w:val="16"/>
              </w:rPr>
            </w:pPr>
            <w:r w:rsidRPr="004D451D">
              <w:rPr>
                <w:rFonts w:eastAsia="標楷體"/>
                <w:kern w:val="0"/>
                <w:sz w:val="22"/>
                <w:szCs w:val="16"/>
                <w:lang w:eastAsia="en-US"/>
              </w:rPr>
              <w:t>6</w:t>
            </w:r>
            <w:r w:rsidR="00AB4AE2" w:rsidRPr="004D451D">
              <w:rPr>
                <w:rFonts w:eastAsia="標楷體" w:hAnsi="標楷體"/>
                <w:kern w:val="0"/>
                <w:sz w:val="22"/>
                <w:szCs w:val="16"/>
                <w:lang w:eastAsia="en-US"/>
              </w:rPr>
              <w:t>個月至</w:t>
            </w:r>
          </w:p>
          <w:p w:rsidR="00AB4AE2" w:rsidRPr="004D451D" w:rsidRDefault="00AB4AE2" w:rsidP="00AB4AE2">
            <w:pPr>
              <w:autoSpaceDE w:val="0"/>
              <w:autoSpaceDN w:val="0"/>
              <w:adjustRightInd w:val="0"/>
              <w:jc w:val="center"/>
              <w:rPr>
                <w:rFonts w:eastAsia="標楷體"/>
                <w:kern w:val="0"/>
                <w:sz w:val="22"/>
                <w:szCs w:val="16"/>
                <w:lang w:eastAsia="en-US"/>
              </w:rPr>
            </w:pPr>
            <w:r w:rsidRPr="004D451D">
              <w:rPr>
                <w:rFonts w:eastAsia="標楷體"/>
                <w:kern w:val="0"/>
                <w:sz w:val="22"/>
                <w:szCs w:val="16"/>
                <w:lang w:eastAsia="en-US"/>
              </w:rPr>
              <w:t>&lt; 1</w:t>
            </w:r>
            <w:r w:rsidRPr="004D451D">
              <w:rPr>
                <w:rFonts w:eastAsia="標楷體" w:hAnsi="標楷體"/>
                <w:kern w:val="0"/>
                <w:sz w:val="22"/>
                <w:szCs w:val="16"/>
                <w:lang w:eastAsia="en-US"/>
              </w:rPr>
              <w:t>年</w:t>
            </w:r>
            <w:r w:rsidR="00B62105" w:rsidRPr="004D451D">
              <w:rPr>
                <w:rFonts w:eastAsia="標楷體" w:hAnsi="標楷體" w:hint="eastAsia"/>
                <w:kern w:val="0"/>
                <w:sz w:val="22"/>
                <w:szCs w:val="16"/>
              </w:rPr>
              <w:t xml:space="preserve"> H</w:t>
            </w:r>
          </w:p>
        </w:tc>
        <w:tc>
          <w:tcPr>
            <w:tcW w:w="1116" w:type="dxa"/>
            <w:vAlign w:val="center"/>
          </w:tcPr>
          <w:p w:rsidR="00AB4AE2" w:rsidRPr="004D451D" w:rsidRDefault="00AB4AE2" w:rsidP="00AB4AE2">
            <w:pPr>
              <w:autoSpaceDE w:val="0"/>
              <w:autoSpaceDN w:val="0"/>
              <w:adjustRightInd w:val="0"/>
              <w:jc w:val="center"/>
              <w:rPr>
                <w:rFonts w:eastAsia="標楷體" w:hAnsi="標楷體"/>
                <w:kern w:val="0"/>
                <w:sz w:val="22"/>
                <w:szCs w:val="16"/>
              </w:rPr>
            </w:pPr>
            <w:r w:rsidRPr="004D451D">
              <w:rPr>
                <w:rFonts w:eastAsia="標楷體"/>
                <w:kern w:val="0"/>
                <w:sz w:val="22"/>
                <w:szCs w:val="16"/>
                <w:lang w:eastAsia="en-US"/>
              </w:rPr>
              <w:t>≥ 1</w:t>
            </w:r>
            <w:r w:rsidRPr="004D451D">
              <w:rPr>
                <w:rFonts w:eastAsia="標楷體" w:hAnsi="標楷體"/>
                <w:kern w:val="0"/>
                <w:sz w:val="22"/>
                <w:szCs w:val="16"/>
                <w:lang w:eastAsia="en-US"/>
              </w:rPr>
              <w:t>年</w:t>
            </w:r>
          </w:p>
          <w:p w:rsidR="00B62105" w:rsidRPr="004D451D" w:rsidRDefault="00B62105" w:rsidP="00AB4AE2">
            <w:pPr>
              <w:autoSpaceDE w:val="0"/>
              <w:autoSpaceDN w:val="0"/>
              <w:adjustRightInd w:val="0"/>
              <w:jc w:val="center"/>
              <w:rPr>
                <w:rFonts w:eastAsia="標楷體"/>
                <w:kern w:val="0"/>
                <w:sz w:val="22"/>
                <w:szCs w:val="16"/>
              </w:rPr>
            </w:pPr>
            <w:r w:rsidRPr="004D451D">
              <w:rPr>
                <w:rFonts w:eastAsia="標楷體" w:hAnsi="標楷體" w:hint="eastAsia"/>
                <w:kern w:val="0"/>
                <w:sz w:val="22"/>
                <w:szCs w:val="16"/>
              </w:rPr>
              <w:t>I</w:t>
            </w:r>
          </w:p>
        </w:tc>
        <w:tc>
          <w:tcPr>
            <w:tcW w:w="1216" w:type="dxa"/>
            <w:vMerge/>
          </w:tcPr>
          <w:p w:rsidR="00AB4AE2" w:rsidRPr="004D451D" w:rsidRDefault="00AB4AE2" w:rsidP="00AB4AE2">
            <w:pPr>
              <w:widowControl/>
              <w:spacing w:line="240" w:lineRule="atLeast"/>
              <w:jc w:val="center"/>
              <w:rPr>
                <w:rFonts w:eastAsia="標楷體"/>
                <w:kern w:val="0"/>
                <w:sz w:val="22"/>
                <w:lang w:eastAsia="en-US"/>
              </w:rPr>
            </w:pPr>
          </w:p>
        </w:tc>
      </w:tr>
      <w:tr w:rsidR="004D451D" w:rsidRPr="004D451D" w:rsidTr="002F27F4">
        <w:trPr>
          <w:trHeight w:val="337"/>
          <w:jc w:val="center"/>
        </w:trPr>
        <w:tc>
          <w:tcPr>
            <w:tcW w:w="9407" w:type="dxa"/>
            <w:gridSpan w:val="7"/>
            <w:shd w:val="clear" w:color="auto" w:fill="B3B3B3"/>
          </w:tcPr>
          <w:p w:rsidR="00AB4AE2" w:rsidRPr="004D451D" w:rsidRDefault="00AB4AE2" w:rsidP="00AB4AE2">
            <w:pPr>
              <w:widowControl/>
              <w:spacing w:line="240" w:lineRule="atLeast"/>
              <w:rPr>
                <w:rFonts w:eastAsia="標楷體"/>
                <w:kern w:val="0"/>
                <w:lang w:eastAsia="en-US"/>
              </w:rPr>
            </w:pPr>
            <w:r w:rsidRPr="004D451D">
              <w:rPr>
                <w:rFonts w:eastAsia="標楷體" w:hAnsi="標楷體"/>
                <w:b/>
                <w:kern w:val="0"/>
              </w:rPr>
              <w:t>可用穩定資金</w:t>
            </w:r>
          </w:p>
        </w:tc>
        <w:tc>
          <w:tcPr>
            <w:tcW w:w="5793" w:type="dxa"/>
            <w:gridSpan w:val="5"/>
            <w:shd w:val="clear" w:color="auto" w:fill="B3B3B3"/>
          </w:tcPr>
          <w:p w:rsidR="00AB4AE2" w:rsidRPr="004D451D" w:rsidRDefault="00AB4AE2" w:rsidP="00AB4AE2">
            <w:pPr>
              <w:widowControl/>
              <w:spacing w:line="240" w:lineRule="atLeast"/>
              <w:rPr>
                <w:rFonts w:eastAsia="標楷體"/>
                <w:kern w:val="0"/>
                <w:lang w:eastAsia="en-US"/>
              </w:rPr>
            </w:pPr>
          </w:p>
        </w:tc>
      </w:tr>
      <w:tr w:rsidR="004D451D" w:rsidRPr="004D451D" w:rsidTr="002F27F4">
        <w:trPr>
          <w:trHeight w:val="359"/>
          <w:jc w:val="center"/>
        </w:trPr>
        <w:tc>
          <w:tcPr>
            <w:tcW w:w="458" w:type="dxa"/>
            <w:shd w:val="clear" w:color="auto" w:fill="E0E0E0"/>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lang w:eastAsia="en-US"/>
              </w:rPr>
              <w:t>1</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資本：</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kern w:val="0"/>
                <w:sz w:val="20"/>
                <w:szCs w:val="20"/>
              </w:rPr>
              <w:t>38,819,247</w:t>
            </w: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38,819,247</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40,307,901</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40,307,901</w:t>
            </w:r>
          </w:p>
        </w:tc>
      </w:tr>
      <w:tr w:rsidR="004D451D" w:rsidRPr="004D451D" w:rsidTr="002F27F4">
        <w:trPr>
          <w:trHeight w:val="344"/>
          <w:jc w:val="center"/>
        </w:trPr>
        <w:tc>
          <w:tcPr>
            <w:tcW w:w="458" w:type="dxa"/>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2</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法定資本總額</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kern w:val="0"/>
                <w:sz w:val="20"/>
                <w:szCs w:val="20"/>
              </w:rPr>
              <w:t>38,819,247</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38,819,247</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40,307,901</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40,307,901</w:t>
            </w:r>
          </w:p>
        </w:tc>
      </w:tr>
      <w:tr w:rsidR="004D451D" w:rsidRPr="004D451D" w:rsidTr="002F27F4">
        <w:trPr>
          <w:trHeight w:val="329"/>
          <w:jc w:val="center"/>
        </w:trPr>
        <w:tc>
          <w:tcPr>
            <w:tcW w:w="458" w:type="dxa"/>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3</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其他資本工具</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p>
        </w:tc>
      </w:tr>
      <w:tr w:rsidR="004D451D" w:rsidRPr="004D451D" w:rsidTr="002F27F4">
        <w:trPr>
          <w:trHeight w:val="150"/>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lang w:eastAsia="en-US"/>
              </w:rPr>
              <w:t>4</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零售與小型企業戶存款：</w:t>
            </w:r>
          </w:p>
        </w:tc>
        <w:tc>
          <w:tcPr>
            <w:tcW w:w="1224" w:type="dxa"/>
            <w:shd w:val="clear" w:color="auto" w:fill="E0E0E0"/>
          </w:tcPr>
          <w:p w:rsidR="002F27F4" w:rsidRPr="004D451D" w:rsidRDefault="002F27F4" w:rsidP="000C103E">
            <w:pPr>
              <w:widowControl/>
              <w:spacing w:line="240" w:lineRule="atLeast"/>
              <w:jc w:val="both"/>
              <w:rPr>
                <w:rFonts w:eastAsia="標楷體"/>
                <w:kern w:val="0"/>
                <w:sz w:val="20"/>
                <w:szCs w:val="20"/>
              </w:rPr>
            </w:pPr>
            <w:r w:rsidRPr="004D451D">
              <w:rPr>
                <w:rFonts w:eastAsia="標楷體" w:hint="eastAsia"/>
                <w:kern w:val="0"/>
                <w:sz w:val="20"/>
                <w:szCs w:val="20"/>
              </w:rPr>
              <w:t>61,292,762</w:t>
            </w:r>
          </w:p>
        </w:tc>
        <w:tc>
          <w:tcPr>
            <w:tcW w:w="1128" w:type="dxa"/>
            <w:shd w:val="clear" w:color="auto" w:fill="E0E0E0"/>
          </w:tcPr>
          <w:p w:rsidR="002F27F4" w:rsidRPr="004D451D" w:rsidRDefault="002F27F4" w:rsidP="00985595">
            <w:pPr>
              <w:widowControl/>
              <w:spacing w:line="240" w:lineRule="atLeast"/>
              <w:jc w:val="right"/>
              <w:rPr>
                <w:rFonts w:eastAsia="標楷體"/>
                <w:kern w:val="0"/>
                <w:sz w:val="20"/>
                <w:szCs w:val="20"/>
              </w:rPr>
            </w:pPr>
            <w:r w:rsidRPr="004D451D">
              <w:rPr>
                <w:rFonts w:eastAsia="標楷體" w:hint="eastAsia"/>
                <w:kern w:val="0"/>
                <w:sz w:val="20"/>
                <w:szCs w:val="20"/>
              </w:rPr>
              <w:t>274,500</w:t>
            </w:r>
          </w:p>
        </w:tc>
        <w:tc>
          <w:tcPr>
            <w:tcW w:w="1192" w:type="dxa"/>
            <w:shd w:val="clear" w:color="auto" w:fill="E0E0E0"/>
          </w:tcPr>
          <w:p w:rsidR="002F27F4" w:rsidRPr="004D451D" w:rsidRDefault="002F27F4" w:rsidP="000C103E">
            <w:pPr>
              <w:widowControl/>
              <w:spacing w:line="240" w:lineRule="atLeast"/>
              <w:jc w:val="both"/>
              <w:rPr>
                <w:rFonts w:eastAsia="標楷體"/>
                <w:kern w:val="0"/>
                <w:sz w:val="20"/>
                <w:szCs w:val="20"/>
              </w:rPr>
            </w:pPr>
          </w:p>
        </w:tc>
        <w:tc>
          <w:tcPr>
            <w:tcW w:w="1116" w:type="dxa"/>
            <w:shd w:val="clear" w:color="auto" w:fill="E0E0E0"/>
          </w:tcPr>
          <w:p w:rsidR="002F27F4" w:rsidRPr="004D451D" w:rsidRDefault="002F27F4" w:rsidP="000C103E">
            <w:pPr>
              <w:widowControl/>
              <w:spacing w:line="240" w:lineRule="atLeast"/>
              <w:jc w:val="both"/>
              <w:rPr>
                <w:rFonts w:eastAsia="標楷體"/>
                <w:kern w:val="0"/>
                <w:sz w:val="20"/>
                <w:szCs w:val="20"/>
              </w:rPr>
            </w:pPr>
            <w:r w:rsidRPr="004D451D">
              <w:rPr>
                <w:rFonts w:eastAsia="標楷體" w:hint="eastAsia"/>
                <w:kern w:val="0"/>
                <w:sz w:val="20"/>
                <w:szCs w:val="20"/>
              </w:rPr>
              <w:t>57,402,212</w:t>
            </w:r>
          </w:p>
        </w:tc>
        <w:tc>
          <w:tcPr>
            <w:tcW w:w="1216" w:type="dxa"/>
            <w:shd w:val="clear" w:color="auto" w:fill="E0E0E0"/>
          </w:tcPr>
          <w:p w:rsidR="002F27F4" w:rsidRPr="004D451D" w:rsidRDefault="002F27F4" w:rsidP="000C103E">
            <w:pPr>
              <w:widowControl/>
              <w:spacing w:line="240" w:lineRule="atLeast"/>
              <w:jc w:val="both"/>
              <w:rPr>
                <w:rFonts w:eastAsia="標楷體"/>
                <w:kern w:val="0"/>
                <w:sz w:val="20"/>
                <w:szCs w:val="20"/>
              </w:rPr>
            </w:pPr>
            <w:r w:rsidRPr="004D451D">
              <w:rPr>
                <w:rFonts w:eastAsia="標楷體" w:hint="eastAsia"/>
                <w:kern w:val="0"/>
                <w:sz w:val="20"/>
                <w:szCs w:val="20"/>
              </w:rPr>
              <w:t>115,805,186</w:t>
            </w:r>
          </w:p>
        </w:tc>
        <w:tc>
          <w:tcPr>
            <w:tcW w:w="1224" w:type="dxa"/>
            <w:shd w:val="clear" w:color="auto" w:fill="E0E0E0"/>
          </w:tcPr>
          <w:p w:rsidR="002F27F4" w:rsidRPr="004D451D" w:rsidRDefault="002F27F4" w:rsidP="000C103E">
            <w:pPr>
              <w:widowControl/>
              <w:spacing w:line="240" w:lineRule="atLeast"/>
              <w:jc w:val="both"/>
              <w:rPr>
                <w:rFonts w:eastAsia="標楷體"/>
                <w:kern w:val="0"/>
                <w:sz w:val="20"/>
                <w:szCs w:val="20"/>
              </w:rPr>
            </w:pPr>
            <w:r w:rsidRPr="004D451D">
              <w:rPr>
                <w:rFonts w:eastAsia="標楷體" w:hint="eastAsia"/>
                <w:kern w:val="0"/>
                <w:sz w:val="20"/>
                <w:szCs w:val="20"/>
              </w:rPr>
              <w:t>61,387,961</w:t>
            </w:r>
          </w:p>
        </w:tc>
        <w:tc>
          <w:tcPr>
            <w:tcW w:w="1116" w:type="dxa"/>
            <w:shd w:val="clear" w:color="auto" w:fill="E0E0E0"/>
          </w:tcPr>
          <w:p w:rsidR="002F27F4" w:rsidRPr="004D451D" w:rsidRDefault="002F27F4" w:rsidP="00985595">
            <w:pPr>
              <w:widowControl/>
              <w:spacing w:line="240" w:lineRule="atLeast"/>
              <w:jc w:val="right"/>
              <w:rPr>
                <w:rFonts w:eastAsia="標楷體"/>
                <w:kern w:val="0"/>
                <w:sz w:val="20"/>
                <w:szCs w:val="20"/>
              </w:rPr>
            </w:pPr>
            <w:r w:rsidRPr="004D451D">
              <w:rPr>
                <w:rFonts w:eastAsia="標楷體" w:hint="eastAsia"/>
                <w:kern w:val="0"/>
                <w:sz w:val="20"/>
                <w:szCs w:val="20"/>
              </w:rPr>
              <w:t>567,840</w:t>
            </w:r>
          </w:p>
        </w:tc>
        <w:tc>
          <w:tcPr>
            <w:tcW w:w="1121" w:type="dxa"/>
            <w:shd w:val="clear" w:color="auto" w:fill="E0E0E0"/>
          </w:tcPr>
          <w:p w:rsidR="002F27F4" w:rsidRPr="004D451D" w:rsidRDefault="002F27F4" w:rsidP="000C103E">
            <w:pPr>
              <w:widowControl/>
              <w:spacing w:line="240" w:lineRule="atLeast"/>
              <w:jc w:val="both"/>
              <w:rPr>
                <w:rFonts w:eastAsia="標楷體"/>
                <w:kern w:val="0"/>
                <w:sz w:val="20"/>
                <w:szCs w:val="20"/>
              </w:rPr>
            </w:pPr>
          </w:p>
        </w:tc>
        <w:tc>
          <w:tcPr>
            <w:tcW w:w="1116" w:type="dxa"/>
            <w:shd w:val="clear" w:color="auto" w:fill="E0E0E0"/>
          </w:tcPr>
          <w:p w:rsidR="002F27F4" w:rsidRPr="004D451D" w:rsidRDefault="002F27F4" w:rsidP="000C103E">
            <w:pPr>
              <w:widowControl/>
              <w:spacing w:line="240" w:lineRule="atLeast"/>
              <w:jc w:val="both"/>
              <w:rPr>
                <w:rFonts w:eastAsia="標楷體"/>
                <w:kern w:val="0"/>
                <w:sz w:val="20"/>
                <w:szCs w:val="20"/>
              </w:rPr>
            </w:pPr>
            <w:r w:rsidRPr="004D451D">
              <w:rPr>
                <w:rFonts w:eastAsia="標楷體" w:hint="eastAsia"/>
                <w:kern w:val="0"/>
                <w:sz w:val="20"/>
                <w:szCs w:val="20"/>
              </w:rPr>
              <w:t>54,526,708</w:t>
            </w:r>
          </w:p>
        </w:tc>
        <w:tc>
          <w:tcPr>
            <w:tcW w:w="1216" w:type="dxa"/>
            <w:shd w:val="clear" w:color="auto" w:fill="E0E0E0"/>
          </w:tcPr>
          <w:p w:rsidR="002F27F4" w:rsidRPr="004D451D" w:rsidRDefault="002F27F4" w:rsidP="000C103E">
            <w:pPr>
              <w:widowControl/>
              <w:spacing w:line="240" w:lineRule="atLeast"/>
              <w:jc w:val="both"/>
              <w:rPr>
                <w:rFonts w:eastAsia="標楷體"/>
                <w:kern w:val="0"/>
                <w:sz w:val="20"/>
                <w:szCs w:val="20"/>
              </w:rPr>
            </w:pPr>
            <w:r w:rsidRPr="004D451D">
              <w:rPr>
                <w:rFonts w:eastAsia="標楷體" w:hint="eastAsia"/>
                <w:kern w:val="0"/>
                <w:sz w:val="20"/>
                <w:szCs w:val="20"/>
              </w:rPr>
              <w:t>113,283,394</w:t>
            </w:r>
          </w:p>
        </w:tc>
      </w:tr>
      <w:tr w:rsidR="004D451D" w:rsidRPr="004D451D" w:rsidTr="002F27F4">
        <w:trPr>
          <w:trHeight w:val="135"/>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lang w:eastAsia="en-US"/>
              </w:rPr>
              <w:t>5</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穩定存款</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59,848,757</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50,626,356</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107,482,675</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59,929,295</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50,950,852</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107,883,682</w:t>
            </w:r>
          </w:p>
        </w:tc>
      </w:tr>
      <w:tr w:rsidR="004D451D" w:rsidRPr="004D451D" w:rsidTr="002F27F4">
        <w:trPr>
          <w:trHeight w:val="299"/>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lang w:eastAsia="en-US"/>
              </w:rPr>
              <w:t>6</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較不穩定存款</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1,444,006</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274,500</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6,775,856</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8,322,511</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1,458,666</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567,840</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3,575,856</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5,399,712</w:t>
            </w:r>
          </w:p>
        </w:tc>
      </w:tr>
      <w:tr w:rsidR="004D451D" w:rsidRPr="004D451D" w:rsidTr="002F27F4">
        <w:trPr>
          <w:trHeight w:val="284"/>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lang w:eastAsia="en-US"/>
              </w:rPr>
              <w:t>7</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批發性資金：</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27,540,078</w:t>
            </w: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38,067,977</w:t>
            </w: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3,271,378</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14,772,006</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36,535,325</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27,007,183</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44,111,585</w:t>
            </w: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2,899,265</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14,477,099</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36,923,092</w:t>
            </w:r>
          </w:p>
        </w:tc>
      </w:tr>
      <w:tr w:rsidR="004D451D" w:rsidRPr="004D451D" w:rsidTr="002F27F4">
        <w:trPr>
          <w:trHeight w:val="269"/>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8</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營運存款及於機構網路中合作銀行之存款</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p>
        </w:tc>
      </w:tr>
      <w:tr w:rsidR="004D451D" w:rsidRPr="004D451D" w:rsidTr="002F27F4">
        <w:trPr>
          <w:trHeight w:val="254"/>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9</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其他批發性資金</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27,540,078</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38,067,977</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3,271,378</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14,772,006</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36,535,325</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27,007,183</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44,111,585</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2,899,265</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14,477,099</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36,923,092</w:t>
            </w:r>
          </w:p>
        </w:tc>
      </w:tr>
      <w:tr w:rsidR="004D451D" w:rsidRPr="004D451D" w:rsidTr="002F27F4">
        <w:trPr>
          <w:trHeight w:val="254"/>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10</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與特定資產相互依存之負債</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27,539,284</w:t>
            </w: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12,715,977</w:t>
            </w: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3,271,378</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14,772,006</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36,535,325</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r>
      <w:tr w:rsidR="004D451D" w:rsidRPr="004D451D" w:rsidTr="002F27F4">
        <w:trPr>
          <w:trHeight w:val="239"/>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11</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其他負債及權益：</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11,767,091</w:t>
            </w: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21,599,651</w:t>
            </w: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33,199</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2,991,968</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3,008,567</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9,696,490</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17,612,086</w:t>
            </w: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41,685</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3,131,192</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3,152,035</w:t>
            </w:r>
          </w:p>
        </w:tc>
      </w:tr>
      <w:tr w:rsidR="004D451D" w:rsidRPr="004D451D" w:rsidTr="002F27F4">
        <w:trPr>
          <w:trHeight w:val="224"/>
          <w:jc w:val="center"/>
        </w:trPr>
        <w:tc>
          <w:tcPr>
            <w:tcW w:w="458" w:type="dxa"/>
            <w:vAlign w:val="center"/>
          </w:tcPr>
          <w:p w:rsidR="00AB4AE2" w:rsidRPr="004D451D" w:rsidRDefault="00AB4AE2" w:rsidP="00AB4AE2">
            <w:pPr>
              <w:widowControl/>
              <w:spacing w:line="240" w:lineRule="atLeast"/>
              <w:jc w:val="center"/>
              <w:rPr>
                <w:rFonts w:eastAsia="標楷體"/>
                <w:kern w:val="0"/>
              </w:rPr>
            </w:pPr>
            <w:r w:rsidRPr="004D451D">
              <w:rPr>
                <w:rFonts w:eastAsia="標楷體"/>
                <w:kern w:val="0"/>
              </w:rPr>
              <w:t>12</w:t>
            </w:r>
          </w:p>
        </w:tc>
        <w:tc>
          <w:tcPr>
            <w:tcW w:w="3073" w:type="dxa"/>
          </w:tcPr>
          <w:p w:rsidR="00AB4AE2" w:rsidRPr="004D451D" w:rsidRDefault="00AB4AE2" w:rsidP="00AB4AE2">
            <w:pPr>
              <w:widowControl/>
              <w:spacing w:line="240" w:lineRule="atLeast"/>
              <w:ind w:leftChars="100" w:left="240"/>
              <w:jc w:val="both"/>
              <w:rPr>
                <w:rFonts w:eastAsia="標楷體"/>
                <w:kern w:val="0"/>
              </w:rPr>
            </w:pPr>
            <w:r w:rsidRPr="004D451D">
              <w:rPr>
                <w:rFonts w:eastAsia="標楷體"/>
                <w:kern w:val="0"/>
              </w:rPr>
              <w:t>NSFR</w:t>
            </w:r>
            <w:r w:rsidRPr="004D451D">
              <w:rPr>
                <w:rFonts w:eastAsia="標楷體" w:hAnsi="標楷體"/>
                <w:kern w:val="0"/>
              </w:rPr>
              <w:t>衍生性商品負債淨額</w:t>
            </w:r>
          </w:p>
        </w:tc>
        <w:tc>
          <w:tcPr>
            <w:tcW w:w="1224" w:type="dxa"/>
            <w:shd w:val="horzCross" w:color="auto" w:fill="auto"/>
            <w:vAlign w:val="center"/>
          </w:tcPr>
          <w:p w:rsidR="00AB4AE2" w:rsidRPr="004D451D" w:rsidRDefault="00AB4AE2" w:rsidP="00AB4AE2">
            <w:pPr>
              <w:widowControl/>
              <w:spacing w:line="240" w:lineRule="atLeast"/>
              <w:jc w:val="right"/>
              <w:rPr>
                <w:rFonts w:eastAsia="標楷體"/>
                <w:kern w:val="0"/>
              </w:rPr>
            </w:pPr>
          </w:p>
        </w:tc>
        <w:tc>
          <w:tcPr>
            <w:tcW w:w="3436" w:type="dxa"/>
            <w:gridSpan w:val="3"/>
            <w:vAlign w:val="center"/>
          </w:tcPr>
          <w:p w:rsidR="00AB4AE2" w:rsidRPr="004D451D" w:rsidRDefault="00AB4AE2" w:rsidP="00AB4AE2">
            <w:pPr>
              <w:widowControl/>
              <w:spacing w:line="240" w:lineRule="atLeast"/>
              <w:jc w:val="right"/>
              <w:rPr>
                <w:rFonts w:eastAsia="標楷體"/>
                <w:kern w:val="0"/>
              </w:rPr>
            </w:pPr>
          </w:p>
        </w:tc>
        <w:tc>
          <w:tcPr>
            <w:tcW w:w="1216" w:type="dxa"/>
            <w:shd w:val="horzCross" w:color="auto" w:fill="auto"/>
            <w:vAlign w:val="center"/>
          </w:tcPr>
          <w:p w:rsidR="00AB4AE2" w:rsidRPr="004D451D" w:rsidRDefault="00AB4AE2" w:rsidP="00AB4AE2">
            <w:pPr>
              <w:widowControl/>
              <w:spacing w:line="240" w:lineRule="atLeast"/>
              <w:jc w:val="right"/>
              <w:rPr>
                <w:rFonts w:eastAsia="標楷體"/>
                <w:kern w:val="0"/>
              </w:rPr>
            </w:pPr>
          </w:p>
        </w:tc>
        <w:tc>
          <w:tcPr>
            <w:tcW w:w="1224" w:type="dxa"/>
            <w:shd w:val="horzCross" w:color="auto" w:fill="auto"/>
            <w:vAlign w:val="center"/>
          </w:tcPr>
          <w:p w:rsidR="00AB4AE2" w:rsidRPr="004D451D" w:rsidRDefault="00AB4AE2" w:rsidP="00AB4AE2">
            <w:pPr>
              <w:widowControl/>
              <w:spacing w:line="240" w:lineRule="atLeast"/>
              <w:jc w:val="right"/>
              <w:rPr>
                <w:rFonts w:eastAsia="標楷體"/>
                <w:kern w:val="0"/>
              </w:rPr>
            </w:pPr>
          </w:p>
        </w:tc>
        <w:tc>
          <w:tcPr>
            <w:tcW w:w="3353" w:type="dxa"/>
            <w:gridSpan w:val="3"/>
            <w:vAlign w:val="center"/>
          </w:tcPr>
          <w:p w:rsidR="00AB4AE2" w:rsidRPr="004D451D" w:rsidRDefault="002F27F4" w:rsidP="00AB4AE2">
            <w:pPr>
              <w:widowControl/>
              <w:spacing w:line="240" w:lineRule="atLeast"/>
              <w:jc w:val="right"/>
              <w:rPr>
                <w:rFonts w:eastAsia="標楷體"/>
                <w:kern w:val="0"/>
              </w:rPr>
            </w:pPr>
            <w:r w:rsidRPr="004D451D">
              <w:rPr>
                <w:rFonts w:eastAsia="標楷體" w:hint="eastAsia"/>
                <w:kern w:val="0"/>
                <w:sz w:val="20"/>
                <w:szCs w:val="20"/>
              </w:rPr>
              <w:t>21,839</w:t>
            </w:r>
          </w:p>
        </w:tc>
        <w:tc>
          <w:tcPr>
            <w:tcW w:w="1216" w:type="dxa"/>
            <w:shd w:val="horzCross" w:color="auto" w:fill="auto"/>
            <w:vAlign w:val="center"/>
          </w:tcPr>
          <w:p w:rsidR="00AB4AE2" w:rsidRPr="004D451D" w:rsidRDefault="00AB4AE2" w:rsidP="00AB4AE2">
            <w:pPr>
              <w:widowControl/>
              <w:spacing w:line="240" w:lineRule="atLeast"/>
              <w:jc w:val="right"/>
              <w:rPr>
                <w:rFonts w:eastAsia="標楷體"/>
                <w:kern w:val="0"/>
              </w:rPr>
            </w:pPr>
          </w:p>
        </w:tc>
      </w:tr>
      <w:tr w:rsidR="004D451D" w:rsidRPr="004D451D" w:rsidTr="002F27F4">
        <w:trPr>
          <w:trHeight w:val="784"/>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13</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非屬上述類別之其他負債及權益項目</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11,767,091</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21,599,651</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33,199</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2,991,968</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3,008,567</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17,590,247</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41,685</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3,131,192</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3,152,035</w:t>
            </w:r>
          </w:p>
        </w:tc>
      </w:tr>
      <w:tr w:rsidR="004D451D" w:rsidRPr="004D451D" w:rsidTr="002F27F4">
        <w:trPr>
          <w:trHeight w:val="209"/>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14</w:t>
            </w:r>
          </w:p>
        </w:tc>
        <w:tc>
          <w:tcPr>
            <w:tcW w:w="3073" w:type="dxa"/>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可用穩定資金總額</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28"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92"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194,168,326</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21"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r w:rsidRPr="004D451D">
              <w:rPr>
                <w:rFonts w:eastAsia="標楷體" w:hint="eastAsia"/>
                <w:kern w:val="0"/>
                <w:sz w:val="20"/>
                <w:szCs w:val="20"/>
              </w:rPr>
              <w:t>193,666,422</w:t>
            </w:r>
          </w:p>
        </w:tc>
      </w:tr>
      <w:tr w:rsidR="004D451D" w:rsidRPr="004D451D" w:rsidTr="002F27F4">
        <w:trPr>
          <w:trHeight w:val="352"/>
          <w:jc w:val="center"/>
        </w:trPr>
        <w:tc>
          <w:tcPr>
            <w:tcW w:w="9407" w:type="dxa"/>
            <w:gridSpan w:val="7"/>
            <w:shd w:val="clear" w:color="auto" w:fill="B3B3B3"/>
          </w:tcPr>
          <w:p w:rsidR="002F27F4" w:rsidRPr="004D451D" w:rsidRDefault="002F27F4" w:rsidP="00AB4AE2">
            <w:pPr>
              <w:widowControl/>
              <w:spacing w:line="240" w:lineRule="atLeast"/>
              <w:rPr>
                <w:rFonts w:eastAsia="標楷體"/>
                <w:b/>
                <w:kern w:val="0"/>
                <w:lang w:eastAsia="en-US"/>
              </w:rPr>
            </w:pPr>
            <w:r w:rsidRPr="004D451D">
              <w:rPr>
                <w:rFonts w:eastAsia="標楷體" w:hAnsi="標楷體"/>
                <w:b/>
                <w:kern w:val="0"/>
              </w:rPr>
              <w:t>應有穩定資金</w:t>
            </w:r>
          </w:p>
        </w:tc>
        <w:tc>
          <w:tcPr>
            <w:tcW w:w="5793" w:type="dxa"/>
            <w:gridSpan w:val="5"/>
            <w:shd w:val="clear" w:color="auto" w:fill="B3B3B3"/>
          </w:tcPr>
          <w:p w:rsidR="002F27F4" w:rsidRPr="004D451D" w:rsidRDefault="002F27F4" w:rsidP="00AB4AE2">
            <w:pPr>
              <w:widowControl/>
              <w:spacing w:line="240" w:lineRule="atLeast"/>
              <w:rPr>
                <w:rFonts w:eastAsia="標楷體"/>
                <w:b/>
                <w:kern w:val="0"/>
                <w:lang w:eastAsia="en-US"/>
              </w:rPr>
            </w:pPr>
          </w:p>
        </w:tc>
      </w:tr>
      <w:tr w:rsidR="004D451D" w:rsidRPr="004D451D" w:rsidTr="002F27F4">
        <w:trPr>
          <w:trHeight w:val="352"/>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15</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kern w:val="0"/>
              </w:rPr>
              <w:t>NSFR</w:t>
            </w:r>
            <w:r w:rsidRPr="004D451D">
              <w:rPr>
                <w:rFonts w:eastAsia="標楷體" w:hAnsi="標楷體"/>
                <w:kern w:val="0"/>
              </w:rPr>
              <w:t>高品質流動性資產總額</w:t>
            </w:r>
          </w:p>
        </w:tc>
        <w:tc>
          <w:tcPr>
            <w:tcW w:w="1224"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128"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192"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50,007,286</w:t>
            </w:r>
          </w:p>
        </w:tc>
        <w:tc>
          <w:tcPr>
            <w:tcW w:w="1224"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121"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48,242,613</w:t>
            </w:r>
          </w:p>
        </w:tc>
      </w:tr>
      <w:tr w:rsidR="004D451D" w:rsidRPr="004D451D" w:rsidTr="002F27F4">
        <w:trPr>
          <w:trHeight w:val="352"/>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16</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存放於其他金融機構之營運存款</w:t>
            </w:r>
          </w:p>
        </w:tc>
        <w:tc>
          <w:tcPr>
            <w:tcW w:w="1224"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128"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192"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116"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216"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224"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116"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121"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116" w:type="dxa"/>
            <w:shd w:val="clear" w:color="auto" w:fill="E0E0E0"/>
            <w:vAlign w:val="center"/>
          </w:tcPr>
          <w:p w:rsidR="002F27F4" w:rsidRPr="004D451D" w:rsidRDefault="002F27F4" w:rsidP="00AB4AE2">
            <w:pPr>
              <w:widowControl/>
              <w:spacing w:line="240" w:lineRule="atLeast"/>
              <w:jc w:val="right"/>
              <w:rPr>
                <w:rFonts w:eastAsia="標楷體"/>
                <w:kern w:val="0"/>
              </w:rPr>
            </w:pPr>
          </w:p>
        </w:tc>
        <w:tc>
          <w:tcPr>
            <w:tcW w:w="1216" w:type="dxa"/>
            <w:shd w:val="clear" w:color="auto" w:fill="E0E0E0"/>
            <w:vAlign w:val="center"/>
          </w:tcPr>
          <w:p w:rsidR="002F27F4" w:rsidRPr="004D451D" w:rsidRDefault="002F27F4" w:rsidP="00AB4AE2">
            <w:pPr>
              <w:widowControl/>
              <w:spacing w:line="240" w:lineRule="atLeast"/>
              <w:jc w:val="right"/>
              <w:rPr>
                <w:rFonts w:eastAsia="標楷體"/>
                <w:kern w:val="0"/>
              </w:rPr>
            </w:pPr>
          </w:p>
        </w:tc>
      </w:tr>
      <w:tr w:rsidR="004D451D" w:rsidRPr="004D451D" w:rsidTr="002F27F4">
        <w:trPr>
          <w:trHeight w:val="337"/>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17</w:t>
            </w:r>
          </w:p>
        </w:tc>
        <w:tc>
          <w:tcPr>
            <w:tcW w:w="3073" w:type="dxa"/>
            <w:shd w:val="clear" w:color="auto" w:fill="E0E0E0"/>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金融機構應收款項、其他非金融機構放款及有價證券：</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1,176,088</w:t>
            </w: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34,966,864</w:t>
            </w: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38,308,742</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85,563,954</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107,516,204</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1,151,927</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41,641,600</w:t>
            </w: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34,573,585</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79,948,632</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101,463,322</w:t>
            </w: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18</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以第一層資產為擔保之金融機構應收款項</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672,004</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67,200</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8,193,550</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819,355</w:t>
            </w:r>
          </w:p>
        </w:tc>
      </w:tr>
      <w:tr w:rsidR="004D451D" w:rsidRPr="004D451D" w:rsidTr="002F27F4">
        <w:trPr>
          <w:trHeight w:val="310"/>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19</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以第一層以外之資產為擔保或無擔保之金融機構應收款項</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838,695</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1,220,000</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152,500</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1,173,250</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1,558,304</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819,139</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1,247,642</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150,245</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1,228,688</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1,613,828</w:t>
            </w:r>
          </w:p>
        </w:tc>
      </w:tr>
      <w:tr w:rsidR="004D451D" w:rsidRPr="004D451D" w:rsidTr="002F27F4">
        <w:trPr>
          <w:trHeight w:val="412"/>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20</w:t>
            </w:r>
          </w:p>
        </w:tc>
        <w:tc>
          <w:tcPr>
            <w:tcW w:w="3073" w:type="dxa"/>
            <w:vAlign w:val="center"/>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其他非金融機構放款</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32,974,860</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37,556,242</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84,390,704</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105,253,916</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31,600,408</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34,223,340</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78,693,392</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98,324,700</w:t>
            </w: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21</w:t>
            </w:r>
          </w:p>
        </w:tc>
        <w:tc>
          <w:tcPr>
            <w:tcW w:w="3073" w:type="dxa"/>
          </w:tcPr>
          <w:p w:rsidR="002F27F4" w:rsidRPr="004D451D" w:rsidRDefault="002F27F4" w:rsidP="00AB4AE2">
            <w:pPr>
              <w:widowControl/>
              <w:spacing w:line="240" w:lineRule="atLeast"/>
              <w:ind w:leftChars="250" w:left="600"/>
              <w:jc w:val="both"/>
              <w:rPr>
                <w:rFonts w:eastAsia="標楷體"/>
                <w:i/>
                <w:kern w:val="0"/>
              </w:rPr>
            </w:pPr>
            <w:r w:rsidRPr="004D451D">
              <w:rPr>
                <w:rFonts w:eastAsia="標楷體" w:hAnsi="標楷體"/>
                <w:kern w:val="0"/>
              </w:rPr>
              <w:t>風險權數為</w:t>
            </w:r>
            <w:r w:rsidRPr="004D451D">
              <w:rPr>
                <w:rFonts w:eastAsia="標楷體"/>
                <w:kern w:val="0"/>
              </w:rPr>
              <w:t>35%</w:t>
            </w:r>
            <w:r w:rsidRPr="004D451D">
              <w:rPr>
                <w:rFonts w:eastAsia="標楷體" w:hAnsi="標楷體"/>
                <w:kern w:val="0"/>
              </w:rPr>
              <w:t>以下之其他非金融機構放款</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1,804,627</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192,150</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8,718,670</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6,665,524</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2,436,246</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7,382,788</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6,016,935</w:t>
            </w:r>
          </w:p>
        </w:tc>
      </w:tr>
      <w:tr w:rsidR="004D451D" w:rsidRPr="004D451D" w:rsidTr="002F27F4">
        <w:trPr>
          <w:trHeight w:val="329"/>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22</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住宅擔保放款</w:t>
            </w:r>
          </w:p>
        </w:tc>
        <w:tc>
          <w:tcPr>
            <w:tcW w:w="1224" w:type="dxa"/>
          </w:tcPr>
          <w:p w:rsidR="002F27F4" w:rsidRPr="004D451D" w:rsidRDefault="002F27F4" w:rsidP="000C103E">
            <w:pPr>
              <w:widowControl/>
              <w:spacing w:line="240" w:lineRule="atLeast"/>
              <w:rPr>
                <w:rFonts w:eastAsia="標楷體"/>
                <w:kern w:val="0"/>
                <w:sz w:val="20"/>
                <w:szCs w:val="20"/>
              </w:rPr>
            </w:pPr>
          </w:p>
        </w:tc>
        <w:tc>
          <w:tcPr>
            <w:tcW w:w="1128" w:type="dxa"/>
          </w:tcPr>
          <w:p w:rsidR="002F27F4" w:rsidRPr="004D451D" w:rsidRDefault="002F27F4" w:rsidP="000C103E">
            <w:pPr>
              <w:widowControl/>
              <w:spacing w:line="240" w:lineRule="atLeast"/>
              <w:rPr>
                <w:rFonts w:eastAsia="標楷體"/>
                <w:kern w:val="0"/>
                <w:sz w:val="20"/>
                <w:szCs w:val="20"/>
              </w:rPr>
            </w:pPr>
            <w:r w:rsidRPr="004D451D">
              <w:rPr>
                <w:rFonts w:eastAsia="標楷體" w:hint="eastAsia"/>
                <w:kern w:val="0"/>
                <w:sz w:val="20"/>
                <w:szCs w:val="20"/>
              </w:rPr>
              <w:t>437,079</w:t>
            </w:r>
          </w:p>
        </w:tc>
        <w:tc>
          <w:tcPr>
            <w:tcW w:w="1192" w:type="dxa"/>
          </w:tcPr>
          <w:p w:rsidR="002F27F4" w:rsidRPr="004D451D" w:rsidRDefault="002F27F4" w:rsidP="000C103E">
            <w:pPr>
              <w:widowControl/>
              <w:spacing w:line="240" w:lineRule="atLeast"/>
              <w:rPr>
                <w:rFonts w:eastAsia="標楷體"/>
                <w:kern w:val="0"/>
                <w:sz w:val="20"/>
                <w:szCs w:val="20"/>
              </w:rPr>
            </w:pPr>
            <w:r w:rsidRPr="004D451D">
              <w:rPr>
                <w:rFonts w:eastAsia="標楷體" w:hint="eastAsia"/>
                <w:kern w:val="0"/>
                <w:sz w:val="20"/>
                <w:szCs w:val="20"/>
              </w:rPr>
              <w:t>520,580</w:t>
            </w:r>
          </w:p>
        </w:tc>
        <w:tc>
          <w:tcPr>
            <w:tcW w:w="1116" w:type="dxa"/>
          </w:tcPr>
          <w:p w:rsidR="002F27F4" w:rsidRPr="004D451D" w:rsidRDefault="002F27F4" w:rsidP="000C103E">
            <w:pPr>
              <w:widowControl/>
              <w:spacing w:line="240" w:lineRule="atLeast"/>
              <w:rPr>
                <w:rFonts w:eastAsia="標楷體"/>
                <w:kern w:val="0"/>
                <w:sz w:val="20"/>
                <w:szCs w:val="20"/>
              </w:rPr>
            </w:pPr>
            <w:r w:rsidRPr="004D451D">
              <w:rPr>
                <w:rFonts w:eastAsia="標楷體" w:hint="eastAsia"/>
                <w:kern w:val="0"/>
                <w:sz w:val="20"/>
                <w:szCs w:val="20"/>
              </w:rPr>
              <w:t>9,328,575</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8,408,118</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414,670</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513,855</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9,450,306</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8,497,022</w:t>
            </w: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23</w:t>
            </w:r>
          </w:p>
        </w:tc>
        <w:tc>
          <w:tcPr>
            <w:tcW w:w="3073" w:type="dxa"/>
          </w:tcPr>
          <w:p w:rsidR="002F27F4" w:rsidRPr="004D451D" w:rsidRDefault="002F27F4" w:rsidP="00AB4AE2">
            <w:pPr>
              <w:widowControl/>
              <w:spacing w:line="240" w:lineRule="atLeast"/>
              <w:ind w:leftChars="250" w:left="600"/>
              <w:jc w:val="both"/>
              <w:rPr>
                <w:rFonts w:eastAsia="標楷體"/>
                <w:i/>
                <w:kern w:val="0"/>
              </w:rPr>
            </w:pPr>
            <w:r w:rsidRPr="004D451D">
              <w:rPr>
                <w:rFonts w:eastAsia="標楷體" w:hAnsi="標楷體"/>
                <w:kern w:val="0"/>
              </w:rPr>
              <w:t>風險權數為</w:t>
            </w:r>
            <w:r w:rsidRPr="004D451D">
              <w:rPr>
                <w:rFonts w:eastAsia="標楷體" w:hint="eastAsia"/>
                <w:kern w:val="0"/>
              </w:rPr>
              <w:t>45</w:t>
            </w:r>
            <w:r w:rsidRPr="004D451D">
              <w:rPr>
                <w:rFonts w:eastAsia="標楷體"/>
                <w:kern w:val="0"/>
              </w:rPr>
              <w:t>%</w:t>
            </w:r>
            <w:r w:rsidRPr="004D451D">
              <w:rPr>
                <w:rFonts w:eastAsia="標楷體" w:hAnsi="標楷體"/>
                <w:kern w:val="0"/>
              </w:rPr>
              <w:t>以下之住宅擔保放款</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437,079</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520,580</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9,328,575</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8,408,118</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p>
        </w:tc>
      </w:tr>
      <w:tr w:rsidR="004D451D" w:rsidRPr="004D451D" w:rsidTr="002F27F4">
        <w:trPr>
          <w:trHeight w:val="298"/>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24</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有價證券及在交易所交易之權益證券</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337,393</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100,000</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600,000</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636,784</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332,788</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600,000</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200,000</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26,552</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705,439</w:t>
            </w:r>
          </w:p>
        </w:tc>
      </w:tr>
      <w:tr w:rsidR="004D451D" w:rsidRPr="004D451D" w:rsidTr="002F27F4">
        <w:trPr>
          <w:trHeight w:val="128"/>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25</w:t>
            </w:r>
          </w:p>
        </w:tc>
        <w:tc>
          <w:tcPr>
            <w:tcW w:w="3073" w:type="dxa"/>
            <w:shd w:val="clear" w:color="auto" w:fill="E0E0E0"/>
            <w:vAlign w:val="center"/>
          </w:tcPr>
          <w:p w:rsidR="002F27F4" w:rsidRPr="004D451D" w:rsidRDefault="002F27F4" w:rsidP="00AB4AE2">
            <w:pPr>
              <w:widowControl/>
              <w:spacing w:line="240" w:lineRule="atLeast"/>
              <w:jc w:val="both"/>
              <w:rPr>
                <w:rFonts w:eastAsia="標楷體"/>
                <w:kern w:val="0"/>
              </w:rPr>
            </w:pPr>
            <w:r w:rsidRPr="004D451D">
              <w:rPr>
                <w:rFonts w:eastAsia="標楷體" w:hAnsi="標楷體"/>
                <w:kern w:val="0"/>
              </w:rPr>
              <w:t>與特定負債相互依存之資產</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rPr>
            </w:pP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rPr>
            </w:pP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rPr>
            </w:pP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p>
        </w:tc>
      </w:tr>
      <w:tr w:rsidR="004D451D" w:rsidRPr="004D451D" w:rsidTr="002F27F4">
        <w:trPr>
          <w:trHeight w:val="119"/>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26</w:t>
            </w:r>
          </w:p>
        </w:tc>
        <w:tc>
          <w:tcPr>
            <w:tcW w:w="3073" w:type="dxa"/>
            <w:shd w:val="clear" w:color="auto" w:fill="E0E0E0"/>
          </w:tcPr>
          <w:p w:rsidR="002F27F4" w:rsidRPr="004D451D" w:rsidRDefault="002F27F4" w:rsidP="00AB4AE2">
            <w:pPr>
              <w:widowControl/>
              <w:spacing w:line="240" w:lineRule="atLeast"/>
              <w:ind w:left="257" w:hangingChars="107" w:hanging="257"/>
              <w:jc w:val="both"/>
              <w:rPr>
                <w:rFonts w:eastAsia="標楷體"/>
                <w:kern w:val="0"/>
              </w:rPr>
            </w:pPr>
            <w:r w:rsidRPr="004D451D">
              <w:rPr>
                <w:rFonts w:eastAsia="標楷體" w:hAnsi="標楷體"/>
                <w:kern w:val="0"/>
              </w:rPr>
              <w:t>其他資產：</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4,943,185</w:t>
            </w:r>
          </w:p>
        </w:tc>
        <w:tc>
          <w:tcPr>
            <w:tcW w:w="1128"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1,211,412</w:t>
            </w:r>
          </w:p>
        </w:tc>
        <w:tc>
          <w:tcPr>
            <w:tcW w:w="1192"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47,941</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16,258</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5,406,795</w:t>
            </w:r>
          </w:p>
        </w:tc>
        <w:tc>
          <w:tcPr>
            <w:tcW w:w="1224"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6,213,742</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1,242,739</w:t>
            </w:r>
          </w:p>
        </w:tc>
        <w:tc>
          <w:tcPr>
            <w:tcW w:w="1121"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61,771</w:t>
            </w:r>
          </w:p>
        </w:tc>
        <w:tc>
          <w:tcPr>
            <w:tcW w:w="11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37,505</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6,035,311</w:t>
            </w: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27</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實體交易商品</w:t>
            </w:r>
          </w:p>
        </w:tc>
        <w:tc>
          <w:tcPr>
            <w:tcW w:w="1224" w:type="dxa"/>
            <w:vAlign w:val="center"/>
          </w:tcPr>
          <w:p w:rsidR="002F27F4" w:rsidRPr="004D451D" w:rsidRDefault="002F27F4" w:rsidP="00AB4AE2">
            <w:pPr>
              <w:widowControl/>
              <w:spacing w:line="240" w:lineRule="atLeast"/>
              <w:jc w:val="right"/>
              <w:rPr>
                <w:rFonts w:eastAsia="標楷體"/>
                <w:kern w:val="0"/>
              </w:rPr>
            </w:pPr>
          </w:p>
        </w:tc>
        <w:tc>
          <w:tcPr>
            <w:tcW w:w="1128"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92"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c>
          <w:tcPr>
            <w:tcW w:w="1224" w:type="dxa"/>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21"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28</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供作衍生性商品契約原始保證金或集中結算交易對手交割結算基金之資產</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3436" w:type="dxa"/>
            <w:gridSpan w:val="3"/>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3353" w:type="dxa"/>
            <w:gridSpan w:val="3"/>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r>
      <w:tr w:rsidR="004D451D" w:rsidRPr="004D451D" w:rsidTr="002F27F4">
        <w:trPr>
          <w:trHeight w:val="509"/>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29</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kern w:val="0"/>
              </w:rPr>
              <w:t>NSFR</w:t>
            </w:r>
            <w:r w:rsidRPr="004D451D">
              <w:rPr>
                <w:rFonts w:eastAsia="標楷體" w:hAnsi="標楷體"/>
                <w:kern w:val="0"/>
              </w:rPr>
              <w:t>衍生性商品資產淨額</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3436" w:type="dxa"/>
            <w:gridSpan w:val="3"/>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77,915</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77,915</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3353" w:type="dxa"/>
            <w:gridSpan w:val="3"/>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30</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衍生性商品負債之</w:t>
            </w:r>
            <w:r w:rsidRPr="004D451D">
              <w:rPr>
                <w:rFonts w:eastAsia="標楷體"/>
                <w:kern w:val="0"/>
              </w:rPr>
              <w:t>20%</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3436" w:type="dxa"/>
            <w:gridSpan w:val="3"/>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3353" w:type="dxa"/>
            <w:gridSpan w:val="3"/>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AB4AE2">
            <w:pPr>
              <w:widowControl/>
              <w:spacing w:line="240" w:lineRule="atLeast"/>
              <w:jc w:val="right"/>
              <w:rPr>
                <w:rFonts w:eastAsia="標楷體"/>
                <w:kern w:val="0"/>
              </w:rPr>
            </w:pP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31</w:t>
            </w:r>
          </w:p>
        </w:tc>
        <w:tc>
          <w:tcPr>
            <w:tcW w:w="3073" w:type="dxa"/>
          </w:tcPr>
          <w:p w:rsidR="002F27F4" w:rsidRPr="004D451D" w:rsidRDefault="002F27F4" w:rsidP="00AB4AE2">
            <w:pPr>
              <w:widowControl/>
              <w:spacing w:line="240" w:lineRule="atLeast"/>
              <w:ind w:leftChars="100" w:left="240"/>
              <w:jc w:val="both"/>
              <w:rPr>
                <w:rFonts w:eastAsia="標楷體"/>
                <w:kern w:val="0"/>
              </w:rPr>
            </w:pPr>
            <w:r w:rsidRPr="004D451D">
              <w:rPr>
                <w:rFonts w:eastAsia="標楷體" w:hAnsi="標楷體"/>
                <w:kern w:val="0"/>
              </w:rPr>
              <w:t>非屬上述類別的所有其他資產</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4,943,185</w:t>
            </w:r>
          </w:p>
        </w:tc>
        <w:tc>
          <w:tcPr>
            <w:tcW w:w="1128"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1,133,497</w:t>
            </w:r>
          </w:p>
        </w:tc>
        <w:tc>
          <w:tcPr>
            <w:tcW w:w="1192"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47,941</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16,258</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5,328,880</w:t>
            </w:r>
          </w:p>
        </w:tc>
        <w:tc>
          <w:tcPr>
            <w:tcW w:w="1224"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6,213,742</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1,242,789</w:t>
            </w:r>
          </w:p>
        </w:tc>
        <w:tc>
          <w:tcPr>
            <w:tcW w:w="1121"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61,771</w:t>
            </w:r>
          </w:p>
        </w:tc>
        <w:tc>
          <w:tcPr>
            <w:tcW w:w="11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37,505</w:t>
            </w: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6,035,311</w:t>
            </w:r>
          </w:p>
        </w:tc>
      </w:tr>
      <w:tr w:rsidR="004D451D" w:rsidRPr="004D451D" w:rsidTr="002F27F4">
        <w:trPr>
          <w:trHeight w:val="329"/>
          <w:jc w:val="center"/>
        </w:trPr>
        <w:tc>
          <w:tcPr>
            <w:tcW w:w="458" w:type="dxa"/>
            <w:shd w:val="clear" w:color="auto" w:fill="E0E0E0"/>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32</w:t>
            </w:r>
          </w:p>
        </w:tc>
        <w:tc>
          <w:tcPr>
            <w:tcW w:w="3073" w:type="dxa"/>
            <w:shd w:val="clear" w:color="auto" w:fill="E0E0E0"/>
          </w:tcPr>
          <w:p w:rsidR="002F27F4" w:rsidRPr="004D451D" w:rsidRDefault="002F27F4" w:rsidP="00AB4AE2">
            <w:pPr>
              <w:widowControl/>
              <w:spacing w:line="240" w:lineRule="atLeast"/>
              <w:jc w:val="both"/>
              <w:rPr>
                <w:rFonts w:eastAsia="標楷體"/>
                <w:kern w:val="0"/>
                <w:lang w:eastAsia="en-US"/>
              </w:rPr>
            </w:pPr>
            <w:r w:rsidRPr="004D451D">
              <w:rPr>
                <w:rFonts w:eastAsia="標楷體" w:hAnsi="標楷體"/>
                <w:kern w:val="0"/>
              </w:rPr>
              <w:t>資產負債表表外暴險</w:t>
            </w:r>
          </w:p>
        </w:tc>
        <w:tc>
          <w:tcPr>
            <w:tcW w:w="1224" w:type="dxa"/>
            <w:shd w:val="horzCross" w:color="auto" w:fill="E0E0E0"/>
            <w:vAlign w:val="center"/>
          </w:tcPr>
          <w:p w:rsidR="002F27F4" w:rsidRPr="004D451D" w:rsidRDefault="002F27F4" w:rsidP="00AB4AE2">
            <w:pPr>
              <w:widowControl/>
              <w:spacing w:line="240" w:lineRule="atLeast"/>
              <w:jc w:val="right"/>
              <w:rPr>
                <w:rFonts w:eastAsia="標楷體"/>
                <w:kern w:val="0"/>
              </w:rPr>
            </w:pPr>
          </w:p>
        </w:tc>
        <w:tc>
          <w:tcPr>
            <w:tcW w:w="3436" w:type="dxa"/>
            <w:gridSpan w:val="3"/>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20,588,032</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836,811</w:t>
            </w:r>
          </w:p>
        </w:tc>
        <w:tc>
          <w:tcPr>
            <w:tcW w:w="1224" w:type="dxa"/>
            <w:shd w:val="horzCross" w:color="auto" w:fill="E0E0E0"/>
            <w:vAlign w:val="center"/>
          </w:tcPr>
          <w:p w:rsidR="002F27F4" w:rsidRPr="004D451D" w:rsidRDefault="002F27F4" w:rsidP="000C103E">
            <w:pPr>
              <w:widowControl/>
              <w:spacing w:line="240" w:lineRule="atLeast"/>
              <w:jc w:val="right"/>
              <w:rPr>
                <w:rFonts w:eastAsia="標楷體"/>
                <w:kern w:val="0"/>
                <w:sz w:val="20"/>
                <w:szCs w:val="20"/>
              </w:rPr>
            </w:pPr>
          </w:p>
        </w:tc>
        <w:tc>
          <w:tcPr>
            <w:tcW w:w="3353" w:type="dxa"/>
            <w:gridSpan w:val="3"/>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20,145,939</w:t>
            </w:r>
          </w:p>
        </w:tc>
        <w:tc>
          <w:tcPr>
            <w:tcW w:w="1216" w:type="dxa"/>
            <w:shd w:val="clear" w:color="auto" w:fill="E0E0E0"/>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851,340</w:t>
            </w:r>
          </w:p>
        </w:tc>
      </w:tr>
      <w:tr w:rsidR="004D451D" w:rsidRPr="004D451D" w:rsidTr="002F27F4">
        <w:trPr>
          <w:trHeight w:val="352"/>
          <w:jc w:val="center"/>
        </w:trPr>
        <w:tc>
          <w:tcPr>
            <w:tcW w:w="458" w:type="dxa"/>
            <w:vAlign w:val="center"/>
          </w:tcPr>
          <w:p w:rsidR="002F27F4" w:rsidRPr="004D451D" w:rsidRDefault="002F27F4" w:rsidP="00AB4AE2">
            <w:pPr>
              <w:widowControl/>
              <w:spacing w:line="240" w:lineRule="atLeast"/>
              <w:jc w:val="center"/>
              <w:rPr>
                <w:rFonts w:eastAsia="標楷體"/>
                <w:kern w:val="0"/>
                <w:lang w:eastAsia="en-US"/>
              </w:rPr>
            </w:pPr>
            <w:r w:rsidRPr="004D451D">
              <w:rPr>
                <w:rFonts w:eastAsia="標楷體"/>
                <w:kern w:val="0"/>
              </w:rPr>
              <w:t>33</w:t>
            </w:r>
          </w:p>
        </w:tc>
        <w:tc>
          <w:tcPr>
            <w:tcW w:w="3073" w:type="dxa"/>
          </w:tcPr>
          <w:p w:rsidR="002F27F4" w:rsidRPr="004D451D" w:rsidRDefault="002F27F4" w:rsidP="00AB4AE2">
            <w:pPr>
              <w:widowControl/>
              <w:spacing w:line="240" w:lineRule="atLeast"/>
              <w:jc w:val="both"/>
              <w:rPr>
                <w:rFonts w:eastAsia="標楷體"/>
                <w:kern w:val="0"/>
                <w:lang w:eastAsia="en-US"/>
              </w:rPr>
            </w:pPr>
            <w:r w:rsidRPr="004D451D">
              <w:rPr>
                <w:rFonts w:eastAsia="標楷體" w:hAnsi="標楷體"/>
                <w:kern w:val="0"/>
              </w:rPr>
              <w:t>應有穩定資金</w:t>
            </w:r>
            <w:r w:rsidRPr="004D451D">
              <w:rPr>
                <w:rFonts w:eastAsia="標楷體" w:hAnsi="標楷體"/>
                <w:kern w:val="0"/>
                <w:lang w:eastAsia="en-US"/>
              </w:rPr>
              <w:t>總額</w:t>
            </w:r>
          </w:p>
        </w:tc>
        <w:tc>
          <w:tcPr>
            <w:tcW w:w="1224"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28"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92"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116" w:type="dxa"/>
            <w:shd w:val="horzCross" w:color="auto" w:fill="auto"/>
            <w:vAlign w:val="center"/>
          </w:tcPr>
          <w:p w:rsidR="002F27F4" w:rsidRPr="004D451D" w:rsidRDefault="002F27F4" w:rsidP="00AB4AE2">
            <w:pPr>
              <w:widowControl/>
              <w:spacing w:line="240" w:lineRule="atLeast"/>
              <w:jc w:val="right"/>
              <w:rPr>
                <w:rFonts w:eastAsia="標楷體"/>
                <w:kern w:val="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163,767,097</w:t>
            </w:r>
          </w:p>
        </w:tc>
        <w:tc>
          <w:tcPr>
            <w:tcW w:w="1224"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rPr>
            </w:pPr>
          </w:p>
        </w:tc>
        <w:tc>
          <w:tcPr>
            <w:tcW w:w="1121"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rPr>
            </w:pPr>
          </w:p>
        </w:tc>
        <w:tc>
          <w:tcPr>
            <w:tcW w:w="1116"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156,592,586</w:t>
            </w:r>
          </w:p>
        </w:tc>
      </w:tr>
      <w:tr w:rsidR="004D451D" w:rsidRPr="004D451D" w:rsidTr="002F27F4">
        <w:trPr>
          <w:trHeight w:val="366"/>
          <w:jc w:val="center"/>
        </w:trPr>
        <w:tc>
          <w:tcPr>
            <w:tcW w:w="458" w:type="dxa"/>
            <w:vAlign w:val="center"/>
          </w:tcPr>
          <w:p w:rsidR="002F27F4" w:rsidRPr="004D451D" w:rsidRDefault="002F27F4" w:rsidP="00AB4AE2">
            <w:pPr>
              <w:widowControl/>
              <w:spacing w:line="240" w:lineRule="atLeast"/>
              <w:jc w:val="center"/>
              <w:rPr>
                <w:rFonts w:eastAsia="標楷體"/>
                <w:kern w:val="0"/>
              </w:rPr>
            </w:pPr>
            <w:r w:rsidRPr="004D451D">
              <w:rPr>
                <w:rFonts w:eastAsia="標楷體"/>
                <w:kern w:val="0"/>
              </w:rPr>
              <w:t>34</w:t>
            </w:r>
          </w:p>
        </w:tc>
        <w:tc>
          <w:tcPr>
            <w:tcW w:w="3073" w:type="dxa"/>
          </w:tcPr>
          <w:p w:rsidR="002F27F4" w:rsidRPr="004D451D" w:rsidRDefault="002F27F4" w:rsidP="00AB4AE2">
            <w:pPr>
              <w:widowControl/>
              <w:spacing w:line="240" w:lineRule="atLeast"/>
              <w:jc w:val="both"/>
              <w:rPr>
                <w:rFonts w:eastAsia="標楷體"/>
                <w:kern w:val="0"/>
                <w:lang w:eastAsia="en-US"/>
              </w:rPr>
            </w:pPr>
            <w:r w:rsidRPr="004D451D">
              <w:rPr>
                <w:rFonts w:eastAsia="標楷體" w:hAnsi="標楷體"/>
                <w:kern w:val="0"/>
              </w:rPr>
              <w:t>淨穩定資金</w:t>
            </w:r>
            <w:r w:rsidRPr="004D451D">
              <w:rPr>
                <w:rFonts w:eastAsia="標楷體" w:hAnsi="標楷體"/>
                <w:kern w:val="0"/>
                <w:lang w:eastAsia="en-US"/>
              </w:rPr>
              <w:t>比率</w:t>
            </w:r>
            <w:r w:rsidRPr="004D451D">
              <w:rPr>
                <w:rFonts w:eastAsia="標楷體"/>
                <w:kern w:val="0"/>
                <w:lang w:eastAsia="en-US"/>
              </w:rPr>
              <w:t>(%)</w:t>
            </w:r>
          </w:p>
        </w:tc>
        <w:tc>
          <w:tcPr>
            <w:tcW w:w="1224" w:type="dxa"/>
            <w:shd w:val="horzCross" w:color="auto" w:fill="auto"/>
          </w:tcPr>
          <w:p w:rsidR="002F27F4" w:rsidRPr="004D451D" w:rsidRDefault="002F27F4" w:rsidP="00AB4AE2">
            <w:pPr>
              <w:widowControl/>
              <w:spacing w:line="240" w:lineRule="atLeast"/>
              <w:jc w:val="both"/>
              <w:rPr>
                <w:rFonts w:eastAsia="標楷體"/>
                <w:kern w:val="0"/>
                <w:lang w:eastAsia="en-US"/>
              </w:rPr>
            </w:pPr>
          </w:p>
        </w:tc>
        <w:tc>
          <w:tcPr>
            <w:tcW w:w="1128" w:type="dxa"/>
            <w:shd w:val="horzCross" w:color="auto" w:fill="auto"/>
          </w:tcPr>
          <w:p w:rsidR="002F27F4" w:rsidRPr="004D451D" w:rsidRDefault="002F27F4" w:rsidP="00AB4AE2">
            <w:pPr>
              <w:widowControl/>
              <w:spacing w:line="240" w:lineRule="atLeast"/>
              <w:jc w:val="both"/>
              <w:rPr>
                <w:rFonts w:eastAsia="標楷體"/>
                <w:kern w:val="0"/>
                <w:lang w:eastAsia="en-US"/>
              </w:rPr>
            </w:pPr>
          </w:p>
        </w:tc>
        <w:tc>
          <w:tcPr>
            <w:tcW w:w="1192" w:type="dxa"/>
            <w:shd w:val="horzCross" w:color="auto" w:fill="auto"/>
          </w:tcPr>
          <w:p w:rsidR="002F27F4" w:rsidRPr="004D451D" w:rsidRDefault="002F27F4" w:rsidP="00AB4AE2">
            <w:pPr>
              <w:widowControl/>
              <w:spacing w:line="240" w:lineRule="atLeast"/>
              <w:jc w:val="both"/>
              <w:rPr>
                <w:rFonts w:eastAsia="標楷體"/>
                <w:kern w:val="0"/>
                <w:lang w:eastAsia="en-US"/>
              </w:rPr>
            </w:pPr>
          </w:p>
        </w:tc>
        <w:tc>
          <w:tcPr>
            <w:tcW w:w="1116" w:type="dxa"/>
            <w:shd w:val="horzCross" w:color="auto" w:fill="auto"/>
          </w:tcPr>
          <w:p w:rsidR="002F27F4" w:rsidRPr="004D451D" w:rsidRDefault="002F27F4" w:rsidP="00AB4AE2">
            <w:pPr>
              <w:widowControl/>
              <w:spacing w:line="240" w:lineRule="atLeast"/>
              <w:jc w:val="both"/>
              <w:rPr>
                <w:rFonts w:eastAsia="標楷體"/>
                <w:kern w:val="0"/>
                <w:lang w:eastAsia="en-US"/>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118.56%</w:t>
            </w:r>
          </w:p>
        </w:tc>
        <w:tc>
          <w:tcPr>
            <w:tcW w:w="1224"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lang w:eastAsia="en-US"/>
              </w:rPr>
            </w:pPr>
          </w:p>
        </w:tc>
        <w:tc>
          <w:tcPr>
            <w:tcW w:w="1116"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lang w:eastAsia="en-US"/>
              </w:rPr>
            </w:pPr>
          </w:p>
        </w:tc>
        <w:tc>
          <w:tcPr>
            <w:tcW w:w="1121"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lang w:eastAsia="en-US"/>
              </w:rPr>
            </w:pPr>
          </w:p>
        </w:tc>
        <w:tc>
          <w:tcPr>
            <w:tcW w:w="1116" w:type="dxa"/>
            <w:shd w:val="horzCross" w:color="auto" w:fill="auto"/>
            <w:vAlign w:val="center"/>
          </w:tcPr>
          <w:p w:rsidR="002F27F4" w:rsidRPr="004D451D" w:rsidRDefault="002F27F4" w:rsidP="000C103E">
            <w:pPr>
              <w:widowControl/>
              <w:spacing w:line="240" w:lineRule="atLeast"/>
              <w:jc w:val="right"/>
              <w:rPr>
                <w:rFonts w:eastAsia="標楷體"/>
                <w:kern w:val="0"/>
                <w:sz w:val="20"/>
                <w:szCs w:val="20"/>
                <w:lang w:eastAsia="en-US"/>
              </w:rPr>
            </w:pPr>
          </w:p>
        </w:tc>
        <w:tc>
          <w:tcPr>
            <w:tcW w:w="1216" w:type="dxa"/>
            <w:vAlign w:val="center"/>
          </w:tcPr>
          <w:p w:rsidR="002F27F4" w:rsidRPr="004D451D" w:rsidRDefault="002F27F4" w:rsidP="000C103E">
            <w:pPr>
              <w:widowControl/>
              <w:spacing w:line="240" w:lineRule="atLeast"/>
              <w:jc w:val="right"/>
              <w:rPr>
                <w:rFonts w:eastAsia="標楷體"/>
                <w:kern w:val="0"/>
                <w:sz w:val="20"/>
                <w:szCs w:val="20"/>
              </w:rPr>
            </w:pPr>
            <w:r w:rsidRPr="004D451D">
              <w:rPr>
                <w:rFonts w:eastAsia="標楷體" w:hint="eastAsia"/>
                <w:kern w:val="0"/>
                <w:sz w:val="20"/>
                <w:szCs w:val="20"/>
              </w:rPr>
              <w:t>123.68%</w:t>
            </w:r>
          </w:p>
        </w:tc>
      </w:tr>
      <w:tr w:rsidR="004D451D" w:rsidRPr="004D451D" w:rsidTr="008149B6">
        <w:trPr>
          <w:trHeight w:val="366"/>
          <w:jc w:val="center"/>
        </w:trPr>
        <w:tc>
          <w:tcPr>
            <w:tcW w:w="15200" w:type="dxa"/>
            <w:gridSpan w:val="12"/>
            <w:vAlign w:val="center"/>
          </w:tcPr>
          <w:p w:rsidR="002F27F4" w:rsidRPr="004D451D" w:rsidRDefault="002F27F4" w:rsidP="00AB4AE2">
            <w:pPr>
              <w:widowControl/>
              <w:spacing w:line="240" w:lineRule="atLeast"/>
              <w:rPr>
                <w:rFonts w:eastAsia="標楷體"/>
                <w:kern w:val="0"/>
              </w:rPr>
            </w:pPr>
            <w:r w:rsidRPr="004D451D">
              <w:rPr>
                <w:rFonts w:eastAsia="標楷體" w:hint="eastAsia"/>
                <w:kern w:val="0"/>
              </w:rPr>
              <w:t>˙重大變動原因說明：</w:t>
            </w:r>
          </w:p>
          <w:p w:rsidR="002F27F4" w:rsidRPr="004D451D" w:rsidRDefault="002F27F4" w:rsidP="00AB4AE2">
            <w:pPr>
              <w:widowControl/>
              <w:spacing w:line="240" w:lineRule="atLeast"/>
              <w:rPr>
                <w:rFonts w:eastAsia="標楷體"/>
                <w:kern w:val="0"/>
              </w:rPr>
            </w:pPr>
            <w:r w:rsidRPr="004D451D">
              <w:rPr>
                <w:rFonts w:eastAsia="標楷體" w:hint="eastAsia"/>
                <w:kern w:val="0"/>
              </w:rPr>
              <w:t>˙與特定資產</w:t>
            </w:r>
            <w:r w:rsidRPr="004D451D">
              <w:rPr>
                <w:rFonts w:eastAsia="標楷體" w:hint="eastAsia"/>
                <w:kern w:val="0"/>
              </w:rPr>
              <w:t>(</w:t>
            </w:r>
            <w:r w:rsidRPr="004D451D">
              <w:rPr>
                <w:rFonts w:eastAsia="標楷體" w:hint="eastAsia"/>
                <w:kern w:val="0"/>
              </w:rPr>
              <w:t>負債</w:t>
            </w:r>
            <w:r w:rsidRPr="004D451D">
              <w:rPr>
                <w:rFonts w:eastAsia="標楷體" w:hint="eastAsia"/>
                <w:kern w:val="0"/>
              </w:rPr>
              <w:t>)</w:t>
            </w:r>
            <w:r w:rsidRPr="004D451D">
              <w:rPr>
                <w:rFonts w:eastAsia="標楷體" w:hint="eastAsia"/>
                <w:kern w:val="0"/>
              </w:rPr>
              <w:t>相互依存之負債</w:t>
            </w:r>
            <w:r w:rsidRPr="004D451D">
              <w:rPr>
                <w:rFonts w:eastAsia="標楷體" w:hint="eastAsia"/>
                <w:kern w:val="0"/>
              </w:rPr>
              <w:t>(</w:t>
            </w:r>
            <w:r w:rsidRPr="004D451D">
              <w:rPr>
                <w:rFonts w:eastAsia="標楷體" w:hint="eastAsia"/>
                <w:kern w:val="0"/>
              </w:rPr>
              <w:t>資產</w:t>
            </w:r>
            <w:r w:rsidRPr="004D451D">
              <w:rPr>
                <w:rFonts w:eastAsia="標楷體" w:hint="eastAsia"/>
                <w:kern w:val="0"/>
              </w:rPr>
              <w:t>)</w:t>
            </w:r>
            <w:r w:rsidRPr="004D451D">
              <w:rPr>
                <w:rFonts w:eastAsia="標楷體" w:hint="eastAsia"/>
                <w:kern w:val="0"/>
              </w:rPr>
              <w:t>項目說明：</w:t>
            </w:r>
          </w:p>
          <w:p w:rsidR="002F27F4" w:rsidRPr="004D451D" w:rsidRDefault="002F27F4" w:rsidP="00AB4AE2">
            <w:pPr>
              <w:widowControl/>
              <w:spacing w:line="240" w:lineRule="atLeast"/>
              <w:rPr>
                <w:rFonts w:eastAsia="標楷體"/>
                <w:kern w:val="0"/>
              </w:rPr>
            </w:pPr>
            <w:r w:rsidRPr="004D451D">
              <w:rPr>
                <w:rFonts w:eastAsia="標楷體" w:hint="eastAsia"/>
                <w:kern w:val="0"/>
              </w:rPr>
              <w:t>˙其他附註說明：</w:t>
            </w:r>
          </w:p>
        </w:tc>
      </w:tr>
    </w:tbl>
    <w:p w:rsidR="00AB4AE2" w:rsidRPr="004D451D" w:rsidRDefault="00AB4AE2" w:rsidP="00AB4AE2">
      <w:pPr>
        <w:spacing w:line="340" w:lineRule="exact"/>
        <w:jc w:val="both"/>
        <w:rPr>
          <w:rFonts w:eastAsia="標楷體"/>
        </w:rPr>
      </w:pPr>
      <w:r w:rsidRPr="004D451D">
        <w:rPr>
          <w:rFonts w:eastAsia="標楷體"/>
        </w:rPr>
        <w:t>註</w:t>
      </w:r>
      <w:r w:rsidRPr="004D451D">
        <w:rPr>
          <w:rFonts w:eastAsia="標楷體"/>
        </w:rPr>
        <w:t>1</w:t>
      </w:r>
      <w:r w:rsidRPr="004D451D">
        <w:rPr>
          <w:rFonts w:eastAsia="標楷體"/>
        </w:rPr>
        <w:t>：</w:t>
      </w:r>
      <w:r w:rsidRPr="004D451D">
        <w:rPr>
          <w:rFonts w:eastAsia="標楷體" w:hint="eastAsia"/>
        </w:rPr>
        <w:t>未加權金額，係以帳面金額計算。</w:t>
      </w:r>
    </w:p>
    <w:p w:rsidR="00AB4AE2" w:rsidRPr="004D451D" w:rsidRDefault="00AB4AE2" w:rsidP="00AB4AE2">
      <w:pPr>
        <w:spacing w:line="340" w:lineRule="exact"/>
        <w:jc w:val="both"/>
        <w:rPr>
          <w:rFonts w:eastAsia="標楷體"/>
        </w:rPr>
      </w:pPr>
      <w:r w:rsidRPr="004D451D">
        <w:rPr>
          <w:rFonts w:eastAsia="標楷體" w:hint="eastAsia"/>
        </w:rPr>
        <w:t>註</w:t>
      </w:r>
      <w:r w:rsidRPr="004D451D">
        <w:rPr>
          <w:rFonts w:eastAsia="標楷體"/>
        </w:rPr>
        <w:t>2</w:t>
      </w:r>
      <w:r w:rsidRPr="004D451D">
        <w:rPr>
          <w:rFonts w:eastAsia="標楷體"/>
        </w:rPr>
        <w:t>：</w:t>
      </w:r>
      <w:r w:rsidRPr="004D451D">
        <w:rPr>
          <w:rFonts w:eastAsia="標楷體" w:hint="eastAsia"/>
        </w:rPr>
        <w:t>加權後金額係適用相關可用穩定資金與應有穩定資金係數後之數字。</w:t>
      </w:r>
    </w:p>
    <w:p w:rsidR="00AB4AE2" w:rsidRPr="004D451D" w:rsidRDefault="00AB4AE2" w:rsidP="00AB4AE2">
      <w:pPr>
        <w:spacing w:line="340" w:lineRule="exact"/>
        <w:ind w:left="658" w:hangingChars="274" w:hanging="658"/>
        <w:jc w:val="both"/>
        <w:rPr>
          <w:rFonts w:eastAsia="標楷體"/>
        </w:rPr>
      </w:pPr>
      <w:r w:rsidRPr="004D451D">
        <w:rPr>
          <w:rFonts w:eastAsia="標楷體" w:hint="eastAsia"/>
        </w:rPr>
        <w:t>註</w:t>
      </w:r>
      <w:r w:rsidRPr="004D451D">
        <w:rPr>
          <w:rFonts w:eastAsia="標楷體" w:hint="eastAsia"/>
        </w:rPr>
        <w:t>3</w:t>
      </w:r>
      <w:r w:rsidRPr="004D451D">
        <w:rPr>
          <w:rFonts w:ascii="標楷體" w:eastAsia="標楷體" w:hAnsi="標楷體" w:hint="eastAsia"/>
        </w:rPr>
        <w:t>：「無到期日」時間帶內的項目係指無特定到期日。</w:t>
      </w:r>
    </w:p>
    <w:p w:rsidR="00AB4AE2" w:rsidRPr="004D451D" w:rsidRDefault="00AB4AE2" w:rsidP="00AB4AE2">
      <w:pPr>
        <w:spacing w:line="340" w:lineRule="exact"/>
        <w:ind w:left="643" w:hangingChars="268" w:hanging="643"/>
        <w:jc w:val="both"/>
        <w:rPr>
          <w:rFonts w:eastAsia="標楷體"/>
        </w:rPr>
      </w:pPr>
      <w:r w:rsidRPr="004D451D">
        <w:rPr>
          <w:rFonts w:eastAsia="標楷體" w:hint="eastAsia"/>
        </w:rPr>
        <w:t>註</w:t>
      </w:r>
      <w:r w:rsidRPr="004D451D">
        <w:rPr>
          <w:rFonts w:eastAsia="標楷體" w:hint="eastAsia"/>
        </w:rPr>
        <w:t>4</w:t>
      </w:r>
      <w:r w:rsidRPr="004D451D">
        <w:rPr>
          <w:rFonts w:ascii="標楷體" w:eastAsia="標楷體" w:hAnsi="標楷體" w:hint="eastAsia"/>
        </w:rPr>
        <w:t>：</w:t>
      </w:r>
      <w:r w:rsidRPr="004D451D">
        <w:rPr>
          <w:rFonts w:eastAsia="標楷體" w:hAnsi="標楷體" w:hint="eastAsia"/>
        </w:rPr>
        <w:t>請依本表之項目說明填報，如項目說明未有定義者，則依「淨穩定資金比率之計算方法說明及表格」規定填報。</w:t>
      </w:r>
    </w:p>
    <w:p w:rsidR="00AB4AE2" w:rsidRPr="004D451D" w:rsidRDefault="00AB4AE2" w:rsidP="00AB4AE2">
      <w:pPr>
        <w:rPr>
          <w:rFonts w:eastAsia="標楷體"/>
        </w:rPr>
      </w:pPr>
    </w:p>
    <w:p w:rsidR="00AB4AE2" w:rsidRPr="004D451D" w:rsidRDefault="00AB4AE2" w:rsidP="00AB4AE2">
      <w:pPr>
        <w:rPr>
          <w:rFonts w:ascii="標楷體" w:eastAsia="標楷體" w:hAnsi="標楷體"/>
          <w:b/>
        </w:rPr>
      </w:pPr>
      <w:r w:rsidRPr="004D451D">
        <w:rPr>
          <w:rFonts w:eastAsia="標楷體" w:hint="eastAsia"/>
          <w:b/>
        </w:rPr>
        <w:t>填表說明</w:t>
      </w:r>
      <w:r w:rsidRPr="004D451D">
        <w:rPr>
          <w:rFonts w:ascii="標楷體" w:eastAsia="標楷體" w:hAnsi="標楷體" w:hint="eastAsia"/>
          <w:b/>
        </w:rPr>
        <w:t>：</w:t>
      </w:r>
    </w:p>
    <w:p w:rsidR="00AB4AE2" w:rsidRPr="004D451D" w:rsidRDefault="00456A97" w:rsidP="009F53B0">
      <w:pPr>
        <w:pStyle w:val="affb"/>
        <w:numPr>
          <w:ilvl w:val="0"/>
          <w:numId w:val="107"/>
        </w:numPr>
        <w:ind w:leftChars="150" w:left="720" w:hangingChars="150"/>
        <w:rPr>
          <w:rFonts w:eastAsia="標楷體"/>
        </w:rPr>
      </w:pPr>
      <w:r w:rsidRPr="004D451D">
        <w:rPr>
          <w:rFonts w:eastAsia="標楷體"/>
        </w:rPr>
        <w:t>本表更新頻率：半年</w:t>
      </w:r>
      <w:r w:rsidRPr="004D451D">
        <w:rPr>
          <w:rFonts w:eastAsia="標楷體" w:hint="eastAsia"/>
        </w:rPr>
        <w:t>(</w:t>
      </w:r>
      <w:r w:rsidR="00AF4E01" w:rsidRPr="004D451D">
        <w:rPr>
          <w:rFonts w:eastAsia="標楷體" w:hint="eastAsia"/>
        </w:rPr>
        <w:t>每半年揭露</w:t>
      </w:r>
      <w:r w:rsidRPr="004D451D">
        <w:rPr>
          <w:rFonts w:eastAsia="標楷體" w:hint="eastAsia"/>
        </w:rPr>
        <w:t>近兩季資料</w:t>
      </w:r>
      <w:r w:rsidRPr="004D451D">
        <w:rPr>
          <w:rFonts w:eastAsia="標楷體" w:hint="eastAsia"/>
        </w:rPr>
        <w:t>)</w:t>
      </w:r>
      <w:r w:rsidR="00AB4AE2" w:rsidRPr="004D451D">
        <w:rPr>
          <w:rFonts w:eastAsia="標楷體"/>
        </w:rPr>
        <w:t>。</w:t>
      </w:r>
    </w:p>
    <w:p w:rsidR="00AB4AE2" w:rsidRPr="004D451D" w:rsidRDefault="00AB4AE2" w:rsidP="009F53B0">
      <w:pPr>
        <w:pStyle w:val="affb"/>
        <w:numPr>
          <w:ilvl w:val="0"/>
          <w:numId w:val="107"/>
        </w:numPr>
        <w:ind w:leftChars="150" w:left="720" w:hangingChars="150"/>
        <w:rPr>
          <w:rFonts w:eastAsia="標楷體"/>
        </w:rPr>
      </w:pPr>
      <w:r w:rsidRPr="004D451D">
        <w:rPr>
          <w:rFonts w:eastAsia="標楷體"/>
        </w:rPr>
        <w:t>本表採個體基礎填報。</w:t>
      </w:r>
    </w:p>
    <w:p w:rsidR="00AB4AE2" w:rsidRPr="004D451D" w:rsidRDefault="00AB4AE2" w:rsidP="009F53B0">
      <w:pPr>
        <w:pStyle w:val="affb"/>
        <w:numPr>
          <w:ilvl w:val="0"/>
          <w:numId w:val="107"/>
        </w:numPr>
        <w:ind w:leftChars="150" w:left="720" w:hangingChars="150"/>
        <w:rPr>
          <w:rFonts w:eastAsia="標楷體"/>
        </w:rPr>
      </w:pPr>
      <w:r w:rsidRPr="004D451D">
        <w:rPr>
          <w:rFonts w:eastAsia="標楷體"/>
        </w:rPr>
        <w:t>黑影欄位不須填報。</w:t>
      </w:r>
    </w:p>
    <w:p w:rsidR="00AF4E01" w:rsidRPr="004D451D" w:rsidRDefault="00F1066D" w:rsidP="009F53B0">
      <w:pPr>
        <w:pStyle w:val="affb"/>
        <w:numPr>
          <w:ilvl w:val="0"/>
          <w:numId w:val="107"/>
        </w:numPr>
        <w:ind w:leftChars="150" w:left="720" w:hangingChars="150"/>
        <w:rPr>
          <w:rFonts w:eastAsia="標楷體"/>
        </w:rPr>
      </w:pPr>
      <w:r w:rsidRPr="004D451D">
        <w:rPr>
          <w:rFonts w:eastAsia="標楷體"/>
        </w:rPr>
        <w:t>本表各列項目定義如表</w:t>
      </w:r>
      <w:r w:rsidRPr="004D451D">
        <w:rPr>
          <w:rFonts w:eastAsia="標楷體"/>
        </w:rPr>
        <w:t>3</w:t>
      </w:r>
      <w:r w:rsidRPr="004D451D">
        <w:rPr>
          <w:rFonts w:eastAsia="標楷體"/>
        </w:rPr>
        <w:t>。</w:t>
      </w:r>
    </w:p>
    <w:p w:rsidR="00AB4AE2" w:rsidRPr="004D451D" w:rsidRDefault="00F1066D" w:rsidP="009F53B0">
      <w:pPr>
        <w:pStyle w:val="affb"/>
        <w:numPr>
          <w:ilvl w:val="0"/>
          <w:numId w:val="107"/>
        </w:numPr>
        <w:ind w:leftChars="150" w:left="720" w:hangingChars="150"/>
        <w:rPr>
          <w:rFonts w:eastAsia="標楷體"/>
        </w:rPr>
      </w:pPr>
      <w:r w:rsidRPr="004D451D">
        <w:rPr>
          <w:rFonts w:eastAsia="標楷體"/>
        </w:rPr>
        <w:t>本表填報資料毋須經會計師覆核。</w:t>
      </w:r>
    </w:p>
    <w:p w:rsidR="00AB4AE2" w:rsidRPr="004D451D" w:rsidRDefault="00AB4AE2" w:rsidP="00AB4AE2">
      <w:pPr>
        <w:pStyle w:val="affb"/>
        <w:ind w:leftChars="0" w:left="0"/>
        <w:rPr>
          <w:rFonts w:ascii="標楷體" w:eastAsia="標楷體" w:hAnsi="標楷體"/>
        </w:rPr>
      </w:pPr>
      <w:r w:rsidRPr="004D451D">
        <w:rPr>
          <w:rFonts w:ascii="標楷體" w:eastAsia="標楷體" w:hAnsi="標楷體"/>
        </w:rPr>
        <w:br w:type="page"/>
      </w:r>
    </w:p>
    <w:p w:rsidR="00AB4AE2" w:rsidRPr="004D451D" w:rsidRDefault="00AB4AE2" w:rsidP="00AB4AE2">
      <w:pPr>
        <w:pStyle w:val="affb"/>
        <w:spacing w:line="360" w:lineRule="exact"/>
        <w:ind w:leftChars="0" w:left="360"/>
        <w:jc w:val="center"/>
        <w:rPr>
          <w:rFonts w:ascii="標楷體" w:eastAsia="標楷體" w:hAnsi="標楷體"/>
          <w:b/>
          <w:sz w:val="28"/>
          <w:szCs w:val="28"/>
        </w:rPr>
      </w:pPr>
      <w:r w:rsidRPr="004D451D">
        <w:rPr>
          <w:rFonts w:ascii="標楷體" w:eastAsia="標楷體" w:hAnsi="標楷體" w:hint="eastAsia"/>
          <w:b/>
          <w:sz w:val="28"/>
          <w:szCs w:val="28"/>
        </w:rPr>
        <w:t>表</w:t>
      </w:r>
      <w:r w:rsidRPr="004D451D">
        <w:rPr>
          <w:rFonts w:eastAsia="標楷體"/>
          <w:b/>
          <w:sz w:val="28"/>
          <w:szCs w:val="28"/>
        </w:rPr>
        <w:t>3</w:t>
      </w:r>
      <w:r w:rsidRPr="004D451D">
        <w:rPr>
          <w:rFonts w:ascii="標楷體" w:eastAsia="標楷體" w:hAnsi="標楷體" w:hint="eastAsia"/>
          <w:b/>
          <w:sz w:val="28"/>
          <w:szCs w:val="28"/>
        </w:rPr>
        <w:t>：淨穩定資金比率揭露表項目說明</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8"/>
        <w:gridCol w:w="4931"/>
        <w:gridCol w:w="9714"/>
      </w:tblGrid>
      <w:tr w:rsidR="004D451D" w:rsidRPr="004D451D" w:rsidTr="00AB4AE2">
        <w:trPr>
          <w:trHeight w:val="57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項次</w:t>
            </w:r>
          </w:p>
        </w:tc>
        <w:tc>
          <w:tcPr>
            <w:tcW w:w="1624" w:type="pct"/>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項</w:t>
            </w:r>
            <w:r w:rsidRPr="004D451D">
              <w:rPr>
                <w:rFonts w:eastAsia="標楷體"/>
                <w:kern w:val="0"/>
              </w:rPr>
              <w:t xml:space="preserve">   </w:t>
            </w:r>
            <w:r w:rsidRPr="004D451D">
              <w:rPr>
                <w:rFonts w:eastAsia="標楷體"/>
                <w:kern w:val="0"/>
              </w:rPr>
              <w:t>目</w:t>
            </w:r>
          </w:p>
        </w:tc>
        <w:tc>
          <w:tcPr>
            <w:tcW w:w="3199" w:type="pct"/>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說</w:t>
            </w:r>
            <w:r w:rsidRPr="004D451D">
              <w:rPr>
                <w:rFonts w:eastAsia="標楷體"/>
                <w:kern w:val="0"/>
              </w:rPr>
              <w:t xml:space="preserve">               </w:t>
            </w:r>
            <w:r w:rsidRPr="004D451D">
              <w:rPr>
                <w:rFonts w:eastAsia="標楷體"/>
                <w:kern w:val="0"/>
              </w:rPr>
              <w:t>明</w:t>
            </w:r>
          </w:p>
        </w:tc>
      </w:tr>
      <w:tr w:rsidR="004D451D" w:rsidRPr="004D451D" w:rsidTr="00D77DDB">
        <w:trPr>
          <w:trHeight w:val="611"/>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w:t>
            </w:r>
          </w:p>
        </w:tc>
        <w:tc>
          <w:tcPr>
            <w:tcW w:w="1624" w:type="pct"/>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資本</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2</w:t>
            </w:r>
            <w:r w:rsidRPr="004D451D">
              <w:rPr>
                <w:rFonts w:eastAsia="標楷體"/>
                <w:kern w:val="0"/>
              </w:rPr>
              <w:t>與項次</w:t>
            </w:r>
            <w:r w:rsidRPr="004D451D">
              <w:rPr>
                <w:rFonts w:eastAsia="標楷體"/>
                <w:kern w:val="0"/>
              </w:rPr>
              <w:t>3</w:t>
            </w:r>
            <w:r w:rsidRPr="004D451D">
              <w:rPr>
                <w:rFonts w:eastAsia="標楷體"/>
                <w:kern w:val="0"/>
              </w:rPr>
              <w:t>之合計數。</w:t>
            </w:r>
          </w:p>
        </w:tc>
      </w:tr>
      <w:tr w:rsidR="004D451D" w:rsidRPr="004D451D" w:rsidTr="00AB4AE2">
        <w:trPr>
          <w:trHeight w:val="231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w:t>
            </w:r>
          </w:p>
        </w:tc>
        <w:tc>
          <w:tcPr>
            <w:tcW w:w="1624" w:type="pct"/>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法定資本總額</w:t>
            </w:r>
          </w:p>
        </w:tc>
        <w:tc>
          <w:tcPr>
            <w:tcW w:w="3199" w:type="pct"/>
            <w:shd w:val="clear" w:color="auto" w:fill="auto"/>
            <w:vAlign w:val="center"/>
            <w:hideMark/>
          </w:tcPr>
          <w:p w:rsidR="00D77DDB" w:rsidRPr="004D451D" w:rsidRDefault="00AB4AE2" w:rsidP="00AB4AE2">
            <w:pPr>
              <w:widowControl/>
              <w:rPr>
                <w:rFonts w:eastAsia="標楷體"/>
                <w:kern w:val="0"/>
              </w:rPr>
            </w:pPr>
            <w:r w:rsidRPr="004D451D">
              <w:rPr>
                <w:rFonts w:eastAsia="標楷體"/>
                <w:kern w:val="0"/>
              </w:rPr>
              <w:t>係指「銀行自有資本與風險性資產之計算方法說明及表格」</w:t>
            </w:r>
            <w:r w:rsidR="008149B6" w:rsidRPr="004D451D">
              <w:rPr>
                <w:rFonts w:eastAsia="標楷體" w:hint="eastAsia"/>
                <w:kern w:val="0"/>
              </w:rPr>
              <w:t>【</w:t>
            </w:r>
            <w:r w:rsidRPr="004D451D">
              <w:rPr>
                <w:rFonts w:eastAsia="標楷體"/>
                <w:kern w:val="0"/>
              </w:rPr>
              <w:t>表</w:t>
            </w:r>
            <w:r w:rsidRPr="004D451D">
              <w:rPr>
                <w:rFonts w:eastAsia="標楷體"/>
                <w:kern w:val="0"/>
              </w:rPr>
              <w:t>1-B</w:t>
            </w:r>
            <w:r w:rsidR="008149B6" w:rsidRPr="004D451D">
              <w:rPr>
                <w:rFonts w:eastAsia="標楷體" w:hint="eastAsia"/>
                <w:kern w:val="0"/>
              </w:rPr>
              <w:t>】</w:t>
            </w:r>
            <w:r w:rsidRPr="004D451D">
              <w:rPr>
                <w:rFonts w:eastAsia="標楷體"/>
                <w:kern w:val="0"/>
              </w:rPr>
              <w:t>中之普通股權益合計數</w:t>
            </w:r>
            <w:r w:rsidRPr="004D451D">
              <w:rPr>
                <w:rFonts w:eastAsia="標楷體"/>
                <w:kern w:val="0"/>
              </w:rPr>
              <w:t>(</w:t>
            </w:r>
            <w:r w:rsidRPr="004D451D">
              <w:rPr>
                <w:rFonts w:eastAsia="標楷體"/>
                <w:kern w:val="0"/>
              </w:rPr>
              <w:t>無須扣除法定調整項目及上限調整</w:t>
            </w:r>
            <w:r w:rsidRPr="004D451D">
              <w:rPr>
                <w:rFonts w:eastAsia="標楷體"/>
                <w:kern w:val="0"/>
              </w:rPr>
              <w:t>)</w:t>
            </w:r>
            <w:r w:rsidRPr="004D451D">
              <w:rPr>
                <w:rFonts w:eastAsia="標楷體"/>
                <w:kern w:val="0"/>
              </w:rPr>
              <w:t>、</w:t>
            </w:r>
            <w:r w:rsidRPr="004D451D">
              <w:rPr>
                <w:rFonts w:eastAsia="標楷體"/>
                <w:kern w:val="0"/>
              </w:rPr>
              <w:t>102</w:t>
            </w:r>
            <w:r w:rsidRPr="004D451D">
              <w:rPr>
                <w:rFonts w:eastAsia="標楷體"/>
                <w:kern w:val="0"/>
              </w:rPr>
              <w:t>年</w:t>
            </w:r>
            <w:r w:rsidRPr="004D451D">
              <w:rPr>
                <w:rFonts w:eastAsia="標楷體"/>
                <w:kern w:val="0"/>
              </w:rPr>
              <w:t>1</w:t>
            </w:r>
            <w:r w:rsidRPr="004D451D">
              <w:rPr>
                <w:rFonts w:eastAsia="標楷體"/>
                <w:kern w:val="0"/>
              </w:rPr>
              <w:t>月</w:t>
            </w:r>
            <w:r w:rsidRPr="004D451D">
              <w:rPr>
                <w:rFonts w:eastAsia="標楷體"/>
                <w:kern w:val="0"/>
              </w:rPr>
              <w:t>1</w:t>
            </w:r>
            <w:r w:rsidRPr="004D451D">
              <w:rPr>
                <w:rFonts w:eastAsia="標楷體"/>
                <w:kern w:val="0"/>
              </w:rPr>
              <w:t>日之後發行之其他第一類資本工具及第二類資本工具，並作下列調整：</w:t>
            </w:r>
          </w:p>
          <w:p w:rsidR="00D77DDB" w:rsidRPr="004D451D" w:rsidRDefault="00AB4AE2" w:rsidP="009F53B0">
            <w:pPr>
              <w:pStyle w:val="affb"/>
              <w:widowControl/>
              <w:numPr>
                <w:ilvl w:val="0"/>
                <w:numId w:val="112"/>
              </w:numPr>
              <w:ind w:leftChars="0" w:left="357" w:hanging="357"/>
              <w:rPr>
                <w:rFonts w:eastAsia="標楷體"/>
                <w:kern w:val="0"/>
              </w:rPr>
            </w:pPr>
            <w:r w:rsidRPr="004D451D">
              <w:rPr>
                <w:rFonts w:eastAsia="標楷體"/>
                <w:kern w:val="0"/>
              </w:rPr>
              <w:t>已進入發行期限最後</w:t>
            </w:r>
            <w:r w:rsidRPr="004D451D">
              <w:rPr>
                <w:rFonts w:eastAsia="標楷體"/>
                <w:kern w:val="0"/>
              </w:rPr>
              <w:t>5</w:t>
            </w:r>
            <w:r w:rsidRPr="004D451D">
              <w:rPr>
                <w:rFonts w:eastAsia="標楷體"/>
                <w:kern w:val="0"/>
              </w:rPr>
              <w:t>年之第二類資本工具，仍得全數計入本項。</w:t>
            </w:r>
          </w:p>
          <w:p w:rsidR="00D77DDB" w:rsidRPr="004D451D" w:rsidRDefault="00D77DDB" w:rsidP="009F53B0">
            <w:pPr>
              <w:pStyle w:val="affb"/>
              <w:widowControl/>
              <w:numPr>
                <w:ilvl w:val="0"/>
                <w:numId w:val="112"/>
              </w:numPr>
              <w:ind w:leftChars="0" w:left="357" w:hanging="357"/>
              <w:rPr>
                <w:rFonts w:eastAsia="標楷體"/>
                <w:kern w:val="0"/>
              </w:rPr>
            </w:pPr>
            <w:r w:rsidRPr="004D451D">
              <w:rPr>
                <w:rFonts w:eastAsia="標楷體"/>
                <w:kern w:val="0"/>
              </w:rPr>
              <w:t>列入本項之資本工具以帳面金額填報</w:t>
            </w:r>
            <w:r w:rsidRPr="004D451D">
              <w:rPr>
                <w:rFonts w:eastAsia="標楷體"/>
                <w:kern w:val="0"/>
              </w:rPr>
              <w:t>(</w:t>
            </w:r>
            <w:r w:rsidRPr="004D451D">
              <w:rPr>
                <w:rFonts w:eastAsia="標楷體"/>
                <w:kern w:val="0"/>
              </w:rPr>
              <w:t>含折溢價及評價調整</w:t>
            </w:r>
            <w:r w:rsidRPr="004D451D">
              <w:rPr>
                <w:rFonts w:eastAsia="標楷體"/>
                <w:kern w:val="0"/>
              </w:rPr>
              <w:t>)</w:t>
            </w:r>
            <w:r w:rsidRPr="004D451D">
              <w:rPr>
                <w:rFonts w:eastAsia="標楷體"/>
                <w:kern w:val="0"/>
              </w:rPr>
              <w:t>。</w:t>
            </w:r>
          </w:p>
          <w:p w:rsidR="00D77DDB" w:rsidRPr="004D451D" w:rsidRDefault="00AB4AE2" w:rsidP="009F53B0">
            <w:pPr>
              <w:pStyle w:val="affb"/>
              <w:widowControl/>
              <w:numPr>
                <w:ilvl w:val="0"/>
                <w:numId w:val="112"/>
              </w:numPr>
              <w:ind w:leftChars="0" w:left="357" w:hanging="357"/>
              <w:rPr>
                <w:rFonts w:eastAsia="標楷體"/>
                <w:kern w:val="0"/>
              </w:rPr>
            </w:pPr>
            <w:r w:rsidRPr="004D451D">
              <w:rPr>
                <w:rFonts w:eastAsia="標楷體"/>
                <w:kern w:val="0"/>
              </w:rPr>
              <w:t>如有庫藏股，應自本項扣除。</w:t>
            </w:r>
          </w:p>
          <w:p w:rsidR="00AB4AE2" w:rsidRPr="004D451D" w:rsidRDefault="00AB4AE2" w:rsidP="009F53B0">
            <w:pPr>
              <w:pStyle w:val="affb"/>
              <w:widowControl/>
              <w:numPr>
                <w:ilvl w:val="0"/>
                <w:numId w:val="112"/>
              </w:numPr>
              <w:ind w:leftChars="0" w:left="357" w:hanging="357"/>
              <w:rPr>
                <w:rFonts w:eastAsia="標楷體"/>
                <w:kern w:val="0"/>
              </w:rPr>
            </w:pPr>
            <w:r w:rsidRPr="004D451D">
              <w:rPr>
                <w:rFonts w:eastAsia="標楷體"/>
                <w:kern w:val="0"/>
              </w:rPr>
              <w:t>帳列保證責任準備及備抵呆帳得全數計入本項。</w:t>
            </w:r>
          </w:p>
        </w:tc>
      </w:tr>
      <w:tr w:rsidR="004D451D" w:rsidRPr="004D451D" w:rsidTr="00D77DDB">
        <w:trPr>
          <w:trHeight w:val="57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其他資本工具</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非屬項次</w:t>
            </w:r>
            <w:r w:rsidRPr="004D451D">
              <w:rPr>
                <w:rFonts w:eastAsia="標楷體"/>
                <w:kern w:val="0"/>
              </w:rPr>
              <w:t>2</w:t>
            </w:r>
            <w:r w:rsidRPr="004D451D">
              <w:rPr>
                <w:rFonts w:eastAsia="標楷體"/>
                <w:kern w:val="0"/>
              </w:rPr>
              <w:t>之其他資本工具總額。</w:t>
            </w:r>
          </w:p>
        </w:tc>
      </w:tr>
      <w:tr w:rsidR="004D451D" w:rsidRPr="004D451D" w:rsidTr="00D77DDB">
        <w:trPr>
          <w:trHeight w:val="55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4</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零售與小型企業戶存款</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5</w:t>
            </w:r>
            <w:r w:rsidRPr="004D451D">
              <w:rPr>
                <w:rFonts w:eastAsia="標楷體"/>
                <w:kern w:val="0"/>
              </w:rPr>
              <w:t>與項次</w:t>
            </w:r>
            <w:r w:rsidRPr="004D451D">
              <w:rPr>
                <w:rFonts w:eastAsia="標楷體"/>
                <w:kern w:val="0"/>
              </w:rPr>
              <w:t>6</w:t>
            </w:r>
            <w:r w:rsidRPr="004D451D">
              <w:rPr>
                <w:rFonts w:eastAsia="標楷體"/>
                <w:kern w:val="0"/>
              </w:rPr>
              <w:t>之合計數。</w:t>
            </w:r>
          </w:p>
        </w:tc>
      </w:tr>
      <w:tr w:rsidR="004D451D" w:rsidRPr="004D451D" w:rsidTr="00D77DDB">
        <w:trPr>
          <w:trHeight w:val="572"/>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5</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穩定存款</w:t>
            </w:r>
          </w:p>
        </w:tc>
        <w:tc>
          <w:tcPr>
            <w:tcW w:w="3199" w:type="pct"/>
            <w:shd w:val="clear" w:color="auto" w:fill="auto"/>
            <w:vAlign w:val="center"/>
            <w:hideMark/>
          </w:tcPr>
          <w:p w:rsidR="00AB4AE2" w:rsidRPr="004D451D" w:rsidRDefault="00D77DDB" w:rsidP="00AB4AE2">
            <w:pPr>
              <w:widowControl/>
              <w:rPr>
                <w:rFonts w:eastAsia="標楷體"/>
                <w:kern w:val="0"/>
              </w:rPr>
            </w:pPr>
            <w:r w:rsidRPr="004D451D">
              <w:rPr>
                <w:rFonts w:eastAsia="標楷體"/>
                <w:kern w:val="0"/>
              </w:rPr>
              <w:t>零售與小型企業戶之「穩定存款」，其為無到期日</w:t>
            </w:r>
            <w:r w:rsidRPr="004D451D">
              <w:rPr>
                <w:rFonts w:eastAsia="標楷體" w:hint="eastAsia"/>
                <w:kern w:val="0"/>
              </w:rPr>
              <w:t>(</w:t>
            </w:r>
            <w:r w:rsidRPr="004D451D">
              <w:rPr>
                <w:rFonts w:eastAsia="標楷體"/>
                <w:kern w:val="0"/>
              </w:rPr>
              <w:t>活期性</w:t>
            </w:r>
            <w:r w:rsidRPr="004D451D">
              <w:rPr>
                <w:rFonts w:eastAsia="標楷體" w:hint="eastAsia"/>
                <w:kern w:val="0"/>
              </w:rPr>
              <w:t>)</w:t>
            </w:r>
            <w:r w:rsidR="00AB4AE2" w:rsidRPr="004D451D">
              <w:rPr>
                <w:rFonts w:eastAsia="標楷體"/>
                <w:kern w:val="0"/>
              </w:rPr>
              <w:t>及定期性存款。</w:t>
            </w:r>
          </w:p>
        </w:tc>
      </w:tr>
      <w:tr w:rsidR="004D451D" w:rsidRPr="004D451D" w:rsidTr="00D77DDB">
        <w:trPr>
          <w:trHeight w:val="552"/>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6</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較不穩定存款</w:t>
            </w:r>
          </w:p>
        </w:tc>
        <w:tc>
          <w:tcPr>
            <w:tcW w:w="3199" w:type="pct"/>
            <w:shd w:val="clear" w:color="auto" w:fill="auto"/>
            <w:vAlign w:val="center"/>
            <w:hideMark/>
          </w:tcPr>
          <w:p w:rsidR="00AB4AE2" w:rsidRPr="004D451D" w:rsidRDefault="00D77DDB" w:rsidP="00AB4AE2">
            <w:pPr>
              <w:widowControl/>
              <w:rPr>
                <w:rFonts w:eastAsia="標楷體"/>
                <w:kern w:val="0"/>
              </w:rPr>
            </w:pPr>
            <w:r w:rsidRPr="004D451D">
              <w:rPr>
                <w:rFonts w:eastAsia="標楷體"/>
                <w:kern w:val="0"/>
              </w:rPr>
              <w:t>零售與小型企業戶之「較不穩定存款」，其為無到期日</w:t>
            </w:r>
            <w:r w:rsidRPr="004D451D">
              <w:rPr>
                <w:rFonts w:eastAsia="標楷體" w:hint="eastAsia"/>
                <w:kern w:val="0"/>
              </w:rPr>
              <w:t>(</w:t>
            </w:r>
            <w:r w:rsidRPr="004D451D">
              <w:rPr>
                <w:rFonts w:eastAsia="標楷體"/>
                <w:kern w:val="0"/>
              </w:rPr>
              <w:t>活期性</w:t>
            </w:r>
            <w:r w:rsidRPr="004D451D">
              <w:rPr>
                <w:rFonts w:eastAsia="標楷體" w:hint="eastAsia"/>
                <w:kern w:val="0"/>
              </w:rPr>
              <w:t>)</w:t>
            </w:r>
            <w:r w:rsidR="00AB4AE2" w:rsidRPr="004D451D">
              <w:rPr>
                <w:rFonts w:eastAsia="標楷體"/>
                <w:kern w:val="0"/>
              </w:rPr>
              <w:t>及定期性存款。</w:t>
            </w:r>
          </w:p>
        </w:tc>
      </w:tr>
      <w:tr w:rsidR="004D451D" w:rsidRPr="004D451D" w:rsidTr="00D77DDB">
        <w:trPr>
          <w:trHeight w:val="56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7</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批發性資金</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8</w:t>
            </w:r>
            <w:r w:rsidRPr="004D451D">
              <w:rPr>
                <w:rFonts w:eastAsia="標楷體"/>
                <w:kern w:val="0"/>
              </w:rPr>
              <w:t>與項次</w:t>
            </w:r>
            <w:r w:rsidRPr="004D451D">
              <w:rPr>
                <w:rFonts w:eastAsia="標楷體"/>
                <w:kern w:val="0"/>
              </w:rPr>
              <w:t>9</w:t>
            </w:r>
            <w:r w:rsidRPr="004D451D">
              <w:rPr>
                <w:rFonts w:eastAsia="標楷體"/>
                <w:kern w:val="0"/>
              </w:rPr>
              <w:t>之合計數。</w:t>
            </w:r>
          </w:p>
        </w:tc>
      </w:tr>
      <w:tr w:rsidR="004D451D" w:rsidRPr="004D451D" w:rsidTr="00D77DDB">
        <w:trPr>
          <w:trHeight w:val="554"/>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8</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營運存款及於機構網路中合作銀行之存款</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包含營運存款及於機構網路中合作銀行之存款。</w:t>
            </w:r>
          </w:p>
        </w:tc>
      </w:tr>
      <w:tr w:rsidR="004D451D" w:rsidRPr="004D451D" w:rsidTr="00AB4AE2">
        <w:trPr>
          <w:trHeight w:val="168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9</w:t>
            </w:r>
          </w:p>
        </w:tc>
        <w:tc>
          <w:tcPr>
            <w:tcW w:w="1624" w:type="pct"/>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其他批發性資金</w:t>
            </w:r>
          </w:p>
        </w:tc>
        <w:tc>
          <w:tcPr>
            <w:tcW w:w="3199" w:type="pct"/>
            <w:shd w:val="clear" w:color="auto" w:fill="auto"/>
            <w:vAlign w:val="center"/>
            <w:hideMark/>
          </w:tcPr>
          <w:p w:rsidR="00D77DDB" w:rsidRPr="004D451D" w:rsidRDefault="00AB4AE2" w:rsidP="00D77DDB">
            <w:pPr>
              <w:widowControl/>
              <w:rPr>
                <w:rFonts w:eastAsia="標楷體"/>
                <w:kern w:val="0"/>
              </w:rPr>
            </w:pPr>
            <w:r w:rsidRPr="004D451D">
              <w:rPr>
                <w:rFonts w:eastAsia="標楷體"/>
                <w:kern w:val="0"/>
              </w:rPr>
              <w:t>包含下列項目：</w:t>
            </w:r>
          </w:p>
          <w:p w:rsidR="00D77DDB" w:rsidRPr="004D451D" w:rsidRDefault="00AB4AE2" w:rsidP="009F53B0">
            <w:pPr>
              <w:pStyle w:val="affb"/>
              <w:widowControl/>
              <w:numPr>
                <w:ilvl w:val="0"/>
                <w:numId w:val="113"/>
              </w:numPr>
              <w:ind w:leftChars="0"/>
              <w:rPr>
                <w:rFonts w:eastAsia="標楷體"/>
                <w:kern w:val="0"/>
              </w:rPr>
            </w:pPr>
            <w:r w:rsidRPr="004D451D">
              <w:rPr>
                <w:rFonts w:eastAsia="標楷體"/>
                <w:kern w:val="0"/>
              </w:rPr>
              <w:t>非金融機構企業戶、主權國家、地方政府、非營利國營事業機構及多邊開發銀行所提供之擔保及無擔保資金。</w:t>
            </w:r>
          </w:p>
          <w:p w:rsidR="00AB4AE2" w:rsidRPr="004D451D" w:rsidRDefault="00D77DDB" w:rsidP="009F53B0">
            <w:pPr>
              <w:pStyle w:val="affb"/>
              <w:widowControl/>
              <w:numPr>
                <w:ilvl w:val="0"/>
                <w:numId w:val="113"/>
              </w:numPr>
              <w:ind w:leftChars="0"/>
              <w:rPr>
                <w:rFonts w:eastAsia="標楷體"/>
                <w:kern w:val="0"/>
              </w:rPr>
            </w:pPr>
            <w:r w:rsidRPr="004D451D">
              <w:rPr>
                <w:rFonts w:eastAsia="標楷體"/>
                <w:kern w:val="0"/>
              </w:rPr>
              <w:t>中央銀行、金融機構、信託業與證券投資信託業所募集或保管基金、導管、特殊目的機構及銀行自身關聯企業等之存款或資金，惟排除銀行自身聯行間之交易。</w:t>
            </w:r>
          </w:p>
        </w:tc>
      </w:tr>
      <w:tr w:rsidR="004D451D" w:rsidRPr="004D451D" w:rsidTr="00AB4AE2">
        <w:trPr>
          <w:trHeight w:val="162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10</w:t>
            </w:r>
          </w:p>
        </w:tc>
        <w:tc>
          <w:tcPr>
            <w:tcW w:w="1624" w:type="pct"/>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與特定資產相互依存之負債</w:t>
            </w:r>
          </w:p>
        </w:tc>
        <w:tc>
          <w:tcPr>
            <w:tcW w:w="3199" w:type="pct"/>
            <w:shd w:val="clear" w:color="auto" w:fill="auto"/>
            <w:vAlign w:val="center"/>
            <w:hideMark/>
          </w:tcPr>
          <w:p w:rsidR="00D77DDB" w:rsidRPr="004D451D" w:rsidRDefault="00AB4AE2" w:rsidP="00D77DDB">
            <w:pPr>
              <w:widowControl/>
              <w:rPr>
                <w:rFonts w:eastAsia="標楷體"/>
                <w:kern w:val="0"/>
              </w:rPr>
            </w:pPr>
            <w:r w:rsidRPr="004D451D">
              <w:rPr>
                <w:rFonts w:eastAsia="標楷體"/>
                <w:kern w:val="0"/>
              </w:rPr>
              <w:t>包含下列項目：</w:t>
            </w:r>
          </w:p>
          <w:p w:rsidR="00D77DDB" w:rsidRPr="004D451D" w:rsidRDefault="00AB4AE2" w:rsidP="009F53B0">
            <w:pPr>
              <w:pStyle w:val="affb"/>
              <w:widowControl/>
              <w:numPr>
                <w:ilvl w:val="0"/>
                <w:numId w:val="114"/>
              </w:numPr>
              <w:ind w:leftChars="0"/>
              <w:rPr>
                <w:rFonts w:eastAsia="標楷體"/>
                <w:kern w:val="0"/>
              </w:rPr>
            </w:pPr>
            <w:r w:rsidRPr="004D451D">
              <w:rPr>
                <w:rFonts w:eastAsia="標楷體"/>
                <w:kern w:val="0"/>
              </w:rPr>
              <w:t>受央行委託收管存款準備金之機構所收管之準備金乙戶存款。</w:t>
            </w:r>
          </w:p>
          <w:p w:rsidR="00D77DDB" w:rsidRPr="004D451D" w:rsidRDefault="00D77DDB" w:rsidP="009F53B0">
            <w:pPr>
              <w:pStyle w:val="affb"/>
              <w:widowControl/>
              <w:numPr>
                <w:ilvl w:val="0"/>
                <w:numId w:val="114"/>
              </w:numPr>
              <w:ind w:leftChars="0"/>
              <w:rPr>
                <w:rFonts w:eastAsia="標楷體"/>
                <w:kern w:val="0"/>
              </w:rPr>
            </w:pPr>
            <w:r w:rsidRPr="004D451D">
              <w:rPr>
                <w:rFonts w:eastAsia="標楷體"/>
                <w:kern w:val="0"/>
              </w:rPr>
              <w:t>支應特定專案放款之存款或基金，如郵匯局轉存款、撥入放款基金等。</w:t>
            </w:r>
          </w:p>
          <w:p w:rsidR="00AB4AE2" w:rsidRPr="004D451D" w:rsidRDefault="00AB4AE2" w:rsidP="009F53B0">
            <w:pPr>
              <w:pStyle w:val="affb"/>
              <w:widowControl/>
              <w:numPr>
                <w:ilvl w:val="0"/>
                <w:numId w:val="114"/>
              </w:numPr>
              <w:ind w:leftChars="0"/>
              <w:rPr>
                <w:rFonts w:eastAsia="標楷體"/>
                <w:kern w:val="0"/>
              </w:rPr>
            </w:pPr>
            <w:r w:rsidRPr="004D451D">
              <w:rPr>
                <w:rFonts w:eastAsia="標楷體"/>
                <w:kern w:val="0"/>
              </w:rPr>
              <w:t>其他與特定資產相互依存之負債，同時符合一定條件，並報經主管機關核准者。</w:t>
            </w:r>
          </w:p>
        </w:tc>
      </w:tr>
      <w:tr w:rsidR="004D451D" w:rsidRPr="004D451D" w:rsidTr="00D77DDB">
        <w:trPr>
          <w:trHeight w:val="62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11</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其他負債及權益</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12</w:t>
            </w:r>
            <w:r w:rsidRPr="004D451D">
              <w:rPr>
                <w:rFonts w:eastAsia="標楷體"/>
                <w:kern w:val="0"/>
              </w:rPr>
              <w:t>與項次</w:t>
            </w:r>
            <w:r w:rsidRPr="004D451D">
              <w:rPr>
                <w:rFonts w:eastAsia="標楷體"/>
                <w:kern w:val="0"/>
              </w:rPr>
              <w:t>13</w:t>
            </w:r>
            <w:r w:rsidRPr="004D451D">
              <w:rPr>
                <w:rFonts w:eastAsia="標楷體"/>
                <w:kern w:val="0"/>
              </w:rPr>
              <w:t>之合計數。</w:t>
            </w:r>
          </w:p>
        </w:tc>
      </w:tr>
      <w:tr w:rsidR="004D451D" w:rsidRPr="004D451D" w:rsidTr="00AB4AE2">
        <w:trPr>
          <w:trHeight w:val="907"/>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12</w:t>
            </w:r>
          </w:p>
        </w:tc>
        <w:tc>
          <w:tcPr>
            <w:tcW w:w="1624" w:type="pct"/>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NSFR</w:t>
            </w:r>
            <w:r w:rsidRPr="004D451D">
              <w:rPr>
                <w:rFonts w:eastAsia="標楷體"/>
                <w:kern w:val="0"/>
              </w:rPr>
              <w:t>衍生性商品負債淨額</w:t>
            </w:r>
          </w:p>
        </w:tc>
        <w:tc>
          <w:tcPr>
            <w:tcW w:w="3199" w:type="pct"/>
            <w:shd w:val="clear" w:color="auto" w:fill="auto"/>
            <w:vAlign w:val="center"/>
            <w:hideMark/>
          </w:tcPr>
          <w:p w:rsidR="00D77DDB" w:rsidRPr="004D451D" w:rsidRDefault="00AB4AE2" w:rsidP="00482E54">
            <w:pPr>
              <w:pStyle w:val="affb"/>
              <w:widowControl/>
              <w:numPr>
                <w:ilvl w:val="1"/>
                <w:numId w:val="72"/>
              </w:numPr>
              <w:ind w:leftChars="0" w:left="357" w:hanging="357"/>
              <w:rPr>
                <w:rFonts w:eastAsia="標楷體"/>
                <w:kern w:val="0"/>
              </w:rPr>
            </w:pPr>
            <w:r w:rsidRPr="004D451D">
              <w:rPr>
                <w:rFonts w:eastAsia="標楷體"/>
                <w:kern w:val="0"/>
              </w:rPr>
              <w:t>「</w:t>
            </w:r>
            <w:r w:rsidRPr="004D451D">
              <w:rPr>
                <w:rFonts w:eastAsia="標楷體"/>
                <w:kern w:val="0"/>
              </w:rPr>
              <w:t>NSFR</w:t>
            </w:r>
            <w:r w:rsidRPr="004D451D">
              <w:rPr>
                <w:rFonts w:eastAsia="標楷體"/>
                <w:kern w:val="0"/>
              </w:rPr>
              <w:t>衍生性商品負債」扣減「</w:t>
            </w:r>
            <w:r w:rsidRPr="004D451D">
              <w:rPr>
                <w:rFonts w:eastAsia="標楷體"/>
                <w:kern w:val="0"/>
              </w:rPr>
              <w:t>NSFR</w:t>
            </w:r>
            <w:r w:rsidRPr="004D451D">
              <w:rPr>
                <w:rFonts w:eastAsia="標楷體"/>
                <w:kern w:val="0"/>
              </w:rPr>
              <w:t>衍生性商品資產」後之金額與</w:t>
            </w:r>
            <w:r w:rsidRPr="004D451D">
              <w:rPr>
                <w:rFonts w:eastAsia="標楷體"/>
                <w:kern w:val="0"/>
              </w:rPr>
              <w:t>0</w:t>
            </w:r>
            <w:r w:rsidRPr="004D451D">
              <w:rPr>
                <w:rFonts w:eastAsia="標楷體"/>
                <w:kern w:val="0"/>
              </w:rPr>
              <w:t>取孰高，填列本項。</w:t>
            </w:r>
          </w:p>
          <w:p w:rsidR="00AB4AE2" w:rsidRPr="004D451D" w:rsidRDefault="00AB4AE2" w:rsidP="00482E54">
            <w:pPr>
              <w:pStyle w:val="affb"/>
              <w:widowControl/>
              <w:numPr>
                <w:ilvl w:val="1"/>
                <w:numId w:val="72"/>
              </w:numPr>
              <w:ind w:leftChars="0" w:left="357" w:hanging="357"/>
              <w:rPr>
                <w:rFonts w:eastAsia="標楷體"/>
                <w:kern w:val="0"/>
              </w:rPr>
            </w:pPr>
            <w:r w:rsidRPr="004D451D">
              <w:rPr>
                <w:rFonts w:eastAsia="標楷體"/>
                <w:kern w:val="0"/>
              </w:rPr>
              <w:t>僅需填列未加權金額欄位，且無需區分剩餘期間。</w:t>
            </w:r>
          </w:p>
        </w:tc>
      </w:tr>
      <w:tr w:rsidR="004D451D" w:rsidRPr="004D451D" w:rsidTr="00AB4AE2">
        <w:trPr>
          <w:trHeight w:val="1134"/>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13</w:t>
            </w:r>
          </w:p>
        </w:tc>
        <w:tc>
          <w:tcPr>
            <w:tcW w:w="1624" w:type="pct"/>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非屬上述類別之其他負債及權益項目</w:t>
            </w:r>
          </w:p>
        </w:tc>
        <w:tc>
          <w:tcPr>
            <w:tcW w:w="3199" w:type="pct"/>
            <w:shd w:val="clear" w:color="auto" w:fill="auto"/>
            <w:vAlign w:val="center"/>
            <w:hideMark/>
          </w:tcPr>
          <w:p w:rsidR="00D77DDB" w:rsidRPr="004D451D" w:rsidRDefault="00AB4AE2" w:rsidP="00D77DDB">
            <w:pPr>
              <w:widowControl/>
              <w:rPr>
                <w:rFonts w:eastAsia="標楷體"/>
                <w:kern w:val="0"/>
              </w:rPr>
            </w:pPr>
            <w:r w:rsidRPr="004D451D">
              <w:rPr>
                <w:rFonts w:eastAsia="標楷體"/>
                <w:kern w:val="0"/>
              </w:rPr>
              <w:t>非屬上述類別之其他負債及權益項目，包含但不限於以下項目：</w:t>
            </w:r>
          </w:p>
          <w:p w:rsidR="00D77DDB" w:rsidRPr="004D451D" w:rsidRDefault="00AB4AE2" w:rsidP="00482E54">
            <w:pPr>
              <w:pStyle w:val="affb"/>
              <w:widowControl/>
              <w:numPr>
                <w:ilvl w:val="1"/>
                <w:numId w:val="69"/>
              </w:numPr>
              <w:ind w:leftChars="0" w:left="357" w:hanging="357"/>
              <w:rPr>
                <w:rFonts w:eastAsia="標楷體"/>
                <w:kern w:val="0"/>
              </w:rPr>
            </w:pPr>
            <w:r w:rsidRPr="004D451D">
              <w:rPr>
                <w:rFonts w:eastAsia="標楷體"/>
                <w:kern w:val="0"/>
              </w:rPr>
              <w:t>零售與小型企業戶所提供之其他資金。</w:t>
            </w:r>
          </w:p>
          <w:p w:rsidR="00AB4AE2" w:rsidRPr="004D451D" w:rsidRDefault="00AB4AE2" w:rsidP="00482E54">
            <w:pPr>
              <w:pStyle w:val="affb"/>
              <w:widowControl/>
              <w:numPr>
                <w:ilvl w:val="1"/>
                <w:numId w:val="69"/>
              </w:numPr>
              <w:ind w:leftChars="0" w:left="357" w:hanging="357"/>
              <w:rPr>
                <w:rFonts w:eastAsia="標楷體"/>
                <w:kern w:val="0"/>
              </w:rPr>
            </w:pPr>
            <w:r w:rsidRPr="004D451D">
              <w:rPr>
                <w:rFonts w:eastAsia="標楷體"/>
                <w:kern w:val="0"/>
              </w:rPr>
              <w:t>買入金融工具、外匯及商品因「交易日」及「交割日」不同所產生之應付款項。</w:t>
            </w:r>
          </w:p>
        </w:tc>
      </w:tr>
      <w:tr w:rsidR="004D451D" w:rsidRPr="004D451D" w:rsidTr="00D77DDB">
        <w:trPr>
          <w:trHeight w:val="63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14</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可用穩定資金總額</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1</w:t>
            </w:r>
            <w:r w:rsidRPr="004D451D">
              <w:rPr>
                <w:rFonts w:eastAsia="標楷體"/>
                <w:kern w:val="0"/>
              </w:rPr>
              <w:t>、項次</w:t>
            </w:r>
            <w:r w:rsidRPr="004D451D">
              <w:rPr>
                <w:rFonts w:eastAsia="標楷體"/>
                <w:kern w:val="0"/>
              </w:rPr>
              <w:t>4</w:t>
            </w:r>
            <w:r w:rsidRPr="004D451D">
              <w:rPr>
                <w:rFonts w:eastAsia="標楷體"/>
                <w:kern w:val="0"/>
              </w:rPr>
              <w:t>、項次</w:t>
            </w:r>
            <w:r w:rsidRPr="004D451D">
              <w:rPr>
                <w:rFonts w:eastAsia="標楷體"/>
                <w:kern w:val="0"/>
              </w:rPr>
              <w:t>7</w:t>
            </w:r>
            <w:r w:rsidRPr="004D451D">
              <w:rPr>
                <w:rFonts w:eastAsia="標楷體"/>
                <w:kern w:val="0"/>
              </w:rPr>
              <w:t>、項次</w:t>
            </w:r>
            <w:r w:rsidRPr="004D451D">
              <w:rPr>
                <w:rFonts w:eastAsia="標楷體"/>
                <w:kern w:val="0"/>
              </w:rPr>
              <w:t>10</w:t>
            </w:r>
            <w:r w:rsidRPr="004D451D">
              <w:rPr>
                <w:rFonts w:eastAsia="標楷體"/>
                <w:kern w:val="0"/>
              </w:rPr>
              <w:t>及項次</w:t>
            </w:r>
            <w:r w:rsidRPr="004D451D">
              <w:rPr>
                <w:rFonts w:eastAsia="標楷體"/>
                <w:kern w:val="0"/>
              </w:rPr>
              <w:t>11</w:t>
            </w:r>
            <w:r w:rsidRPr="004D451D">
              <w:rPr>
                <w:rFonts w:eastAsia="標楷體"/>
                <w:kern w:val="0"/>
              </w:rPr>
              <w:t>之合計數。</w:t>
            </w:r>
          </w:p>
        </w:tc>
      </w:tr>
      <w:tr w:rsidR="004D451D" w:rsidRPr="004D451D" w:rsidTr="00AB4AE2">
        <w:trPr>
          <w:trHeight w:val="258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15</w:t>
            </w:r>
          </w:p>
        </w:tc>
        <w:tc>
          <w:tcPr>
            <w:tcW w:w="1624" w:type="pct"/>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NSFR</w:t>
            </w:r>
            <w:r w:rsidRPr="004D451D">
              <w:rPr>
                <w:rFonts w:eastAsia="標楷體"/>
                <w:kern w:val="0"/>
              </w:rPr>
              <w:t>高品質流動性資產總額</w:t>
            </w:r>
          </w:p>
        </w:tc>
        <w:tc>
          <w:tcPr>
            <w:tcW w:w="3199" w:type="pct"/>
            <w:shd w:val="clear" w:color="auto" w:fill="auto"/>
            <w:vAlign w:val="center"/>
            <w:hideMark/>
          </w:tcPr>
          <w:p w:rsidR="00D77DDB" w:rsidRPr="004D451D" w:rsidRDefault="00AB4AE2" w:rsidP="00D77DDB">
            <w:pPr>
              <w:widowControl/>
              <w:rPr>
                <w:rFonts w:eastAsia="標楷體"/>
                <w:kern w:val="0"/>
              </w:rPr>
            </w:pPr>
            <w:r w:rsidRPr="004D451D">
              <w:rPr>
                <w:rFonts w:eastAsia="標楷體"/>
                <w:kern w:val="0"/>
              </w:rPr>
              <w:t>包括受限制或未受限制之第一層資產、第二層</w:t>
            </w:r>
            <w:r w:rsidRPr="004D451D">
              <w:rPr>
                <w:rFonts w:eastAsia="標楷體"/>
                <w:kern w:val="0"/>
              </w:rPr>
              <w:t>A</w:t>
            </w:r>
            <w:r w:rsidRPr="004D451D">
              <w:rPr>
                <w:rFonts w:eastAsia="標楷體"/>
                <w:kern w:val="0"/>
              </w:rPr>
              <w:t>級資產及第二層</w:t>
            </w:r>
            <w:r w:rsidRPr="004D451D">
              <w:rPr>
                <w:rFonts w:eastAsia="標楷體"/>
                <w:kern w:val="0"/>
              </w:rPr>
              <w:t>B</w:t>
            </w:r>
            <w:r w:rsidRPr="004D451D">
              <w:rPr>
                <w:rFonts w:eastAsia="標楷體"/>
                <w:kern w:val="0"/>
              </w:rPr>
              <w:t>級資產，定義同「流動性覆蓋比率之計算方法說明及表格」之合格高品質流動性資產，惟無須考慮作業要求及第二層資產與第二層</w:t>
            </w:r>
            <w:r w:rsidRPr="004D451D">
              <w:rPr>
                <w:rFonts w:eastAsia="標楷體"/>
                <w:kern w:val="0"/>
              </w:rPr>
              <w:t>B</w:t>
            </w:r>
            <w:r w:rsidRPr="004D451D">
              <w:rPr>
                <w:rFonts w:eastAsia="標楷體"/>
                <w:kern w:val="0"/>
              </w:rPr>
              <w:t>級資產上限調整，亦即因不符合作業要求或超過上限而無法計入流動性覆蓋比率之合格高品質流動性資產者，仍得計入本項。其中第一層資產並作下列調整：</w:t>
            </w:r>
          </w:p>
          <w:p w:rsidR="00D77DDB" w:rsidRPr="004D451D" w:rsidRDefault="00AB4AE2" w:rsidP="009F53B0">
            <w:pPr>
              <w:pStyle w:val="affb"/>
              <w:widowControl/>
              <w:numPr>
                <w:ilvl w:val="0"/>
                <w:numId w:val="115"/>
              </w:numPr>
              <w:ind w:leftChars="0"/>
              <w:rPr>
                <w:rFonts w:eastAsia="標楷體"/>
                <w:kern w:val="0"/>
              </w:rPr>
            </w:pPr>
            <w:r w:rsidRPr="004D451D">
              <w:rPr>
                <w:rFonts w:eastAsia="標楷體"/>
                <w:kern w:val="0"/>
              </w:rPr>
              <w:t>現金</w:t>
            </w:r>
            <w:r w:rsidR="00D77DDB" w:rsidRPr="004D451D">
              <w:rPr>
                <w:rFonts w:eastAsia="標楷體" w:hint="eastAsia"/>
                <w:kern w:val="0"/>
              </w:rPr>
              <w:t>：</w:t>
            </w:r>
            <w:r w:rsidRPr="004D451D">
              <w:rPr>
                <w:rFonts w:eastAsia="標楷體"/>
                <w:kern w:val="0"/>
              </w:rPr>
              <w:t>含待交換票據。</w:t>
            </w:r>
          </w:p>
          <w:p w:rsidR="00D77DDB" w:rsidRPr="004D451D" w:rsidRDefault="00D77DDB" w:rsidP="009F53B0">
            <w:pPr>
              <w:pStyle w:val="affb"/>
              <w:widowControl/>
              <w:numPr>
                <w:ilvl w:val="0"/>
                <w:numId w:val="115"/>
              </w:numPr>
              <w:ind w:leftChars="0"/>
              <w:rPr>
                <w:rFonts w:eastAsia="標楷體"/>
                <w:kern w:val="0"/>
              </w:rPr>
            </w:pPr>
            <w:r w:rsidRPr="004D451D">
              <w:rPr>
                <w:rFonts w:eastAsia="標楷體"/>
                <w:kern w:val="0"/>
              </w:rPr>
              <w:t>央行準備金</w:t>
            </w:r>
            <w:r w:rsidRPr="004D451D">
              <w:rPr>
                <w:rFonts w:eastAsia="標楷體" w:hint="eastAsia"/>
                <w:kern w:val="0"/>
              </w:rPr>
              <w:t>：</w:t>
            </w:r>
            <w:r w:rsidRPr="004D451D">
              <w:rPr>
                <w:rFonts w:eastAsia="標楷體"/>
                <w:kern w:val="0"/>
              </w:rPr>
              <w:t>含存放央行之新</w:t>
            </w:r>
            <w:r w:rsidRPr="004D451D">
              <w:rPr>
                <w:rFonts w:eastAsia="標楷體" w:hint="eastAsia"/>
                <w:kern w:val="0"/>
              </w:rPr>
              <w:t>臺</w:t>
            </w:r>
            <w:r w:rsidRPr="004D451D">
              <w:rPr>
                <w:rFonts w:eastAsia="標楷體"/>
                <w:kern w:val="0"/>
              </w:rPr>
              <w:t>幣存款</w:t>
            </w:r>
            <w:r w:rsidRPr="004D451D">
              <w:rPr>
                <w:rFonts w:eastAsia="標楷體"/>
                <w:kern w:val="0"/>
              </w:rPr>
              <w:t>(</w:t>
            </w:r>
            <w:r w:rsidRPr="004D451D">
              <w:rPr>
                <w:rFonts w:eastAsia="標楷體"/>
                <w:kern w:val="0"/>
              </w:rPr>
              <w:t>負債</w:t>
            </w:r>
            <w:r w:rsidRPr="004D451D">
              <w:rPr>
                <w:rFonts w:eastAsia="標楷體"/>
                <w:kern w:val="0"/>
              </w:rPr>
              <w:t>)</w:t>
            </w:r>
            <w:r w:rsidRPr="004D451D">
              <w:rPr>
                <w:rFonts w:eastAsia="標楷體"/>
                <w:kern w:val="0"/>
              </w:rPr>
              <w:t>準備金乙戶。</w:t>
            </w:r>
          </w:p>
          <w:p w:rsidR="00AB4AE2" w:rsidRPr="004D451D" w:rsidRDefault="00AB4AE2" w:rsidP="009F53B0">
            <w:pPr>
              <w:pStyle w:val="affb"/>
              <w:widowControl/>
              <w:numPr>
                <w:ilvl w:val="0"/>
                <w:numId w:val="115"/>
              </w:numPr>
              <w:ind w:leftChars="0"/>
              <w:rPr>
                <w:rFonts w:eastAsia="標楷體"/>
                <w:kern w:val="0"/>
              </w:rPr>
            </w:pPr>
            <w:r w:rsidRPr="004D451D">
              <w:rPr>
                <w:rFonts w:eastAsia="標楷體"/>
                <w:kern w:val="0"/>
              </w:rPr>
              <w:t>轉存央行存款：含次</w:t>
            </w:r>
            <w:r w:rsidRPr="004D451D">
              <w:rPr>
                <w:rFonts w:eastAsia="標楷體"/>
                <w:kern w:val="0"/>
              </w:rPr>
              <w:t>2</w:t>
            </w:r>
            <w:r w:rsidRPr="004D451D">
              <w:rPr>
                <w:rFonts w:eastAsia="標楷體"/>
                <w:kern w:val="0"/>
              </w:rPr>
              <w:t>日以上到期者。</w:t>
            </w:r>
          </w:p>
        </w:tc>
      </w:tr>
      <w:tr w:rsidR="004D451D" w:rsidRPr="004D451D" w:rsidTr="00D77DDB">
        <w:trPr>
          <w:trHeight w:val="648"/>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16</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存放於其他金融機構之營運存款</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存放於其他金融機構之營運存款。</w:t>
            </w:r>
          </w:p>
        </w:tc>
      </w:tr>
      <w:tr w:rsidR="004D451D" w:rsidRPr="004D451D" w:rsidTr="00AB4AE2">
        <w:trPr>
          <w:trHeight w:val="84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17</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金融機構應收款項、其他非金融機構放款及有價證券</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18</w:t>
            </w:r>
            <w:r w:rsidRPr="004D451D">
              <w:rPr>
                <w:rFonts w:eastAsia="標楷體"/>
                <w:kern w:val="0"/>
              </w:rPr>
              <w:t>、項次</w:t>
            </w:r>
            <w:r w:rsidRPr="004D451D">
              <w:rPr>
                <w:rFonts w:eastAsia="標楷體"/>
                <w:kern w:val="0"/>
              </w:rPr>
              <w:t>19</w:t>
            </w:r>
            <w:r w:rsidRPr="004D451D">
              <w:rPr>
                <w:rFonts w:eastAsia="標楷體"/>
                <w:kern w:val="0"/>
              </w:rPr>
              <w:t>、項次</w:t>
            </w:r>
            <w:r w:rsidRPr="004D451D">
              <w:rPr>
                <w:rFonts w:eastAsia="標楷體"/>
                <w:kern w:val="0"/>
              </w:rPr>
              <w:t>20</w:t>
            </w:r>
            <w:r w:rsidRPr="004D451D">
              <w:rPr>
                <w:rFonts w:eastAsia="標楷體"/>
                <w:kern w:val="0"/>
              </w:rPr>
              <w:t>、項次</w:t>
            </w:r>
            <w:r w:rsidRPr="004D451D">
              <w:rPr>
                <w:rFonts w:eastAsia="標楷體"/>
                <w:kern w:val="0"/>
              </w:rPr>
              <w:t>22</w:t>
            </w:r>
            <w:r w:rsidRPr="004D451D">
              <w:rPr>
                <w:rFonts w:eastAsia="標楷體"/>
                <w:kern w:val="0"/>
              </w:rPr>
              <w:t>及項次</w:t>
            </w:r>
            <w:r w:rsidRPr="004D451D">
              <w:rPr>
                <w:rFonts w:eastAsia="標楷體"/>
                <w:kern w:val="0"/>
              </w:rPr>
              <w:t>24</w:t>
            </w:r>
            <w:r w:rsidRPr="004D451D">
              <w:rPr>
                <w:rFonts w:eastAsia="標楷體"/>
                <w:kern w:val="0"/>
              </w:rPr>
              <w:t>之合計數。</w:t>
            </w:r>
          </w:p>
        </w:tc>
      </w:tr>
      <w:tr w:rsidR="004D451D" w:rsidRPr="004D451D" w:rsidTr="00AB4AE2">
        <w:trPr>
          <w:trHeight w:val="737"/>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18</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以第一層資產為擔保之金融機構應收款項</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以第一層資產為擔保之金融機構應收款項。</w:t>
            </w:r>
          </w:p>
        </w:tc>
      </w:tr>
      <w:tr w:rsidR="004D451D" w:rsidRPr="004D451D" w:rsidTr="00AB4AE2">
        <w:trPr>
          <w:trHeight w:val="68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19</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以第一層以外之資產為擔保或無擔保之金融機構應收款項</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以第一層以外之資產為擔保或無擔保之金融機構應收款項。</w:t>
            </w:r>
          </w:p>
        </w:tc>
      </w:tr>
      <w:tr w:rsidR="004D451D" w:rsidRPr="004D451D" w:rsidTr="00AB4AE2">
        <w:trPr>
          <w:trHeight w:val="737"/>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20</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其他非金融機構放款</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對零售、小型企業戶、非金融機構企業戶、主權國家、中央銀行、地方政府、非營利國營事業機構及多邊開發銀行之放款。</w:t>
            </w:r>
          </w:p>
        </w:tc>
      </w:tr>
      <w:tr w:rsidR="004D451D" w:rsidRPr="004D451D" w:rsidTr="00AB4AE2">
        <w:trPr>
          <w:trHeight w:val="624"/>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21</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風險權數為</w:t>
            </w:r>
            <w:r w:rsidRPr="004D451D">
              <w:rPr>
                <w:rFonts w:eastAsia="標楷體"/>
                <w:kern w:val="0"/>
              </w:rPr>
              <w:t>35%</w:t>
            </w:r>
            <w:r w:rsidRPr="004D451D">
              <w:rPr>
                <w:rFonts w:eastAsia="標楷體"/>
                <w:kern w:val="0"/>
              </w:rPr>
              <w:t>以下之其他非金融機構放款</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20</w:t>
            </w:r>
            <w:r w:rsidRPr="004D451D">
              <w:rPr>
                <w:rFonts w:eastAsia="標楷體"/>
                <w:kern w:val="0"/>
              </w:rPr>
              <w:t>中屬風險權數為</w:t>
            </w:r>
            <w:r w:rsidRPr="004D451D">
              <w:rPr>
                <w:rFonts w:eastAsia="標楷體"/>
                <w:kern w:val="0"/>
              </w:rPr>
              <w:t>35%</w:t>
            </w:r>
            <w:r w:rsidRPr="004D451D">
              <w:rPr>
                <w:rFonts w:eastAsia="標楷體"/>
                <w:kern w:val="0"/>
              </w:rPr>
              <w:t>以下者。</w:t>
            </w:r>
          </w:p>
        </w:tc>
      </w:tr>
      <w:tr w:rsidR="004D451D" w:rsidRPr="004D451D" w:rsidTr="00D77DDB">
        <w:trPr>
          <w:trHeight w:val="665"/>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22</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住宅擔保放款</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係指信用風險標準法之「對以住宅用不動產為擔保之債權」。</w:t>
            </w:r>
          </w:p>
        </w:tc>
      </w:tr>
      <w:tr w:rsidR="004D451D" w:rsidRPr="004D451D" w:rsidTr="00AB4AE2">
        <w:trPr>
          <w:trHeight w:val="68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23</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風險權數為</w:t>
            </w:r>
            <w:r w:rsidR="000A16EB" w:rsidRPr="004D451D">
              <w:rPr>
                <w:rFonts w:eastAsia="標楷體" w:hint="eastAsia"/>
                <w:kern w:val="0"/>
              </w:rPr>
              <w:t>45</w:t>
            </w:r>
            <w:r w:rsidRPr="004D451D">
              <w:rPr>
                <w:rFonts w:eastAsia="標楷體"/>
                <w:kern w:val="0"/>
              </w:rPr>
              <w:t>%</w:t>
            </w:r>
            <w:r w:rsidRPr="004D451D">
              <w:rPr>
                <w:rFonts w:eastAsia="標楷體"/>
                <w:kern w:val="0"/>
              </w:rPr>
              <w:t>以下之住宅擔保放款</w:t>
            </w:r>
          </w:p>
        </w:tc>
        <w:tc>
          <w:tcPr>
            <w:tcW w:w="3199" w:type="pct"/>
            <w:shd w:val="clear" w:color="auto" w:fill="auto"/>
            <w:vAlign w:val="center"/>
            <w:hideMark/>
          </w:tcPr>
          <w:p w:rsidR="00AB4AE2" w:rsidRPr="004D451D" w:rsidRDefault="00AB4AE2" w:rsidP="000A16EB">
            <w:pPr>
              <w:widowControl/>
              <w:rPr>
                <w:rFonts w:eastAsia="標楷體"/>
                <w:kern w:val="0"/>
              </w:rPr>
            </w:pPr>
            <w:r w:rsidRPr="004D451D">
              <w:rPr>
                <w:rFonts w:eastAsia="標楷體"/>
                <w:kern w:val="0"/>
              </w:rPr>
              <w:t>項次</w:t>
            </w:r>
            <w:r w:rsidRPr="004D451D">
              <w:rPr>
                <w:rFonts w:eastAsia="標楷體"/>
                <w:kern w:val="0"/>
              </w:rPr>
              <w:t>22</w:t>
            </w:r>
            <w:r w:rsidRPr="004D451D">
              <w:rPr>
                <w:rFonts w:eastAsia="標楷體"/>
                <w:kern w:val="0"/>
              </w:rPr>
              <w:t>中屬風險權數為</w:t>
            </w:r>
            <w:r w:rsidR="000A16EB" w:rsidRPr="004D451D">
              <w:rPr>
                <w:rFonts w:eastAsia="標楷體" w:hint="eastAsia"/>
                <w:kern w:val="0"/>
              </w:rPr>
              <w:t>45</w:t>
            </w:r>
            <w:r w:rsidRPr="004D451D">
              <w:rPr>
                <w:rFonts w:eastAsia="標楷體"/>
                <w:kern w:val="0"/>
              </w:rPr>
              <w:t>%</w:t>
            </w:r>
            <w:r w:rsidRPr="004D451D">
              <w:rPr>
                <w:rFonts w:eastAsia="標楷體"/>
                <w:kern w:val="0"/>
              </w:rPr>
              <w:t>以下者。</w:t>
            </w:r>
          </w:p>
        </w:tc>
      </w:tr>
      <w:tr w:rsidR="004D451D" w:rsidRPr="004D451D" w:rsidTr="00D77DDB">
        <w:trPr>
          <w:trHeight w:val="728"/>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24</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有價證券及在交易所交易之權益證券</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未違約且非屬高品質流動性資產之有價證券及在交易所交易之權益證券。</w:t>
            </w:r>
          </w:p>
        </w:tc>
      </w:tr>
      <w:tr w:rsidR="004D451D" w:rsidRPr="004D451D" w:rsidTr="00AB4AE2">
        <w:trPr>
          <w:trHeight w:val="907"/>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25</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與特定負債相互依存之資產</w:t>
            </w:r>
          </w:p>
        </w:tc>
        <w:tc>
          <w:tcPr>
            <w:tcW w:w="3199" w:type="pct"/>
            <w:shd w:val="clear" w:color="auto" w:fill="auto"/>
            <w:vAlign w:val="center"/>
            <w:hideMark/>
          </w:tcPr>
          <w:p w:rsidR="00461CF3" w:rsidRPr="004D451D" w:rsidRDefault="00AB4AE2" w:rsidP="00461CF3">
            <w:pPr>
              <w:widowControl/>
              <w:rPr>
                <w:rFonts w:eastAsia="標楷體"/>
                <w:kern w:val="0"/>
              </w:rPr>
            </w:pPr>
            <w:r w:rsidRPr="004D451D">
              <w:rPr>
                <w:rFonts w:eastAsia="標楷體"/>
                <w:kern w:val="0"/>
              </w:rPr>
              <w:t>包含下列項目：</w:t>
            </w:r>
          </w:p>
          <w:p w:rsidR="00461CF3" w:rsidRPr="004D451D" w:rsidRDefault="00AB4AE2" w:rsidP="009F53B0">
            <w:pPr>
              <w:pStyle w:val="affb"/>
              <w:widowControl/>
              <w:numPr>
                <w:ilvl w:val="0"/>
                <w:numId w:val="116"/>
              </w:numPr>
              <w:ind w:leftChars="0"/>
              <w:rPr>
                <w:rFonts w:eastAsia="標楷體"/>
                <w:kern w:val="0"/>
              </w:rPr>
            </w:pPr>
            <w:r w:rsidRPr="004D451D">
              <w:rPr>
                <w:rFonts w:eastAsia="標楷體"/>
                <w:kern w:val="0"/>
              </w:rPr>
              <w:t>受央行委託收管存款準備金之機構轉存央行所收管存款準備金乙戶。</w:t>
            </w:r>
          </w:p>
          <w:p w:rsidR="00461CF3" w:rsidRPr="004D451D" w:rsidRDefault="00461CF3" w:rsidP="009F53B0">
            <w:pPr>
              <w:pStyle w:val="affb"/>
              <w:widowControl/>
              <w:numPr>
                <w:ilvl w:val="0"/>
                <w:numId w:val="116"/>
              </w:numPr>
              <w:ind w:leftChars="0"/>
              <w:rPr>
                <w:rFonts w:eastAsia="標楷體"/>
                <w:kern w:val="0"/>
              </w:rPr>
            </w:pPr>
            <w:r w:rsidRPr="004D451D">
              <w:rPr>
                <w:rFonts w:eastAsia="標楷體"/>
                <w:kern w:val="0"/>
              </w:rPr>
              <w:t>有特定存款或基金</w:t>
            </w:r>
            <w:r w:rsidRPr="004D451D">
              <w:rPr>
                <w:rFonts w:eastAsia="標楷體"/>
                <w:kern w:val="0"/>
              </w:rPr>
              <w:t>(</w:t>
            </w:r>
            <w:r w:rsidRPr="004D451D">
              <w:rPr>
                <w:rFonts w:eastAsia="標楷體"/>
                <w:kern w:val="0"/>
              </w:rPr>
              <w:t>如郵匯局轉存款、撥入放款基金</w:t>
            </w:r>
            <w:r w:rsidRPr="004D451D">
              <w:rPr>
                <w:rFonts w:eastAsia="標楷體"/>
                <w:kern w:val="0"/>
              </w:rPr>
              <w:t>)</w:t>
            </w:r>
            <w:r w:rsidRPr="004D451D">
              <w:rPr>
                <w:rFonts w:eastAsia="標楷體"/>
                <w:kern w:val="0"/>
              </w:rPr>
              <w:t>支應之專案放款。</w:t>
            </w:r>
          </w:p>
          <w:p w:rsidR="00AB4AE2" w:rsidRPr="004D451D" w:rsidRDefault="00461CF3" w:rsidP="009F53B0">
            <w:pPr>
              <w:pStyle w:val="affb"/>
              <w:widowControl/>
              <w:numPr>
                <w:ilvl w:val="0"/>
                <w:numId w:val="116"/>
              </w:numPr>
              <w:ind w:leftChars="0"/>
            </w:pPr>
            <w:r w:rsidRPr="004D451D">
              <w:rPr>
                <w:rFonts w:eastAsia="標楷體"/>
                <w:kern w:val="0"/>
              </w:rPr>
              <w:t>其他與特定負債相互依存之資產，同時符合一定條件，並報經主管機關核准者。</w:t>
            </w:r>
          </w:p>
        </w:tc>
      </w:tr>
      <w:tr w:rsidR="004D451D" w:rsidRPr="004D451D" w:rsidTr="00D77DDB">
        <w:trPr>
          <w:trHeight w:val="66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26</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其他資產</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27</w:t>
            </w:r>
            <w:r w:rsidRPr="004D451D">
              <w:rPr>
                <w:rFonts w:eastAsia="標楷體"/>
                <w:kern w:val="0"/>
              </w:rPr>
              <w:t>至項次</w:t>
            </w:r>
            <w:r w:rsidRPr="004D451D">
              <w:rPr>
                <w:rFonts w:eastAsia="標楷體"/>
                <w:kern w:val="0"/>
              </w:rPr>
              <w:t>31</w:t>
            </w:r>
            <w:r w:rsidRPr="004D451D">
              <w:rPr>
                <w:rFonts w:eastAsia="標楷體"/>
                <w:kern w:val="0"/>
              </w:rPr>
              <w:t>之合計數。</w:t>
            </w:r>
          </w:p>
        </w:tc>
      </w:tr>
      <w:tr w:rsidR="004D451D" w:rsidRPr="004D451D" w:rsidTr="00D77DDB">
        <w:trPr>
          <w:trHeight w:val="712"/>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27</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實體交易商品</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如黃金。</w:t>
            </w:r>
          </w:p>
        </w:tc>
      </w:tr>
      <w:tr w:rsidR="004D451D" w:rsidRPr="004D451D" w:rsidTr="00AB4AE2">
        <w:trPr>
          <w:trHeight w:val="85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28</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供作衍生性商品契約原始保證金或集中結算交易對手交割結算基金之資產</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供作衍生性商品契約原始保證金或集中結算交易對手交割結算基金之現金、有價證券或其他資產。</w:t>
            </w:r>
          </w:p>
        </w:tc>
      </w:tr>
      <w:tr w:rsidR="004D451D" w:rsidRPr="004D451D" w:rsidTr="00AB4AE2">
        <w:trPr>
          <w:trHeight w:val="794"/>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29</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NSFR</w:t>
            </w:r>
            <w:r w:rsidRPr="004D451D">
              <w:rPr>
                <w:rFonts w:eastAsia="標楷體"/>
                <w:kern w:val="0"/>
              </w:rPr>
              <w:t>衍生性商品資產淨額</w:t>
            </w:r>
          </w:p>
        </w:tc>
        <w:tc>
          <w:tcPr>
            <w:tcW w:w="3199" w:type="pct"/>
            <w:shd w:val="clear" w:color="auto" w:fill="auto"/>
            <w:vAlign w:val="center"/>
            <w:hideMark/>
          </w:tcPr>
          <w:p w:rsidR="00461CF3" w:rsidRPr="004D451D" w:rsidRDefault="00AB4AE2" w:rsidP="00482E54">
            <w:pPr>
              <w:pStyle w:val="affb"/>
              <w:widowControl/>
              <w:numPr>
                <w:ilvl w:val="1"/>
                <w:numId w:val="64"/>
              </w:numPr>
              <w:ind w:leftChars="0" w:left="357" w:hanging="357"/>
              <w:rPr>
                <w:rFonts w:eastAsia="標楷體"/>
                <w:kern w:val="0"/>
              </w:rPr>
            </w:pPr>
            <w:r w:rsidRPr="004D451D">
              <w:rPr>
                <w:rFonts w:eastAsia="標楷體"/>
                <w:kern w:val="0"/>
              </w:rPr>
              <w:t>「</w:t>
            </w:r>
            <w:r w:rsidRPr="004D451D">
              <w:rPr>
                <w:rFonts w:eastAsia="標楷體"/>
                <w:kern w:val="0"/>
              </w:rPr>
              <w:t>NSFR</w:t>
            </w:r>
            <w:r w:rsidRPr="004D451D">
              <w:rPr>
                <w:rFonts w:eastAsia="標楷體"/>
                <w:kern w:val="0"/>
              </w:rPr>
              <w:t>衍生性商品資產」扣減「</w:t>
            </w:r>
            <w:r w:rsidRPr="004D451D">
              <w:rPr>
                <w:rFonts w:eastAsia="標楷體"/>
                <w:kern w:val="0"/>
              </w:rPr>
              <w:t>NSFR</w:t>
            </w:r>
            <w:r w:rsidRPr="004D451D">
              <w:rPr>
                <w:rFonts w:eastAsia="標楷體"/>
                <w:kern w:val="0"/>
              </w:rPr>
              <w:t>衍生性商品負債」後之金額與</w:t>
            </w:r>
            <w:r w:rsidRPr="004D451D">
              <w:rPr>
                <w:rFonts w:eastAsia="標楷體"/>
                <w:kern w:val="0"/>
              </w:rPr>
              <w:t>0</w:t>
            </w:r>
            <w:r w:rsidRPr="004D451D">
              <w:rPr>
                <w:rFonts w:eastAsia="標楷體"/>
                <w:kern w:val="0"/>
              </w:rPr>
              <w:t>取孰高，填列本項。</w:t>
            </w:r>
          </w:p>
          <w:p w:rsidR="00AB4AE2" w:rsidRPr="004D451D" w:rsidRDefault="00AB4AE2" w:rsidP="00482E54">
            <w:pPr>
              <w:pStyle w:val="affb"/>
              <w:widowControl/>
              <w:numPr>
                <w:ilvl w:val="1"/>
                <w:numId w:val="64"/>
              </w:numPr>
              <w:ind w:leftChars="0" w:left="357" w:hanging="357"/>
              <w:rPr>
                <w:rFonts w:eastAsia="標楷體"/>
                <w:kern w:val="0"/>
              </w:rPr>
            </w:pPr>
            <w:r w:rsidRPr="004D451D">
              <w:rPr>
                <w:rFonts w:eastAsia="標楷體"/>
                <w:kern w:val="0"/>
              </w:rPr>
              <w:t>填列未加權金額欄位時，無需區分剩餘期間。</w:t>
            </w:r>
          </w:p>
        </w:tc>
      </w:tr>
      <w:tr w:rsidR="004D451D" w:rsidRPr="004D451D" w:rsidTr="00AB4AE2">
        <w:trPr>
          <w:trHeight w:val="1134"/>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30</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衍生性商品負債之</w:t>
            </w:r>
            <w:r w:rsidRPr="004D451D">
              <w:rPr>
                <w:rFonts w:eastAsia="標楷體"/>
                <w:kern w:val="0"/>
              </w:rPr>
              <w:t>20%</w:t>
            </w:r>
          </w:p>
        </w:tc>
        <w:tc>
          <w:tcPr>
            <w:tcW w:w="3199" w:type="pct"/>
            <w:shd w:val="clear" w:color="auto" w:fill="auto"/>
            <w:vAlign w:val="center"/>
            <w:hideMark/>
          </w:tcPr>
          <w:p w:rsidR="00461CF3" w:rsidRPr="004D451D" w:rsidRDefault="00AB4AE2" w:rsidP="00482E54">
            <w:pPr>
              <w:pStyle w:val="affb"/>
              <w:widowControl/>
              <w:numPr>
                <w:ilvl w:val="1"/>
                <w:numId w:val="58"/>
              </w:numPr>
              <w:ind w:leftChars="0" w:left="357" w:hanging="357"/>
              <w:rPr>
                <w:rFonts w:eastAsia="標楷體"/>
                <w:kern w:val="0"/>
              </w:rPr>
            </w:pPr>
            <w:r w:rsidRPr="004D451D">
              <w:rPr>
                <w:rFonts w:eastAsia="標楷體"/>
                <w:kern w:val="0"/>
              </w:rPr>
              <w:t>衍生性商品負債係指衍生性商品契約之重置成本為負數者，取其絕對值，且不得扣減所存出價格變動保證金。以衍生性商品負債之</w:t>
            </w:r>
            <w:r w:rsidRPr="004D451D">
              <w:rPr>
                <w:rFonts w:eastAsia="標楷體"/>
                <w:kern w:val="0"/>
              </w:rPr>
              <w:t>20</w:t>
            </w:r>
            <w:r w:rsidRPr="004D451D">
              <w:rPr>
                <w:rFonts w:eastAsia="標楷體"/>
                <w:kern w:val="0"/>
              </w:rPr>
              <w:t>％填報。</w:t>
            </w:r>
          </w:p>
          <w:p w:rsidR="00AB4AE2" w:rsidRPr="004D451D" w:rsidRDefault="00AB4AE2" w:rsidP="00482E54">
            <w:pPr>
              <w:pStyle w:val="affb"/>
              <w:widowControl/>
              <w:numPr>
                <w:ilvl w:val="1"/>
                <w:numId w:val="58"/>
              </w:numPr>
              <w:ind w:leftChars="0" w:left="357" w:hanging="357"/>
              <w:rPr>
                <w:rFonts w:eastAsia="標楷體"/>
                <w:kern w:val="0"/>
              </w:rPr>
            </w:pPr>
            <w:r w:rsidRPr="004D451D">
              <w:rPr>
                <w:rFonts w:eastAsia="標楷體"/>
                <w:kern w:val="0"/>
              </w:rPr>
              <w:t>填列未加權金額欄位時，無需區分剩餘期間。</w:t>
            </w:r>
            <w:r w:rsidRPr="004D451D">
              <w:rPr>
                <w:rFonts w:eastAsia="標楷體"/>
                <w:kern w:val="0"/>
              </w:rPr>
              <w:t xml:space="preserve"> </w:t>
            </w:r>
          </w:p>
        </w:tc>
      </w:tr>
      <w:tr w:rsidR="004D451D" w:rsidRPr="004D451D" w:rsidTr="00AB4AE2">
        <w:trPr>
          <w:trHeight w:val="1110"/>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31</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非屬上述類別之其他資產</w:t>
            </w:r>
          </w:p>
        </w:tc>
        <w:tc>
          <w:tcPr>
            <w:tcW w:w="3199" w:type="pct"/>
            <w:shd w:val="clear" w:color="auto" w:fill="auto"/>
            <w:vAlign w:val="center"/>
            <w:hideMark/>
          </w:tcPr>
          <w:p w:rsidR="00461CF3" w:rsidRPr="004D451D" w:rsidRDefault="00AB4AE2" w:rsidP="00461CF3">
            <w:pPr>
              <w:widowControl/>
              <w:rPr>
                <w:rFonts w:eastAsia="標楷體"/>
                <w:kern w:val="0"/>
              </w:rPr>
            </w:pPr>
            <w:r w:rsidRPr="004D451D">
              <w:rPr>
                <w:rFonts w:eastAsia="標楷體"/>
                <w:kern w:val="0"/>
              </w:rPr>
              <w:t>非屬上述類別之其他表內資產，包含但不限於以下項目：</w:t>
            </w:r>
          </w:p>
          <w:p w:rsidR="00461CF3" w:rsidRPr="004D451D" w:rsidRDefault="00AB4AE2" w:rsidP="00482E54">
            <w:pPr>
              <w:pStyle w:val="affb"/>
              <w:widowControl/>
              <w:numPr>
                <w:ilvl w:val="1"/>
                <w:numId w:val="56"/>
              </w:numPr>
              <w:ind w:leftChars="0" w:left="357" w:hanging="357"/>
              <w:rPr>
                <w:rFonts w:eastAsia="標楷體"/>
                <w:kern w:val="0"/>
              </w:rPr>
            </w:pPr>
            <w:r w:rsidRPr="004D451D">
              <w:rPr>
                <w:rFonts w:eastAsia="標楷體"/>
                <w:kern w:val="0"/>
              </w:rPr>
              <w:t>出售金融工具、外匯及商品因「交易日」及「交割日」不同所產生之應收款項。</w:t>
            </w:r>
          </w:p>
          <w:p w:rsidR="00AB4AE2" w:rsidRPr="004D451D" w:rsidRDefault="00AB4AE2" w:rsidP="00482E54">
            <w:pPr>
              <w:pStyle w:val="affb"/>
              <w:widowControl/>
              <w:numPr>
                <w:ilvl w:val="1"/>
                <w:numId w:val="56"/>
              </w:numPr>
              <w:ind w:leftChars="0" w:left="357" w:hanging="357"/>
              <w:rPr>
                <w:rFonts w:eastAsia="標楷體"/>
                <w:kern w:val="0"/>
              </w:rPr>
            </w:pPr>
            <w:r w:rsidRPr="004D451D">
              <w:rPr>
                <w:rFonts w:eastAsia="標楷體"/>
                <w:kern w:val="0"/>
              </w:rPr>
              <w:t>逾期放款。</w:t>
            </w:r>
          </w:p>
        </w:tc>
      </w:tr>
      <w:tr w:rsidR="004D451D" w:rsidRPr="004D451D" w:rsidTr="00AB4AE2">
        <w:trPr>
          <w:trHeight w:val="435"/>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32</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資產負債表表外暴險</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包含不可取消及有條件可取消之信用融資額度及流動性融資額度之未動用餘額及其他或有融資負債。</w:t>
            </w:r>
          </w:p>
        </w:tc>
      </w:tr>
      <w:tr w:rsidR="004D451D" w:rsidRPr="004D451D" w:rsidTr="00D77DDB">
        <w:trPr>
          <w:trHeight w:val="594"/>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33</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應有穩定資金總額</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15</w:t>
            </w:r>
            <w:r w:rsidRPr="004D451D">
              <w:rPr>
                <w:rFonts w:eastAsia="標楷體"/>
                <w:kern w:val="0"/>
              </w:rPr>
              <w:t>、項次</w:t>
            </w:r>
            <w:r w:rsidRPr="004D451D">
              <w:rPr>
                <w:rFonts w:eastAsia="標楷體"/>
                <w:kern w:val="0"/>
              </w:rPr>
              <w:t>16</w:t>
            </w:r>
            <w:r w:rsidRPr="004D451D">
              <w:rPr>
                <w:rFonts w:eastAsia="標楷體"/>
                <w:kern w:val="0"/>
              </w:rPr>
              <w:t>、項次</w:t>
            </w:r>
            <w:r w:rsidRPr="004D451D">
              <w:rPr>
                <w:rFonts w:eastAsia="標楷體"/>
                <w:kern w:val="0"/>
              </w:rPr>
              <w:t>17</w:t>
            </w:r>
            <w:r w:rsidRPr="004D451D">
              <w:rPr>
                <w:rFonts w:eastAsia="標楷體"/>
                <w:kern w:val="0"/>
              </w:rPr>
              <w:t>、項次</w:t>
            </w:r>
            <w:r w:rsidRPr="004D451D">
              <w:rPr>
                <w:rFonts w:eastAsia="標楷體"/>
                <w:kern w:val="0"/>
              </w:rPr>
              <w:t>25</w:t>
            </w:r>
            <w:r w:rsidRPr="004D451D">
              <w:rPr>
                <w:rFonts w:eastAsia="標楷體"/>
                <w:kern w:val="0"/>
              </w:rPr>
              <w:t>、項次</w:t>
            </w:r>
            <w:r w:rsidRPr="004D451D">
              <w:rPr>
                <w:rFonts w:eastAsia="標楷體"/>
                <w:kern w:val="0"/>
              </w:rPr>
              <w:t>26</w:t>
            </w:r>
            <w:r w:rsidRPr="004D451D">
              <w:rPr>
                <w:rFonts w:eastAsia="標楷體"/>
                <w:kern w:val="0"/>
              </w:rPr>
              <w:t>及項次</w:t>
            </w:r>
            <w:r w:rsidRPr="004D451D">
              <w:rPr>
                <w:rFonts w:eastAsia="標楷體"/>
                <w:kern w:val="0"/>
              </w:rPr>
              <w:t>32</w:t>
            </w:r>
            <w:r w:rsidRPr="004D451D">
              <w:rPr>
                <w:rFonts w:eastAsia="標楷體"/>
                <w:kern w:val="0"/>
              </w:rPr>
              <w:t>之合計數。</w:t>
            </w:r>
          </w:p>
        </w:tc>
      </w:tr>
      <w:tr w:rsidR="00AB4AE2" w:rsidRPr="004D451D" w:rsidTr="00D77DDB">
        <w:trPr>
          <w:trHeight w:val="689"/>
        </w:trPr>
        <w:tc>
          <w:tcPr>
            <w:tcW w:w="177" w:type="pc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34</w:t>
            </w:r>
          </w:p>
        </w:tc>
        <w:tc>
          <w:tcPr>
            <w:tcW w:w="1624"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淨穩定資金比率</w:t>
            </w:r>
            <w:r w:rsidRPr="004D451D">
              <w:rPr>
                <w:rFonts w:eastAsia="標楷體"/>
                <w:kern w:val="0"/>
              </w:rPr>
              <w:t>(%)</w:t>
            </w:r>
          </w:p>
        </w:tc>
        <w:tc>
          <w:tcPr>
            <w:tcW w:w="3199" w:type="pct"/>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項次</w:t>
            </w:r>
            <w:r w:rsidRPr="004D451D">
              <w:rPr>
                <w:rFonts w:eastAsia="標楷體"/>
                <w:kern w:val="0"/>
              </w:rPr>
              <w:t>14</w:t>
            </w:r>
            <w:r w:rsidRPr="004D451D">
              <w:rPr>
                <w:rFonts w:eastAsia="標楷體"/>
                <w:kern w:val="0"/>
              </w:rPr>
              <w:t>除以項次</w:t>
            </w:r>
            <w:r w:rsidRPr="004D451D">
              <w:rPr>
                <w:rFonts w:eastAsia="標楷體"/>
                <w:kern w:val="0"/>
              </w:rPr>
              <w:t>33</w:t>
            </w:r>
            <w:r w:rsidRPr="004D451D">
              <w:rPr>
                <w:rFonts w:eastAsia="標楷體"/>
                <w:kern w:val="0"/>
              </w:rPr>
              <w:t>乘以</w:t>
            </w:r>
            <w:r w:rsidRPr="004D451D">
              <w:rPr>
                <w:rFonts w:eastAsia="標楷體"/>
                <w:kern w:val="0"/>
              </w:rPr>
              <w:t>100</w:t>
            </w:r>
            <w:r w:rsidRPr="004D451D">
              <w:rPr>
                <w:rFonts w:eastAsia="標楷體"/>
                <w:kern w:val="0"/>
              </w:rPr>
              <w:t>。</w:t>
            </w:r>
          </w:p>
        </w:tc>
      </w:tr>
    </w:tbl>
    <w:p w:rsidR="00AB4AE2" w:rsidRPr="004D451D" w:rsidRDefault="00AB4AE2" w:rsidP="00AB4AE2">
      <w:pPr>
        <w:widowControl/>
        <w:spacing w:line="340" w:lineRule="exact"/>
        <w:jc w:val="both"/>
        <w:rPr>
          <w:rFonts w:ascii="Calibri" w:eastAsia="標楷體" w:hAnsi="Calibri"/>
          <w:kern w:val="0"/>
        </w:rPr>
      </w:pPr>
    </w:p>
    <w:p w:rsidR="00AB4AE2" w:rsidRPr="004D451D" w:rsidRDefault="00AB4AE2" w:rsidP="00AB4AE2">
      <w:pPr>
        <w:spacing w:line="340" w:lineRule="exact"/>
        <w:jc w:val="both"/>
        <w:rPr>
          <w:rFonts w:ascii="標楷體" w:eastAsia="標楷體" w:hAnsi="標楷體"/>
        </w:rPr>
        <w:sectPr w:rsidR="00AB4AE2" w:rsidRPr="004D451D" w:rsidSect="00ED4EB3">
          <w:pgSz w:w="16838" w:h="11906" w:orient="landscape" w:code="9"/>
          <w:pgMar w:top="1247" w:right="907" w:bottom="1247" w:left="737" w:header="851" w:footer="397" w:gutter="0"/>
          <w:cols w:space="425"/>
          <w:docGrid w:type="linesAndChars" w:linePitch="360"/>
        </w:sectPr>
      </w:pPr>
    </w:p>
    <w:p w:rsidR="00AB4AE2" w:rsidRPr="004D451D" w:rsidRDefault="00AB4AE2" w:rsidP="00AB4AE2">
      <w:pPr>
        <w:spacing w:line="340" w:lineRule="exact"/>
        <w:jc w:val="both"/>
        <w:rPr>
          <w:rFonts w:ascii="標楷體" w:eastAsia="標楷體" w:hAnsi="標楷體" w:cs="新細明體"/>
          <w:b/>
          <w:bCs/>
          <w:kern w:val="0"/>
        </w:rPr>
      </w:pPr>
      <w:r w:rsidRPr="004D451D">
        <w:rPr>
          <w:rFonts w:eastAsia="標楷體"/>
          <w:sz w:val="32"/>
          <w:szCs w:val="32"/>
        </w:rPr>
        <w:t>【</w:t>
      </w:r>
      <w:r w:rsidRPr="004D451D">
        <w:rPr>
          <w:rFonts w:eastAsia="標楷體"/>
          <w:b/>
          <w:sz w:val="32"/>
          <w:szCs w:val="32"/>
        </w:rPr>
        <w:t>附表</w:t>
      </w:r>
      <w:r w:rsidRPr="004D451D">
        <w:rPr>
          <w:rFonts w:eastAsia="標楷體" w:hint="eastAsia"/>
          <w:b/>
          <w:sz w:val="32"/>
          <w:szCs w:val="32"/>
        </w:rPr>
        <w:t>五十三</w:t>
      </w:r>
      <w:r w:rsidRPr="004D451D">
        <w:rPr>
          <w:rFonts w:eastAsia="標楷體"/>
          <w:sz w:val="32"/>
          <w:szCs w:val="32"/>
        </w:rPr>
        <w:t>】</w:t>
      </w:r>
    </w:p>
    <w:p w:rsidR="00AB4AE2" w:rsidRPr="004D451D" w:rsidRDefault="00AB4AE2" w:rsidP="00AB4AE2">
      <w:pPr>
        <w:pStyle w:val="ad"/>
        <w:spacing w:before="120" w:after="120" w:line="240" w:lineRule="auto"/>
        <w:ind w:left="0" w:rightChars="11" w:right="26" w:firstLine="0"/>
        <w:jc w:val="center"/>
        <w:rPr>
          <w:rFonts w:ascii="Times New Roman" w:hAnsi="Times New Roman"/>
          <w:b/>
          <w:szCs w:val="32"/>
        </w:rPr>
      </w:pPr>
      <w:r w:rsidRPr="004D451D">
        <w:rPr>
          <w:rFonts w:ascii="Times New Roman" w:hAnsi="Times New Roman" w:hint="eastAsia"/>
          <w:b/>
          <w:szCs w:val="32"/>
        </w:rPr>
        <w:t>薪酬政策揭露表</w:t>
      </w:r>
    </w:p>
    <w:p w:rsidR="00AB4AE2" w:rsidRPr="004D451D" w:rsidRDefault="00FB0A66" w:rsidP="00AB4AE2">
      <w:pPr>
        <w:pStyle w:val="ad"/>
        <w:spacing w:before="120" w:after="120" w:line="240" w:lineRule="auto"/>
        <w:ind w:right="-54"/>
        <w:jc w:val="center"/>
        <w:rPr>
          <w:rFonts w:ascii="Times New Roman" w:hAnsi="Times New Roman"/>
          <w:szCs w:val="32"/>
        </w:rPr>
      </w:pPr>
      <w:r w:rsidRPr="004D451D">
        <w:rPr>
          <w:rFonts w:ascii="Times New Roman" w:hAnsi="Times New Roman" w:hint="eastAsia"/>
          <w:szCs w:val="32"/>
        </w:rPr>
        <w:t>10</w:t>
      </w:r>
      <w:r w:rsidR="00B00E71" w:rsidRPr="004D451D">
        <w:rPr>
          <w:rFonts w:ascii="Times New Roman" w:hAnsi="Times New Roman" w:hint="eastAsia"/>
          <w:szCs w:val="32"/>
        </w:rPr>
        <w:t>7</w:t>
      </w:r>
      <w:r w:rsidR="00AB4AE2" w:rsidRPr="004D451D">
        <w:rPr>
          <w:rFonts w:ascii="Times New Roman" w:hAnsi="Times New Roman"/>
          <w:szCs w:val="32"/>
        </w:rPr>
        <w:t>年</w:t>
      </w:r>
      <w:r w:rsidR="00B00E71" w:rsidRPr="004D451D">
        <w:rPr>
          <w:rFonts w:ascii="Times New Roman" w:hAnsi="Times New Roman" w:hint="eastAsia"/>
          <w:szCs w:val="32"/>
        </w:rPr>
        <w:t>06</w:t>
      </w:r>
      <w:r w:rsidR="00AB4AE2" w:rsidRPr="004D451D">
        <w:rPr>
          <w:rFonts w:ascii="Times New Roman" w:hAnsi="Times New Roman"/>
          <w:szCs w:val="32"/>
        </w:rPr>
        <w:t>月</w:t>
      </w:r>
      <w:r w:rsidRPr="004D451D">
        <w:rPr>
          <w:rFonts w:ascii="Times New Roman" w:hAnsi="Times New Roman" w:hint="eastAsia"/>
          <w:szCs w:val="32"/>
        </w:rPr>
        <w:t>3</w:t>
      </w:r>
      <w:r w:rsidR="00B00E71" w:rsidRPr="004D451D">
        <w:rPr>
          <w:rFonts w:ascii="Times New Roman" w:hAnsi="Times New Roman" w:hint="eastAsia"/>
          <w:szCs w:val="32"/>
        </w:rPr>
        <w:t>0</w:t>
      </w:r>
      <w:r w:rsidR="00AB4AE2" w:rsidRPr="004D451D">
        <w:rPr>
          <w:rFonts w:ascii="Times New Roman" w:hAnsi="Times New Roman"/>
          <w:szCs w:val="32"/>
        </w:rPr>
        <w:t>日</w:t>
      </w:r>
    </w:p>
    <w:tbl>
      <w:tblPr>
        <w:tblW w:w="96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7"/>
        <w:gridCol w:w="2770"/>
        <w:gridCol w:w="6662"/>
      </w:tblGrid>
      <w:tr w:rsidR="004D451D" w:rsidRPr="004D451D" w:rsidTr="000A16EB">
        <w:trPr>
          <w:trHeight w:val="170"/>
        </w:trPr>
        <w:tc>
          <w:tcPr>
            <w:tcW w:w="9649" w:type="dxa"/>
            <w:gridSpan w:val="3"/>
            <w:shd w:val="clear" w:color="000000" w:fill="D9D9D9"/>
            <w:noWrap/>
            <w:vAlign w:val="center"/>
            <w:hideMark/>
          </w:tcPr>
          <w:p w:rsidR="00AB4AE2" w:rsidRPr="004D451D" w:rsidRDefault="00AB4AE2" w:rsidP="00AB4AE2">
            <w:pPr>
              <w:widowControl/>
              <w:rPr>
                <w:rFonts w:eastAsia="標楷體"/>
                <w:kern w:val="0"/>
              </w:rPr>
            </w:pPr>
            <w:r w:rsidRPr="004D451D">
              <w:rPr>
                <w:rFonts w:eastAsia="標楷體"/>
                <w:kern w:val="0"/>
              </w:rPr>
              <w:t>(</w:t>
            </w:r>
            <w:r w:rsidR="00F1066D" w:rsidRPr="004D451D">
              <w:rPr>
                <w:rFonts w:eastAsia="標楷體" w:hint="eastAsia"/>
                <w:kern w:val="0"/>
              </w:rPr>
              <w:t>A</w:t>
            </w:r>
            <w:r w:rsidRPr="004D451D">
              <w:rPr>
                <w:rFonts w:eastAsia="標楷體"/>
                <w:kern w:val="0"/>
              </w:rPr>
              <w:t>)</w:t>
            </w:r>
            <w:r w:rsidRPr="004D451D">
              <w:rPr>
                <w:rFonts w:eastAsia="標楷體"/>
                <w:kern w:val="0"/>
              </w:rPr>
              <w:t>薪酬監督部門的相關資訊</w:t>
            </w:r>
          </w:p>
        </w:tc>
      </w:tr>
      <w:tr w:rsidR="004D451D" w:rsidRPr="004D451D" w:rsidTr="0025185D">
        <w:trPr>
          <w:trHeight w:val="1055"/>
        </w:trPr>
        <w:tc>
          <w:tcPr>
            <w:tcW w:w="217" w:type="dxa"/>
            <w:shd w:val="clear" w:color="auto" w:fill="auto"/>
            <w:noWrap/>
            <w:vAlign w:val="center"/>
            <w:hideMark/>
          </w:tcPr>
          <w:p w:rsidR="00461CF3" w:rsidRPr="004D451D" w:rsidRDefault="00461CF3" w:rsidP="00AB4AE2">
            <w:pPr>
              <w:widowControl/>
              <w:jc w:val="center"/>
              <w:rPr>
                <w:rFonts w:eastAsia="標楷體"/>
                <w:kern w:val="0"/>
              </w:rPr>
            </w:pPr>
            <w:r w:rsidRPr="004D451D">
              <w:rPr>
                <w:rFonts w:eastAsia="標楷體"/>
                <w:kern w:val="0"/>
              </w:rPr>
              <w:t>1</w:t>
            </w:r>
          </w:p>
        </w:tc>
        <w:tc>
          <w:tcPr>
            <w:tcW w:w="2770" w:type="dxa"/>
            <w:shd w:val="clear" w:color="auto" w:fill="auto"/>
            <w:noWrap/>
            <w:vAlign w:val="center"/>
            <w:hideMark/>
          </w:tcPr>
          <w:p w:rsidR="00461CF3" w:rsidRPr="004D451D" w:rsidRDefault="00461CF3" w:rsidP="00AB4AE2">
            <w:pPr>
              <w:widowControl/>
              <w:rPr>
                <w:rFonts w:eastAsia="標楷體"/>
                <w:kern w:val="0"/>
              </w:rPr>
            </w:pPr>
            <w:r w:rsidRPr="004D451D">
              <w:rPr>
                <w:rFonts w:eastAsia="標楷體"/>
                <w:kern w:val="0"/>
              </w:rPr>
              <w:t>主要薪酬監督部門名稱、組成及職責</w:t>
            </w:r>
          </w:p>
        </w:tc>
        <w:tc>
          <w:tcPr>
            <w:tcW w:w="6662" w:type="dxa"/>
            <w:shd w:val="clear" w:color="auto" w:fill="auto"/>
            <w:vAlign w:val="center"/>
          </w:tcPr>
          <w:p w:rsidR="00F05AD9" w:rsidRPr="004D451D" w:rsidRDefault="00F05AD9" w:rsidP="00F05AD9">
            <w:pPr>
              <w:ind w:leftChars="13" w:left="533" w:hangingChars="209" w:hanging="502"/>
              <w:rPr>
                <w:rFonts w:ascii="標楷體" w:eastAsia="標楷體" w:hAnsi="標楷體"/>
              </w:rPr>
            </w:pPr>
            <w:r w:rsidRPr="004D451D">
              <w:rPr>
                <w:rFonts w:ascii="標楷體" w:eastAsia="標楷體" w:hAnsi="標楷體" w:hint="eastAsia"/>
              </w:rPr>
              <w:t>一、本公司設有「薪資報酬委員會」，該委員會成員人數不得少於三人，半數以上成員為獨立董事，由董事會決議委任之，其中一人為召集人。</w:t>
            </w:r>
          </w:p>
          <w:p w:rsidR="00F05AD9" w:rsidRPr="004D451D" w:rsidRDefault="00F05AD9" w:rsidP="00F05AD9">
            <w:pPr>
              <w:ind w:leftChars="7" w:left="533" w:hangingChars="215" w:hanging="516"/>
              <w:rPr>
                <w:rFonts w:ascii="標楷體" w:eastAsia="標楷體" w:hAnsi="標楷體"/>
              </w:rPr>
            </w:pPr>
            <w:r w:rsidRPr="004D451D">
              <w:rPr>
                <w:rFonts w:ascii="標楷體" w:eastAsia="標楷體" w:hAnsi="標楷體" w:hint="eastAsia"/>
              </w:rPr>
              <w:t>二、「薪資報酬委員會」應以善良管理人之注意，忠實履行下列職權，並將所提建議提交董事會討論：</w:t>
            </w:r>
          </w:p>
          <w:p w:rsidR="00F05AD9" w:rsidRPr="004D451D" w:rsidRDefault="00F05AD9" w:rsidP="00F05AD9">
            <w:pPr>
              <w:ind w:leftChars="228" w:left="1041" w:hangingChars="206" w:hanging="494"/>
              <w:rPr>
                <w:rFonts w:ascii="標楷體" w:eastAsia="標楷體" w:hAnsi="標楷體"/>
              </w:rPr>
            </w:pPr>
            <w:r w:rsidRPr="004D451D">
              <w:rPr>
                <w:rFonts w:ascii="標楷體" w:eastAsia="標楷體" w:hAnsi="標楷體" w:hint="eastAsia"/>
              </w:rPr>
              <w:t>(一)定期檢討本規程並提出修正建議。</w:t>
            </w:r>
          </w:p>
          <w:p w:rsidR="00F05AD9" w:rsidRPr="004D451D" w:rsidRDefault="00F05AD9" w:rsidP="00F05AD9">
            <w:pPr>
              <w:ind w:leftChars="235" w:left="1039" w:hangingChars="198" w:hanging="475"/>
              <w:rPr>
                <w:rFonts w:ascii="標楷體" w:eastAsia="標楷體" w:hAnsi="標楷體"/>
              </w:rPr>
            </w:pPr>
            <w:r w:rsidRPr="004D451D">
              <w:rPr>
                <w:rFonts w:ascii="標楷體" w:eastAsia="標楷體" w:hAnsi="標楷體" w:hint="eastAsia"/>
              </w:rPr>
              <w:t>(二)訂定並定期檢討本公司董事及經理人年度及長期之績效目標與薪資報酬之政策、制度、標準與結構。</w:t>
            </w:r>
          </w:p>
          <w:p w:rsidR="00461CF3" w:rsidRPr="004D451D" w:rsidRDefault="00F05AD9" w:rsidP="007B307E">
            <w:pPr>
              <w:widowControl/>
              <w:ind w:leftChars="250" w:left="1080" w:hangingChars="200" w:hanging="480"/>
              <w:rPr>
                <w:rFonts w:eastAsia="標楷體"/>
                <w:kern w:val="0"/>
              </w:rPr>
            </w:pPr>
            <w:r w:rsidRPr="004D451D">
              <w:rPr>
                <w:rFonts w:ascii="標楷體" w:eastAsia="標楷體" w:hAnsi="標楷體" w:hint="eastAsia"/>
              </w:rPr>
              <w:t>(三)定期評估本公司董事及經理人之績效目標達成情形，並訂定其個別薪資報酬之內容及數額。</w:t>
            </w:r>
          </w:p>
        </w:tc>
      </w:tr>
      <w:tr w:rsidR="004D451D" w:rsidRPr="004D451D" w:rsidTr="0025185D">
        <w:trPr>
          <w:trHeight w:val="532"/>
        </w:trPr>
        <w:tc>
          <w:tcPr>
            <w:tcW w:w="217" w:type="dxa"/>
            <w:vMerge w:val="restar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2</w:t>
            </w:r>
          </w:p>
        </w:tc>
        <w:tc>
          <w:tcPr>
            <w:tcW w:w="2770" w:type="dxa"/>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受薪酬監督部門諮詢之外部顧問名稱</w:t>
            </w:r>
          </w:p>
        </w:tc>
        <w:tc>
          <w:tcPr>
            <w:tcW w:w="6662" w:type="dxa"/>
            <w:shd w:val="clear" w:color="auto" w:fill="auto"/>
            <w:noWrap/>
            <w:vAlign w:val="center"/>
            <w:hideMark/>
          </w:tcPr>
          <w:p w:rsidR="00AB4AE2" w:rsidRPr="004D451D" w:rsidRDefault="00F05AD9" w:rsidP="00AB4AE2">
            <w:pPr>
              <w:widowControl/>
              <w:jc w:val="both"/>
              <w:rPr>
                <w:rFonts w:eastAsia="標楷體"/>
                <w:kern w:val="0"/>
              </w:rPr>
            </w:pPr>
            <w:r w:rsidRPr="004D451D">
              <w:rPr>
                <w:rFonts w:ascii="標楷體" w:eastAsia="標楷體" w:hAnsi="標楷體" w:cs="新細明體" w:hint="eastAsia"/>
                <w:kern w:val="0"/>
              </w:rPr>
              <w:t>本公司未委託外部顧問辦理薪酬規劃及諮詢。</w:t>
            </w:r>
          </w:p>
        </w:tc>
      </w:tr>
      <w:tr w:rsidR="004D451D" w:rsidRPr="004D451D" w:rsidTr="0025185D">
        <w:trPr>
          <w:trHeight w:val="1121"/>
        </w:trPr>
        <w:tc>
          <w:tcPr>
            <w:tcW w:w="217" w:type="dxa"/>
            <w:vMerge/>
            <w:vAlign w:val="center"/>
            <w:hideMark/>
          </w:tcPr>
          <w:p w:rsidR="00AB4AE2" w:rsidRPr="004D451D" w:rsidRDefault="00AB4AE2" w:rsidP="00AB4AE2">
            <w:pPr>
              <w:widowControl/>
              <w:rPr>
                <w:rFonts w:eastAsia="標楷體"/>
                <w:kern w:val="0"/>
              </w:rPr>
            </w:pPr>
          </w:p>
        </w:tc>
        <w:tc>
          <w:tcPr>
            <w:tcW w:w="2770" w:type="dxa"/>
            <w:shd w:val="clear" w:color="auto" w:fill="auto"/>
            <w:noWrap/>
            <w:vAlign w:val="center"/>
            <w:hideMark/>
          </w:tcPr>
          <w:p w:rsidR="00AB4AE2" w:rsidRPr="004D451D" w:rsidRDefault="00461CF3" w:rsidP="00AB4AE2">
            <w:pPr>
              <w:widowControl/>
              <w:rPr>
                <w:rFonts w:eastAsia="標楷體"/>
                <w:kern w:val="0"/>
              </w:rPr>
            </w:pPr>
            <w:r w:rsidRPr="004D451D">
              <w:rPr>
                <w:rFonts w:eastAsia="標楷體" w:hint="eastAsia"/>
                <w:kern w:val="0"/>
              </w:rPr>
              <w:t>諮詢之業務內容</w:t>
            </w:r>
          </w:p>
        </w:tc>
        <w:tc>
          <w:tcPr>
            <w:tcW w:w="6662" w:type="dxa"/>
            <w:shd w:val="clear" w:color="auto" w:fill="auto"/>
            <w:noWrap/>
            <w:vAlign w:val="center"/>
            <w:hideMark/>
          </w:tcPr>
          <w:p w:rsidR="00AB4AE2" w:rsidRPr="004D451D" w:rsidRDefault="00F05AD9" w:rsidP="00AB4AE2">
            <w:pPr>
              <w:widowControl/>
              <w:rPr>
                <w:rFonts w:eastAsia="標楷體"/>
                <w:kern w:val="0"/>
              </w:rPr>
            </w:pPr>
            <w:r w:rsidRPr="004D451D">
              <w:rPr>
                <w:rFonts w:ascii="標楷體" w:eastAsia="標楷體" w:hAnsi="標楷體" w:cs="新細明體" w:hint="eastAsia"/>
                <w:kern w:val="0"/>
              </w:rPr>
              <w:t>不適用</w:t>
            </w:r>
          </w:p>
        </w:tc>
      </w:tr>
      <w:tr w:rsidR="004D451D" w:rsidRPr="004D451D" w:rsidTr="0025185D">
        <w:trPr>
          <w:trHeight w:val="680"/>
        </w:trPr>
        <w:tc>
          <w:tcPr>
            <w:tcW w:w="217" w:type="dxa"/>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3</w:t>
            </w:r>
          </w:p>
        </w:tc>
        <w:tc>
          <w:tcPr>
            <w:tcW w:w="2770" w:type="dxa"/>
            <w:shd w:val="clear" w:color="auto" w:fill="auto"/>
            <w:vAlign w:val="center"/>
            <w:hideMark/>
          </w:tcPr>
          <w:p w:rsidR="00AB4AE2" w:rsidRPr="004D451D" w:rsidRDefault="00AB4AE2" w:rsidP="00AB4AE2">
            <w:pPr>
              <w:widowControl/>
              <w:rPr>
                <w:rFonts w:eastAsia="標楷體"/>
                <w:kern w:val="0"/>
              </w:rPr>
            </w:pPr>
            <w:r w:rsidRPr="004D451D">
              <w:rPr>
                <w:rFonts w:eastAsia="標楷體"/>
                <w:kern w:val="0"/>
              </w:rPr>
              <w:t>薪酬政策的範圍</w:t>
            </w:r>
            <w:r w:rsidRPr="004D451D">
              <w:rPr>
                <w:rFonts w:eastAsia="標楷體"/>
                <w:kern w:val="0"/>
              </w:rPr>
              <w:t>(</w:t>
            </w:r>
            <w:r w:rsidRPr="004D451D">
              <w:rPr>
                <w:rFonts w:eastAsia="標楷體"/>
                <w:kern w:val="0"/>
              </w:rPr>
              <w:t>例如：地區別、業務別</w:t>
            </w:r>
            <w:r w:rsidRPr="004D451D">
              <w:rPr>
                <w:rFonts w:eastAsia="標楷體"/>
                <w:kern w:val="0"/>
              </w:rPr>
              <w:t>)</w:t>
            </w:r>
            <w:r w:rsidRPr="004D451D">
              <w:rPr>
                <w:rFonts w:eastAsia="標楷體"/>
                <w:kern w:val="0"/>
              </w:rPr>
              <w:t>，包含適用之國外分行</w:t>
            </w:r>
          </w:p>
        </w:tc>
        <w:tc>
          <w:tcPr>
            <w:tcW w:w="6662" w:type="dxa"/>
            <w:shd w:val="clear" w:color="auto" w:fill="auto"/>
            <w:noWrap/>
            <w:vAlign w:val="center"/>
            <w:hideMark/>
          </w:tcPr>
          <w:p w:rsidR="00AB4AE2" w:rsidRPr="004D451D" w:rsidRDefault="00F05AD9" w:rsidP="00461CF3">
            <w:pPr>
              <w:widowControl/>
              <w:rPr>
                <w:rFonts w:eastAsia="標楷體"/>
                <w:kern w:val="0"/>
              </w:rPr>
            </w:pPr>
            <w:r w:rsidRPr="004D451D">
              <w:rPr>
                <w:rFonts w:ascii="標楷體" w:eastAsia="標楷體" w:hAnsi="標楷體" w:cs="新細明體" w:hint="eastAsia"/>
                <w:kern w:val="0"/>
              </w:rPr>
              <w:t>本行無海外分行</w:t>
            </w:r>
            <w:r w:rsidRPr="004D451D">
              <w:rPr>
                <w:rFonts w:ascii="新細明體" w:hAnsi="新細明體" w:cs="新細明體" w:hint="eastAsia"/>
                <w:kern w:val="0"/>
              </w:rPr>
              <w:t>，</w:t>
            </w:r>
            <w:r w:rsidRPr="004D451D">
              <w:rPr>
                <w:rFonts w:ascii="標楷體" w:eastAsia="標楷體" w:hAnsi="標楷體" w:cs="新細明體" w:hint="eastAsia"/>
                <w:kern w:val="0"/>
              </w:rPr>
              <w:t>薪酬政策揭露範圍為國內總、分行，並以台灣地區薪酬制度為基準。</w:t>
            </w:r>
          </w:p>
        </w:tc>
      </w:tr>
      <w:tr w:rsidR="004D451D" w:rsidRPr="004D451D" w:rsidTr="0025185D">
        <w:trPr>
          <w:trHeight w:val="330"/>
        </w:trPr>
        <w:tc>
          <w:tcPr>
            <w:tcW w:w="217" w:type="dxa"/>
            <w:vMerge w:val="restart"/>
            <w:shd w:val="clear" w:color="auto" w:fill="auto"/>
            <w:noWrap/>
            <w:vAlign w:val="center"/>
            <w:hideMark/>
          </w:tcPr>
          <w:p w:rsidR="00AB4AE2" w:rsidRPr="004D451D" w:rsidRDefault="00AB4AE2" w:rsidP="00AB4AE2">
            <w:pPr>
              <w:widowControl/>
              <w:jc w:val="center"/>
              <w:rPr>
                <w:rFonts w:eastAsia="標楷體"/>
                <w:kern w:val="0"/>
              </w:rPr>
            </w:pPr>
            <w:r w:rsidRPr="004D451D">
              <w:rPr>
                <w:rFonts w:eastAsia="標楷體"/>
                <w:kern w:val="0"/>
              </w:rPr>
              <w:t>4</w:t>
            </w:r>
          </w:p>
        </w:tc>
        <w:tc>
          <w:tcPr>
            <w:tcW w:w="2770" w:type="dxa"/>
            <w:shd w:val="clear" w:color="auto" w:fill="auto"/>
            <w:noWrap/>
            <w:vAlign w:val="center"/>
            <w:hideMark/>
          </w:tcPr>
          <w:p w:rsidR="00AB4AE2" w:rsidRPr="004D451D" w:rsidRDefault="00AB4AE2" w:rsidP="00AB4AE2">
            <w:pPr>
              <w:widowControl/>
              <w:rPr>
                <w:rFonts w:eastAsia="標楷體"/>
                <w:b/>
                <w:bCs/>
                <w:kern w:val="0"/>
              </w:rPr>
            </w:pPr>
            <w:r w:rsidRPr="004D451D">
              <w:rPr>
                <w:rFonts w:eastAsia="標楷體"/>
                <w:b/>
                <w:bCs/>
                <w:kern w:val="0"/>
              </w:rPr>
              <w:t>員工類型</w:t>
            </w:r>
          </w:p>
        </w:tc>
        <w:tc>
          <w:tcPr>
            <w:tcW w:w="6662" w:type="dxa"/>
            <w:shd w:val="clear" w:color="auto" w:fill="auto"/>
            <w:noWrap/>
            <w:vAlign w:val="center"/>
            <w:hideMark/>
          </w:tcPr>
          <w:p w:rsidR="00AB4AE2" w:rsidRPr="004D451D" w:rsidRDefault="00AB4AE2" w:rsidP="00AB4AE2">
            <w:pPr>
              <w:widowControl/>
              <w:rPr>
                <w:rFonts w:eastAsia="標楷體"/>
                <w:b/>
                <w:bCs/>
                <w:kern w:val="0"/>
              </w:rPr>
            </w:pPr>
            <w:r w:rsidRPr="004D451D">
              <w:rPr>
                <w:rFonts w:eastAsia="標楷體"/>
                <w:b/>
                <w:bCs/>
                <w:kern w:val="0"/>
              </w:rPr>
              <w:t>類型描述</w:t>
            </w:r>
          </w:p>
        </w:tc>
      </w:tr>
      <w:tr w:rsidR="004D451D" w:rsidRPr="004D451D" w:rsidTr="0025185D">
        <w:trPr>
          <w:trHeight w:val="330"/>
        </w:trPr>
        <w:tc>
          <w:tcPr>
            <w:tcW w:w="217" w:type="dxa"/>
            <w:vMerge/>
            <w:vAlign w:val="center"/>
            <w:hideMark/>
          </w:tcPr>
          <w:p w:rsidR="00F05AD9" w:rsidRPr="004D451D" w:rsidRDefault="00F05AD9" w:rsidP="00AB4AE2">
            <w:pPr>
              <w:widowControl/>
              <w:rPr>
                <w:rFonts w:eastAsia="標楷體"/>
                <w:kern w:val="0"/>
              </w:rPr>
            </w:pPr>
          </w:p>
        </w:tc>
        <w:tc>
          <w:tcPr>
            <w:tcW w:w="2770" w:type="dxa"/>
            <w:shd w:val="clear" w:color="auto" w:fill="auto"/>
            <w:noWrap/>
            <w:vAlign w:val="center"/>
            <w:hideMark/>
          </w:tcPr>
          <w:p w:rsidR="00F05AD9" w:rsidRPr="004D451D" w:rsidRDefault="00F05AD9" w:rsidP="00AB4AE2">
            <w:pPr>
              <w:widowControl/>
              <w:rPr>
                <w:rFonts w:eastAsia="標楷體"/>
                <w:kern w:val="0"/>
              </w:rPr>
            </w:pPr>
            <w:r w:rsidRPr="004D451D">
              <w:rPr>
                <w:rFonts w:eastAsia="標楷體"/>
                <w:kern w:val="0"/>
              </w:rPr>
              <w:t>高階管理人員</w:t>
            </w:r>
          </w:p>
        </w:tc>
        <w:tc>
          <w:tcPr>
            <w:tcW w:w="6662" w:type="dxa"/>
            <w:shd w:val="clear" w:color="auto" w:fill="auto"/>
            <w:noWrap/>
            <w:vAlign w:val="center"/>
            <w:hideMark/>
          </w:tcPr>
          <w:p w:rsidR="00F05AD9" w:rsidRPr="004D451D" w:rsidRDefault="00F05AD9" w:rsidP="00BD428E">
            <w:pPr>
              <w:widowControl/>
              <w:rPr>
                <w:rFonts w:eastAsia="標楷體"/>
                <w:kern w:val="0"/>
              </w:rPr>
            </w:pPr>
            <w:r w:rsidRPr="004D451D">
              <w:rPr>
                <w:rFonts w:ascii="標楷體" w:eastAsia="標楷體" w:hAnsi="標楷體" w:cs="新細明體" w:hint="eastAsia"/>
                <w:kern w:val="0"/>
              </w:rPr>
              <w:t>總經理、副總經理</w:t>
            </w:r>
            <w:r w:rsidRPr="004D451D">
              <w:rPr>
                <w:rFonts w:ascii="新細明體" w:hAnsi="新細明體" w:cs="新細明體" w:hint="eastAsia"/>
                <w:kern w:val="0"/>
              </w:rPr>
              <w:t>、</w:t>
            </w:r>
            <w:r w:rsidRPr="004D451D">
              <w:rPr>
                <w:rFonts w:ascii="標楷體" w:eastAsia="標楷體" w:hAnsi="標楷體" w:cs="新細明體" w:hint="eastAsia"/>
                <w:kern w:val="0"/>
              </w:rPr>
              <w:t>總稽核</w:t>
            </w:r>
          </w:p>
        </w:tc>
      </w:tr>
      <w:tr w:rsidR="004D451D" w:rsidRPr="004D451D" w:rsidTr="0025185D">
        <w:trPr>
          <w:trHeight w:val="345"/>
        </w:trPr>
        <w:tc>
          <w:tcPr>
            <w:tcW w:w="217" w:type="dxa"/>
            <w:vMerge/>
            <w:vAlign w:val="center"/>
            <w:hideMark/>
          </w:tcPr>
          <w:p w:rsidR="00F05AD9" w:rsidRPr="004D451D" w:rsidRDefault="00F05AD9" w:rsidP="00AB4AE2">
            <w:pPr>
              <w:widowControl/>
              <w:rPr>
                <w:rFonts w:eastAsia="標楷體"/>
                <w:kern w:val="0"/>
              </w:rPr>
            </w:pPr>
          </w:p>
        </w:tc>
        <w:tc>
          <w:tcPr>
            <w:tcW w:w="2770" w:type="dxa"/>
            <w:shd w:val="clear" w:color="auto" w:fill="auto"/>
            <w:noWrap/>
            <w:vAlign w:val="center"/>
            <w:hideMark/>
          </w:tcPr>
          <w:p w:rsidR="00F05AD9" w:rsidRPr="004D451D" w:rsidRDefault="00F05AD9" w:rsidP="00AB4AE2">
            <w:pPr>
              <w:widowControl/>
              <w:rPr>
                <w:rFonts w:eastAsia="標楷體"/>
                <w:kern w:val="0"/>
              </w:rPr>
            </w:pPr>
            <w:r w:rsidRPr="004D451D">
              <w:rPr>
                <w:rFonts w:eastAsia="標楷體"/>
                <w:kern w:val="0"/>
              </w:rPr>
              <w:t>其他重大風險承擔人</w:t>
            </w:r>
          </w:p>
        </w:tc>
        <w:tc>
          <w:tcPr>
            <w:tcW w:w="6662" w:type="dxa"/>
            <w:shd w:val="clear" w:color="auto" w:fill="auto"/>
            <w:noWrap/>
            <w:vAlign w:val="center"/>
            <w:hideMark/>
          </w:tcPr>
          <w:p w:rsidR="00F05AD9" w:rsidRPr="004D451D" w:rsidRDefault="00F05AD9" w:rsidP="00BD428E">
            <w:pPr>
              <w:widowControl/>
              <w:rPr>
                <w:rFonts w:eastAsia="標楷體"/>
                <w:kern w:val="0"/>
              </w:rPr>
            </w:pPr>
            <w:r w:rsidRPr="004D451D">
              <w:rPr>
                <w:rFonts w:ascii="標楷體" w:eastAsia="標楷體" w:hAnsi="標楷體" w:cs="新細明體" w:hint="eastAsia"/>
                <w:kern w:val="0"/>
              </w:rPr>
              <w:t>協理</w:t>
            </w:r>
          </w:p>
        </w:tc>
      </w:tr>
      <w:tr w:rsidR="004D451D" w:rsidRPr="004D451D" w:rsidTr="000A16EB">
        <w:trPr>
          <w:trHeight w:val="345"/>
        </w:trPr>
        <w:tc>
          <w:tcPr>
            <w:tcW w:w="9649" w:type="dxa"/>
            <w:gridSpan w:val="3"/>
            <w:tcBorders>
              <w:left w:val="nil"/>
              <w:right w:val="nil"/>
            </w:tcBorders>
            <w:shd w:val="clear" w:color="auto" w:fill="auto"/>
            <w:noWrap/>
            <w:vAlign w:val="center"/>
            <w:hideMark/>
          </w:tcPr>
          <w:p w:rsidR="00F05AD9" w:rsidRPr="004D451D" w:rsidRDefault="00F05AD9" w:rsidP="00AB4AE2">
            <w:pPr>
              <w:widowControl/>
              <w:jc w:val="center"/>
              <w:rPr>
                <w:rFonts w:eastAsia="標楷體"/>
                <w:kern w:val="0"/>
              </w:rPr>
            </w:pPr>
          </w:p>
        </w:tc>
      </w:tr>
      <w:tr w:rsidR="004D451D" w:rsidRPr="004D451D" w:rsidTr="000A16EB">
        <w:trPr>
          <w:trHeight w:val="345"/>
        </w:trPr>
        <w:tc>
          <w:tcPr>
            <w:tcW w:w="9649" w:type="dxa"/>
            <w:gridSpan w:val="3"/>
            <w:shd w:val="clear" w:color="000000" w:fill="D9D9D9"/>
            <w:noWrap/>
            <w:vAlign w:val="center"/>
            <w:hideMark/>
          </w:tcPr>
          <w:p w:rsidR="00F05AD9" w:rsidRPr="004D451D" w:rsidRDefault="00F05AD9" w:rsidP="00AB4AE2">
            <w:pPr>
              <w:widowControl/>
              <w:rPr>
                <w:rFonts w:eastAsia="標楷體"/>
                <w:kern w:val="0"/>
              </w:rPr>
            </w:pPr>
            <w:r w:rsidRPr="004D451D">
              <w:rPr>
                <w:rFonts w:eastAsia="標楷體"/>
                <w:kern w:val="0"/>
              </w:rPr>
              <w:t>(</w:t>
            </w:r>
            <w:r w:rsidRPr="004D451D">
              <w:rPr>
                <w:rFonts w:eastAsia="標楷體" w:hint="eastAsia"/>
                <w:kern w:val="0"/>
              </w:rPr>
              <w:t>B</w:t>
            </w:r>
            <w:r w:rsidRPr="004D451D">
              <w:rPr>
                <w:rFonts w:eastAsia="標楷體"/>
                <w:kern w:val="0"/>
              </w:rPr>
              <w:t>)</w:t>
            </w:r>
            <w:r w:rsidRPr="004D451D">
              <w:rPr>
                <w:rFonts w:eastAsia="標楷體"/>
                <w:kern w:val="0"/>
              </w:rPr>
              <w:t>薪酬程序的設計及結構之相關資訊</w:t>
            </w:r>
          </w:p>
        </w:tc>
      </w:tr>
      <w:tr w:rsidR="004D451D" w:rsidRPr="004D451D" w:rsidTr="0025185D">
        <w:trPr>
          <w:trHeight w:val="345"/>
        </w:trPr>
        <w:tc>
          <w:tcPr>
            <w:tcW w:w="217" w:type="dxa"/>
            <w:shd w:val="clear" w:color="auto" w:fill="auto"/>
            <w:noWrap/>
            <w:vAlign w:val="center"/>
            <w:hideMark/>
          </w:tcPr>
          <w:p w:rsidR="00F05AD9" w:rsidRPr="004D451D" w:rsidRDefault="00F05AD9" w:rsidP="00AB4AE2">
            <w:pPr>
              <w:widowControl/>
              <w:jc w:val="center"/>
              <w:rPr>
                <w:rFonts w:eastAsia="標楷體"/>
                <w:kern w:val="0"/>
              </w:rPr>
            </w:pPr>
            <w:r w:rsidRPr="004D451D">
              <w:rPr>
                <w:rFonts w:eastAsia="標楷體"/>
                <w:kern w:val="0"/>
              </w:rPr>
              <w:t>1</w:t>
            </w:r>
          </w:p>
        </w:tc>
        <w:tc>
          <w:tcPr>
            <w:tcW w:w="2770" w:type="dxa"/>
            <w:shd w:val="clear" w:color="auto" w:fill="auto"/>
            <w:vAlign w:val="center"/>
            <w:hideMark/>
          </w:tcPr>
          <w:p w:rsidR="00F05AD9" w:rsidRPr="004D451D" w:rsidRDefault="00F05AD9" w:rsidP="00AB4AE2">
            <w:pPr>
              <w:widowControl/>
              <w:rPr>
                <w:rFonts w:eastAsia="標楷體"/>
                <w:kern w:val="0"/>
              </w:rPr>
            </w:pPr>
            <w:r w:rsidRPr="004D451D">
              <w:rPr>
                <w:rFonts w:eastAsia="標楷體"/>
                <w:kern w:val="0"/>
              </w:rPr>
              <w:t>薪酬政策的主要特點及目標</w:t>
            </w:r>
          </w:p>
        </w:tc>
        <w:tc>
          <w:tcPr>
            <w:tcW w:w="6662" w:type="dxa"/>
            <w:shd w:val="clear" w:color="auto" w:fill="auto"/>
            <w:noWrap/>
            <w:vAlign w:val="center"/>
            <w:hideMark/>
          </w:tcPr>
          <w:p w:rsidR="00F05AD9" w:rsidRPr="004D451D" w:rsidRDefault="00F05AD9" w:rsidP="00BD428E">
            <w:pPr>
              <w:widowControl/>
              <w:rPr>
                <w:rFonts w:eastAsia="標楷體"/>
                <w:kern w:val="0"/>
              </w:rPr>
            </w:pPr>
            <w:r w:rsidRPr="004D451D">
              <w:rPr>
                <w:rFonts w:ascii="標楷體" w:eastAsia="標楷體" w:hAnsi="標楷體" w:hint="eastAsia"/>
              </w:rPr>
              <w:t>健全公司董事及經理人薪資報酬制度</w:t>
            </w:r>
            <w:r w:rsidRPr="004D451D">
              <w:rPr>
                <w:rFonts w:ascii="新細明體" w:hAnsi="新細明體" w:hint="eastAsia"/>
              </w:rPr>
              <w:t>，</w:t>
            </w:r>
            <w:r w:rsidRPr="004D451D">
              <w:rPr>
                <w:rFonts w:ascii="標楷體" w:eastAsia="標楷體" w:hAnsi="標楷體" w:hint="eastAsia"/>
              </w:rPr>
              <w:t>定期檢討本公司董事及高階經理人薪資報酬與年度</w:t>
            </w:r>
            <w:r w:rsidRPr="004D451D">
              <w:rPr>
                <w:rFonts w:ascii="新細明體" w:hAnsi="新細明體" w:hint="eastAsia"/>
              </w:rPr>
              <w:t>、</w:t>
            </w:r>
            <w:r w:rsidRPr="004D451D">
              <w:rPr>
                <w:rFonts w:ascii="標楷體" w:eastAsia="標楷體" w:hAnsi="標楷體" w:hint="eastAsia"/>
              </w:rPr>
              <w:t>長期績效目標及未來風險之合理關聯及允當性。</w:t>
            </w:r>
          </w:p>
        </w:tc>
      </w:tr>
      <w:tr w:rsidR="004D451D" w:rsidRPr="004D451D" w:rsidTr="0025185D">
        <w:trPr>
          <w:trHeight w:val="1083"/>
        </w:trPr>
        <w:tc>
          <w:tcPr>
            <w:tcW w:w="217" w:type="dxa"/>
            <w:shd w:val="clear" w:color="auto" w:fill="auto"/>
            <w:noWrap/>
            <w:vAlign w:val="center"/>
            <w:hideMark/>
          </w:tcPr>
          <w:p w:rsidR="00F05AD9" w:rsidRPr="004D451D" w:rsidRDefault="00F05AD9" w:rsidP="00AB4AE2">
            <w:pPr>
              <w:widowControl/>
              <w:jc w:val="center"/>
              <w:rPr>
                <w:rFonts w:eastAsia="標楷體"/>
                <w:kern w:val="0"/>
              </w:rPr>
            </w:pPr>
            <w:r w:rsidRPr="004D451D">
              <w:rPr>
                <w:rFonts w:eastAsia="標楷體"/>
                <w:kern w:val="0"/>
              </w:rPr>
              <w:t>2</w:t>
            </w:r>
          </w:p>
        </w:tc>
        <w:tc>
          <w:tcPr>
            <w:tcW w:w="2770" w:type="dxa"/>
            <w:shd w:val="clear" w:color="auto" w:fill="auto"/>
            <w:vAlign w:val="center"/>
            <w:hideMark/>
          </w:tcPr>
          <w:p w:rsidR="00F05AD9" w:rsidRPr="004D451D" w:rsidRDefault="00F05AD9" w:rsidP="00AB4AE2">
            <w:pPr>
              <w:widowControl/>
              <w:rPr>
                <w:rFonts w:eastAsia="標楷體"/>
                <w:kern w:val="0"/>
              </w:rPr>
            </w:pPr>
            <w:r w:rsidRPr="004D451D">
              <w:rPr>
                <w:rFonts w:eastAsia="標楷體"/>
                <w:kern w:val="0"/>
              </w:rPr>
              <w:t>薪酬委員會是否於過去一年檢視公司的薪酬政策，若有，概述有哪些修改、修改的原因以及對薪酬之影響</w:t>
            </w:r>
          </w:p>
        </w:tc>
        <w:tc>
          <w:tcPr>
            <w:tcW w:w="6662" w:type="dxa"/>
            <w:shd w:val="clear" w:color="auto" w:fill="auto"/>
            <w:noWrap/>
            <w:vAlign w:val="center"/>
            <w:hideMark/>
          </w:tcPr>
          <w:p w:rsidR="00F05AD9" w:rsidRPr="004D451D" w:rsidRDefault="00F05AD9" w:rsidP="00BD428E">
            <w:pPr>
              <w:widowControl/>
              <w:rPr>
                <w:rFonts w:eastAsia="標楷體"/>
                <w:kern w:val="0"/>
              </w:rPr>
            </w:pPr>
            <w:r w:rsidRPr="004D451D">
              <w:rPr>
                <w:rFonts w:ascii="標楷體" w:eastAsia="標楷體" w:hAnsi="標楷體" w:cs="新細明體" w:hint="eastAsia"/>
                <w:kern w:val="0"/>
              </w:rPr>
              <w:t>年度定期檢討薪酬政策</w:t>
            </w:r>
            <w:r w:rsidRPr="004D451D">
              <w:rPr>
                <w:rFonts w:ascii="新細明體" w:hAnsi="新細明體" w:cs="新細明體" w:hint="eastAsia"/>
                <w:kern w:val="0"/>
              </w:rPr>
              <w:t>，</w:t>
            </w:r>
            <w:r w:rsidRPr="004D451D">
              <w:rPr>
                <w:rFonts w:ascii="標楷體" w:eastAsia="標楷體" w:hAnsi="標楷體" w:cs="新細明體" w:hint="eastAsia"/>
                <w:kern w:val="0"/>
              </w:rPr>
              <w:t>依市場同業水準、公司經營績效及財務狀況評估薪酬調整幅度。</w:t>
            </w:r>
          </w:p>
        </w:tc>
      </w:tr>
      <w:tr w:rsidR="004D451D" w:rsidRPr="004D451D" w:rsidTr="0025185D">
        <w:trPr>
          <w:trHeight w:val="688"/>
        </w:trPr>
        <w:tc>
          <w:tcPr>
            <w:tcW w:w="217" w:type="dxa"/>
            <w:shd w:val="clear" w:color="auto" w:fill="auto"/>
            <w:noWrap/>
            <w:vAlign w:val="center"/>
            <w:hideMark/>
          </w:tcPr>
          <w:p w:rsidR="00F05AD9" w:rsidRPr="004D451D" w:rsidRDefault="00F05AD9" w:rsidP="00AB4AE2">
            <w:pPr>
              <w:widowControl/>
              <w:jc w:val="center"/>
              <w:rPr>
                <w:rFonts w:eastAsia="標楷體"/>
                <w:kern w:val="0"/>
              </w:rPr>
            </w:pPr>
            <w:r w:rsidRPr="004D451D">
              <w:rPr>
                <w:rFonts w:eastAsia="標楷體"/>
                <w:kern w:val="0"/>
              </w:rPr>
              <w:t>3</w:t>
            </w:r>
          </w:p>
        </w:tc>
        <w:tc>
          <w:tcPr>
            <w:tcW w:w="2770" w:type="dxa"/>
            <w:shd w:val="clear" w:color="auto" w:fill="auto"/>
            <w:vAlign w:val="center"/>
            <w:hideMark/>
          </w:tcPr>
          <w:p w:rsidR="00F05AD9" w:rsidRPr="004D451D" w:rsidRDefault="00F05AD9" w:rsidP="00AB4AE2">
            <w:pPr>
              <w:widowControl/>
              <w:rPr>
                <w:rFonts w:eastAsia="標楷體"/>
                <w:kern w:val="0"/>
              </w:rPr>
            </w:pPr>
            <w:r w:rsidRPr="004D451D">
              <w:rPr>
                <w:rFonts w:eastAsia="標楷體"/>
                <w:kern w:val="0"/>
              </w:rPr>
              <w:t>銀行如何確保風管人員及法遵人員之薪酬與其監管的業務互相獨立</w:t>
            </w:r>
          </w:p>
        </w:tc>
        <w:tc>
          <w:tcPr>
            <w:tcW w:w="6662" w:type="dxa"/>
            <w:shd w:val="clear" w:color="auto" w:fill="auto"/>
            <w:noWrap/>
            <w:vAlign w:val="center"/>
            <w:hideMark/>
          </w:tcPr>
          <w:p w:rsidR="00F05AD9" w:rsidRPr="004D451D" w:rsidRDefault="00F05AD9" w:rsidP="00BD428E">
            <w:pPr>
              <w:widowControl/>
              <w:rPr>
                <w:rFonts w:eastAsia="標楷體"/>
                <w:kern w:val="0"/>
              </w:rPr>
            </w:pPr>
            <w:r w:rsidRPr="004D451D">
              <w:rPr>
                <w:rFonts w:ascii="標楷體" w:eastAsia="標楷體" w:hAnsi="標楷體" w:cs="新細明體" w:hint="eastAsia"/>
                <w:kern w:val="0"/>
              </w:rPr>
              <w:t>風管人員及法遵人員之薪酬係依個人績效</w:t>
            </w:r>
            <w:r w:rsidRPr="004D451D">
              <w:rPr>
                <w:rFonts w:ascii="新細明體" w:hAnsi="新細明體" w:cs="新細明體" w:hint="eastAsia"/>
                <w:kern w:val="0"/>
              </w:rPr>
              <w:t>、</w:t>
            </w:r>
            <w:r w:rsidRPr="004D451D">
              <w:rPr>
                <w:rFonts w:ascii="標楷體" w:eastAsia="標楷體" w:hAnsi="標楷體" w:cs="新細明體" w:hint="eastAsia"/>
                <w:kern w:val="0"/>
              </w:rPr>
              <w:t>職位表現良窳綜合考評核定之，與其監管之業務互相獨立。</w:t>
            </w:r>
          </w:p>
        </w:tc>
      </w:tr>
      <w:tr w:rsidR="004D451D" w:rsidRPr="004D451D" w:rsidTr="000A16EB">
        <w:trPr>
          <w:trHeight w:val="330"/>
        </w:trPr>
        <w:tc>
          <w:tcPr>
            <w:tcW w:w="9649" w:type="dxa"/>
            <w:gridSpan w:val="3"/>
            <w:tcBorders>
              <w:left w:val="nil"/>
              <w:right w:val="nil"/>
            </w:tcBorders>
            <w:shd w:val="clear" w:color="auto" w:fill="auto"/>
            <w:noWrap/>
            <w:vAlign w:val="center"/>
            <w:hideMark/>
          </w:tcPr>
          <w:p w:rsidR="00F05AD9" w:rsidRPr="004D451D" w:rsidRDefault="00F05AD9" w:rsidP="00AB4AE2">
            <w:pPr>
              <w:widowControl/>
              <w:jc w:val="center"/>
              <w:rPr>
                <w:rFonts w:eastAsia="標楷體"/>
                <w:kern w:val="0"/>
              </w:rPr>
            </w:pPr>
          </w:p>
        </w:tc>
      </w:tr>
      <w:tr w:rsidR="004D451D" w:rsidRPr="004D451D" w:rsidTr="000A16EB">
        <w:trPr>
          <w:trHeight w:val="435"/>
        </w:trPr>
        <w:tc>
          <w:tcPr>
            <w:tcW w:w="9649" w:type="dxa"/>
            <w:gridSpan w:val="3"/>
            <w:shd w:val="clear" w:color="000000" w:fill="D9D9D9"/>
            <w:noWrap/>
            <w:vAlign w:val="center"/>
            <w:hideMark/>
          </w:tcPr>
          <w:p w:rsidR="00F05AD9" w:rsidRPr="004D451D" w:rsidRDefault="00F05AD9" w:rsidP="00AB4AE2">
            <w:pPr>
              <w:widowControl/>
              <w:rPr>
                <w:rFonts w:eastAsia="標楷體"/>
                <w:kern w:val="0"/>
              </w:rPr>
            </w:pPr>
            <w:r w:rsidRPr="004D451D">
              <w:rPr>
                <w:rFonts w:eastAsia="標楷體"/>
                <w:kern w:val="0"/>
              </w:rPr>
              <w:t>(</w:t>
            </w:r>
            <w:r w:rsidRPr="004D451D">
              <w:rPr>
                <w:rFonts w:eastAsia="標楷體" w:hint="eastAsia"/>
                <w:kern w:val="0"/>
              </w:rPr>
              <w:t>C</w:t>
            </w:r>
            <w:r w:rsidRPr="004D451D">
              <w:rPr>
                <w:rFonts w:eastAsia="標楷體"/>
                <w:kern w:val="0"/>
              </w:rPr>
              <w:t>)</w:t>
            </w:r>
            <w:r w:rsidRPr="004D451D">
              <w:rPr>
                <w:rFonts w:eastAsia="標楷體"/>
                <w:kern w:val="0"/>
              </w:rPr>
              <w:t>目前與未來將風險納入薪酬程序之方法</w:t>
            </w:r>
          </w:p>
        </w:tc>
      </w:tr>
      <w:tr w:rsidR="004D451D" w:rsidRPr="004D451D" w:rsidTr="0025185D">
        <w:trPr>
          <w:trHeight w:val="1080"/>
        </w:trPr>
        <w:tc>
          <w:tcPr>
            <w:tcW w:w="2987" w:type="dxa"/>
            <w:gridSpan w:val="2"/>
            <w:shd w:val="clear" w:color="auto" w:fill="auto"/>
            <w:vAlign w:val="center"/>
            <w:hideMark/>
          </w:tcPr>
          <w:p w:rsidR="00F05AD9" w:rsidRPr="004D451D" w:rsidRDefault="00F05AD9" w:rsidP="00AB4AE2">
            <w:pPr>
              <w:widowControl/>
              <w:rPr>
                <w:rFonts w:eastAsia="標楷體"/>
                <w:kern w:val="0"/>
              </w:rPr>
            </w:pPr>
            <w:r w:rsidRPr="004D451D">
              <w:rPr>
                <w:rFonts w:eastAsia="標楷體"/>
                <w:kern w:val="0"/>
              </w:rPr>
              <w:t>陳述目前與未來將風險納入薪酬程序之方法，應包含主要風險之概述、評量方式及這些評量如何影響薪酬</w:t>
            </w:r>
          </w:p>
        </w:tc>
        <w:tc>
          <w:tcPr>
            <w:tcW w:w="6662" w:type="dxa"/>
            <w:shd w:val="clear" w:color="auto" w:fill="auto"/>
            <w:noWrap/>
            <w:vAlign w:val="center"/>
            <w:hideMark/>
          </w:tcPr>
          <w:p w:rsidR="00F05AD9" w:rsidRPr="004D451D" w:rsidRDefault="00F05AD9" w:rsidP="00461CF3">
            <w:pPr>
              <w:widowControl/>
              <w:rPr>
                <w:rFonts w:eastAsia="標楷體"/>
                <w:kern w:val="0"/>
              </w:rPr>
            </w:pPr>
            <w:r w:rsidRPr="004D451D">
              <w:rPr>
                <w:rFonts w:ascii="標楷體" w:eastAsia="標楷體" w:hAnsi="標楷體" w:hint="eastAsia"/>
              </w:rPr>
              <w:t>公司董事及經理人不得為追求薪資報酬而從事逾越公司風險胃納之行為，若發生涉及弊端等重大風險事件</w:t>
            </w:r>
            <w:r w:rsidRPr="004D451D">
              <w:rPr>
                <w:rFonts w:ascii="新細明體" w:hAnsi="新細明體" w:hint="eastAsia"/>
              </w:rPr>
              <w:t>，</w:t>
            </w:r>
            <w:r w:rsidRPr="004D451D">
              <w:rPr>
                <w:rFonts w:ascii="標楷體" w:eastAsia="標楷體" w:hAnsi="標楷體" w:hint="eastAsia"/>
              </w:rPr>
              <w:t>足以導致公司損失或影響商譽，董事會應視情節採取解任、調任</w:t>
            </w:r>
            <w:r w:rsidRPr="004D451D">
              <w:rPr>
                <w:rFonts w:ascii="新細明體" w:hAnsi="新細明體" w:hint="eastAsia"/>
              </w:rPr>
              <w:t>、</w:t>
            </w:r>
            <w:r w:rsidRPr="004D451D">
              <w:rPr>
                <w:rFonts w:ascii="標楷體" w:eastAsia="標楷體" w:hAnsi="標楷體" w:hint="eastAsia"/>
              </w:rPr>
              <w:t>終止或減少酬金發給等措施。</w:t>
            </w:r>
          </w:p>
        </w:tc>
      </w:tr>
      <w:tr w:rsidR="004D451D" w:rsidRPr="004D451D" w:rsidTr="000A16EB">
        <w:trPr>
          <w:trHeight w:val="345"/>
        </w:trPr>
        <w:tc>
          <w:tcPr>
            <w:tcW w:w="9649" w:type="dxa"/>
            <w:gridSpan w:val="3"/>
            <w:tcBorders>
              <w:left w:val="nil"/>
              <w:right w:val="nil"/>
            </w:tcBorders>
            <w:shd w:val="clear" w:color="auto" w:fill="auto"/>
            <w:noWrap/>
            <w:vAlign w:val="center"/>
            <w:hideMark/>
          </w:tcPr>
          <w:p w:rsidR="00F05AD9" w:rsidRPr="004D451D" w:rsidRDefault="00F05AD9" w:rsidP="00AB4AE2">
            <w:pPr>
              <w:widowControl/>
              <w:jc w:val="center"/>
              <w:rPr>
                <w:rFonts w:eastAsia="標楷體"/>
                <w:kern w:val="0"/>
              </w:rPr>
            </w:pPr>
          </w:p>
        </w:tc>
      </w:tr>
      <w:tr w:rsidR="004D451D" w:rsidRPr="004D451D" w:rsidTr="000A16EB">
        <w:trPr>
          <w:trHeight w:val="345"/>
        </w:trPr>
        <w:tc>
          <w:tcPr>
            <w:tcW w:w="9649" w:type="dxa"/>
            <w:gridSpan w:val="3"/>
            <w:shd w:val="clear" w:color="000000" w:fill="D9D9D9"/>
            <w:noWrap/>
            <w:vAlign w:val="center"/>
            <w:hideMark/>
          </w:tcPr>
          <w:p w:rsidR="00F05AD9" w:rsidRPr="004D451D" w:rsidRDefault="00F05AD9" w:rsidP="00AB4AE2">
            <w:pPr>
              <w:widowControl/>
              <w:rPr>
                <w:rFonts w:eastAsia="標楷體"/>
                <w:kern w:val="0"/>
              </w:rPr>
            </w:pPr>
            <w:r w:rsidRPr="004D451D">
              <w:rPr>
                <w:rFonts w:eastAsia="標楷體"/>
                <w:kern w:val="0"/>
              </w:rPr>
              <w:t>(</w:t>
            </w:r>
            <w:r w:rsidRPr="004D451D">
              <w:rPr>
                <w:rFonts w:eastAsia="標楷體" w:hint="eastAsia"/>
                <w:kern w:val="0"/>
              </w:rPr>
              <w:t>D</w:t>
            </w:r>
            <w:r w:rsidRPr="004D451D">
              <w:rPr>
                <w:rFonts w:eastAsia="標楷體"/>
                <w:kern w:val="0"/>
              </w:rPr>
              <w:t>)</w:t>
            </w:r>
            <w:r w:rsidRPr="004D451D">
              <w:rPr>
                <w:rFonts w:eastAsia="標楷體"/>
                <w:kern w:val="0"/>
              </w:rPr>
              <w:t>銀行於績效衡量期間連結績效及薪酬水準的方法</w:t>
            </w:r>
          </w:p>
        </w:tc>
      </w:tr>
      <w:tr w:rsidR="004D451D" w:rsidRPr="004D451D" w:rsidTr="0025185D">
        <w:trPr>
          <w:trHeight w:val="552"/>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1</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銀行整體、業務別及個人的主要績效指標</w:t>
            </w:r>
          </w:p>
        </w:tc>
        <w:tc>
          <w:tcPr>
            <w:tcW w:w="6662" w:type="dxa"/>
            <w:shd w:val="clear" w:color="auto" w:fill="auto"/>
            <w:noWrap/>
            <w:vAlign w:val="center"/>
            <w:hideMark/>
          </w:tcPr>
          <w:p w:rsidR="0025185D" w:rsidRPr="004D451D" w:rsidRDefault="0025185D" w:rsidP="00BD428E">
            <w:pPr>
              <w:widowControl/>
              <w:rPr>
                <w:rFonts w:ascii="標楷體" w:eastAsia="標楷體" w:hAnsi="標楷體" w:cs="新細明體"/>
                <w:kern w:val="0"/>
              </w:rPr>
            </w:pPr>
            <w:r w:rsidRPr="004D451D">
              <w:rPr>
                <w:rFonts w:ascii="標楷體" w:eastAsia="標楷體" w:hAnsi="標楷體" w:cs="新細明體" w:hint="eastAsia"/>
                <w:kern w:val="0"/>
              </w:rPr>
              <w:t>銀行整體及業務別之主要績效評估指標為：公司整體經營績效、財務狀況(EPS、ROA、ROE及稅後純益)。</w:t>
            </w:r>
          </w:p>
          <w:p w:rsidR="0025185D" w:rsidRPr="004D451D" w:rsidRDefault="0025185D" w:rsidP="00BD428E">
            <w:pPr>
              <w:widowControl/>
              <w:rPr>
                <w:rFonts w:eastAsia="標楷體"/>
                <w:kern w:val="0"/>
              </w:rPr>
            </w:pPr>
            <w:r w:rsidRPr="004D451D">
              <w:rPr>
                <w:rFonts w:ascii="標楷體" w:eastAsia="標楷體" w:hAnsi="標楷體" w:cs="新細明體" w:hint="eastAsia"/>
                <w:kern w:val="0"/>
              </w:rPr>
              <w:t>個人主要績效評估指標：個人績效表現(質/量化)及專業職能、行為職能等關鍵指標。</w:t>
            </w:r>
          </w:p>
        </w:tc>
      </w:tr>
      <w:tr w:rsidR="004D451D" w:rsidRPr="004D451D" w:rsidTr="0025185D">
        <w:trPr>
          <w:trHeight w:val="676"/>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2</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個人薪酬金額如何與銀行整體及個人績效連結</w:t>
            </w:r>
          </w:p>
        </w:tc>
        <w:tc>
          <w:tcPr>
            <w:tcW w:w="6662" w:type="dxa"/>
            <w:shd w:val="clear" w:color="auto" w:fill="auto"/>
            <w:noWrap/>
            <w:vAlign w:val="center"/>
            <w:hideMark/>
          </w:tcPr>
          <w:p w:rsidR="0025185D" w:rsidRPr="004D451D" w:rsidRDefault="0025185D" w:rsidP="00BD428E">
            <w:pPr>
              <w:widowControl/>
              <w:rPr>
                <w:rFonts w:eastAsia="標楷體"/>
                <w:kern w:val="0"/>
              </w:rPr>
            </w:pPr>
            <w:r w:rsidRPr="004D451D">
              <w:rPr>
                <w:rFonts w:ascii="標楷體" w:eastAsia="標楷體" w:hAnsi="標楷體" w:cs="新細明體" w:hint="eastAsia"/>
                <w:kern w:val="0"/>
              </w:rPr>
              <w:t>個人薪資報酬，係參考同業通常水準支給情形，並考量個人所投入之時間、所擔負之職責、達成個人目標情形、擔任其他職位表現、公司近年給予同等職位者之薪資報酬，暨由公司短期及長期業務目標之達成、公司財務狀況等評估個人表現與公司經營績效及未來風險之關連合理性。</w:t>
            </w:r>
          </w:p>
        </w:tc>
      </w:tr>
      <w:tr w:rsidR="004D451D" w:rsidRPr="004D451D" w:rsidTr="0025185D">
        <w:trPr>
          <w:trHeight w:val="1124"/>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3</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當績效指標弱化時，銀行通常將採取哪些措施來調整薪酬，包含銀行判定績效指標「弱化」的標準</w:t>
            </w:r>
          </w:p>
        </w:tc>
        <w:tc>
          <w:tcPr>
            <w:tcW w:w="6662" w:type="dxa"/>
            <w:shd w:val="clear" w:color="auto" w:fill="auto"/>
            <w:noWrap/>
            <w:vAlign w:val="center"/>
            <w:hideMark/>
          </w:tcPr>
          <w:p w:rsidR="0025185D" w:rsidRPr="004D451D" w:rsidRDefault="0025185D" w:rsidP="00AB4AE2">
            <w:pPr>
              <w:widowControl/>
              <w:rPr>
                <w:rFonts w:eastAsia="標楷體"/>
                <w:kern w:val="0"/>
              </w:rPr>
            </w:pPr>
            <w:r w:rsidRPr="004D451D">
              <w:rPr>
                <w:rFonts w:ascii="標楷體" w:eastAsia="標楷體" w:hAnsi="標楷體" w:cs="新細明體" w:hint="eastAsia"/>
                <w:kern w:val="0"/>
              </w:rPr>
              <w:t>本行績效衡量指標主要為每股盈餘(EPS)</w:t>
            </w:r>
            <w:r w:rsidRPr="004D451D">
              <w:rPr>
                <w:rFonts w:ascii="新細明體" w:hAnsi="新細明體" w:cs="新細明體" w:hint="eastAsia"/>
                <w:kern w:val="0"/>
              </w:rPr>
              <w:t>、</w:t>
            </w:r>
            <w:r w:rsidRPr="004D451D">
              <w:rPr>
                <w:rFonts w:ascii="標楷體" w:eastAsia="標楷體" w:hAnsi="標楷體" w:cs="新細明體" w:hint="eastAsia"/>
                <w:kern w:val="0"/>
              </w:rPr>
              <w:t>自有資本適足率(BIS)及股東權益報酬率(ROE)</w:t>
            </w:r>
            <w:r w:rsidRPr="004D451D">
              <w:rPr>
                <w:rFonts w:ascii="新細明體" w:hAnsi="新細明體" w:cs="新細明體" w:hint="eastAsia"/>
                <w:kern w:val="0"/>
              </w:rPr>
              <w:t>，</w:t>
            </w:r>
            <w:r w:rsidRPr="004D451D">
              <w:rPr>
                <w:rFonts w:ascii="標楷體" w:eastAsia="標楷體" w:hAnsi="標楷體" w:cs="新細明體" w:hint="eastAsia"/>
                <w:kern w:val="0"/>
              </w:rPr>
              <w:t>當獲利能力下降或有累積虧損時，依公司章程相關規定及薪酬政策議案調整分派。</w:t>
            </w:r>
          </w:p>
        </w:tc>
      </w:tr>
      <w:tr w:rsidR="004D451D" w:rsidRPr="004D451D" w:rsidTr="000A16EB">
        <w:trPr>
          <w:trHeight w:val="345"/>
        </w:trPr>
        <w:tc>
          <w:tcPr>
            <w:tcW w:w="9649" w:type="dxa"/>
            <w:gridSpan w:val="3"/>
            <w:tcBorders>
              <w:left w:val="nil"/>
              <w:right w:val="nil"/>
            </w:tcBorders>
            <w:shd w:val="clear" w:color="auto" w:fill="auto"/>
            <w:noWrap/>
            <w:vAlign w:val="center"/>
            <w:hideMark/>
          </w:tcPr>
          <w:p w:rsidR="0025185D" w:rsidRPr="004D451D" w:rsidRDefault="0025185D" w:rsidP="00461CF3">
            <w:pPr>
              <w:widowControl/>
              <w:rPr>
                <w:rFonts w:eastAsia="標楷體"/>
                <w:kern w:val="0"/>
              </w:rPr>
            </w:pPr>
          </w:p>
        </w:tc>
      </w:tr>
      <w:tr w:rsidR="004D451D" w:rsidRPr="004D451D" w:rsidTr="000A16EB">
        <w:trPr>
          <w:trHeight w:val="345"/>
        </w:trPr>
        <w:tc>
          <w:tcPr>
            <w:tcW w:w="9649" w:type="dxa"/>
            <w:gridSpan w:val="3"/>
            <w:shd w:val="clear" w:color="000000" w:fill="D9D9D9"/>
            <w:noWrap/>
            <w:vAlign w:val="center"/>
            <w:hideMark/>
          </w:tcPr>
          <w:p w:rsidR="0025185D" w:rsidRPr="004D451D" w:rsidRDefault="0025185D" w:rsidP="00AB4AE2">
            <w:pPr>
              <w:widowControl/>
              <w:rPr>
                <w:rFonts w:eastAsia="標楷體"/>
                <w:kern w:val="0"/>
              </w:rPr>
            </w:pPr>
            <w:r w:rsidRPr="004D451D">
              <w:rPr>
                <w:rFonts w:eastAsia="標楷體"/>
                <w:kern w:val="0"/>
              </w:rPr>
              <w:t>(</w:t>
            </w:r>
            <w:r w:rsidRPr="004D451D">
              <w:rPr>
                <w:rFonts w:eastAsia="標楷體" w:hint="eastAsia"/>
                <w:kern w:val="0"/>
              </w:rPr>
              <w:t>E</w:t>
            </w:r>
            <w:r w:rsidRPr="004D451D">
              <w:rPr>
                <w:rFonts w:eastAsia="標楷體"/>
                <w:kern w:val="0"/>
              </w:rPr>
              <w:t>)</w:t>
            </w:r>
            <w:r w:rsidRPr="004D451D">
              <w:rPr>
                <w:rFonts w:eastAsia="標楷體"/>
                <w:kern w:val="0"/>
              </w:rPr>
              <w:t>銀行將長期績效納入調整薪酬的方法</w:t>
            </w:r>
          </w:p>
        </w:tc>
      </w:tr>
      <w:tr w:rsidR="004D451D" w:rsidRPr="004D451D" w:rsidTr="0025185D">
        <w:trPr>
          <w:trHeight w:val="1305"/>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1</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銀行對遞延變動薪酬</w:t>
            </w:r>
            <w:r w:rsidRPr="004D451D">
              <w:rPr>
                <w:rFonts w:eastAsia="標楷體"/>
                <w:kern w:val="0"/>
              </w:rPr>
              <w:t>(</w:t>
            </w:r>
            <w:r w:rsidRPr="004D451D">
              <w:rPr>
                <w:rFonts w:eastAsia="標楷體"/>
                <w:kern w:val="0"/>
              </w:rPr>
              <w:t>包含既得條件</w:t>
            </w:r>
            <w:r w:rsidRPr="004D451D">
              <w:rPr>
                <w:rFonts w:eastAsia="標楷體"/>
                <w:kern w:val="0"/>
              </w:rPr>
              <w:t>)</w:t>
            </w:r>
            <w:r w:rsidRPr="004D451D">
              <w:rPr>
                <w:rFonts w:eastAsia="標楷體"/>
                <w:kern w:val="0"/>
              </w:rPr>
              <w:t>之政策。若個別員工間或員工群體間遞延變動薪酬的比重不同，應敘述決定比重的因子及其相對重要性</w:t>
            </w:r>
          </w:p>
        </w:tc>
        <w:tc>
          <w:tcPr>
            <w:tcW w:w="6662" w:type="dxa"/>
            <w:shd w:val="clear" w:color="auto" w:fill="auto"/>
            <w:vAlign w:val="center"/>
            <w:hideMark/>
          </w:tcPr>
          <w:p w:rsidR="0025185D" w:rsidRPr="004D451D" w:rsidRDefault="0025185D" w:rsidP="00BD428E">
            <w:pPr>
              <w:widowControl/>
              <w:rPr>
                <w:rFonts w:eastAsia="標楷體"/>
                <w:kern w:val="0"/>
              </w:rPr>
            </w:pPr>
            <w:r w:rsidRPr="004D451D">
              <w:rPr>
                <w:rFonts w:ascii="標楷體" w:eastAsia="標楷體" w:hAnsi="標楷體" w:cs="新細明體" w:hint="eastAsia"/>
                <w:kern w:val="0"/>
              </w:rPr>
              <w:t>本行變動薪酬中員工持股認列部份</w:t>
            </w:r>
            <w:r w:rsidRPr="004D451D">
              <w:rPr>
                <w:rFonts w:ascii="新細明體" w:hAnsi="新細明體" w:cs="新細明體" w:hint="eastAsia"/>
                <w:kern w:val="0"/>
              </w:rPr>
              <w:t>，</w:t>
            </w:r>
            <w:r w:rsidRPr="004D451D">
              <w:rPr>
                <w:rFonts w:ascii="標楷體" w:eastAsia="標楷體" w:hAnsi="標楷體" w:cs="新細明體" w:hint="eastAsia"/>
                <w:kern w:val="0"/>
              </w:rPr>
              <w:t>於員工離職時以股票移撥或現金結算方式結清員工應有份額，其餘未有遞延發給情形</w:t>
            </w:r>
          </w:p>
        </w:tc>
      </w:tr>
      <w:tr w:rsidR="004D451D" w:rsidRPr="004D451D" w:rsidTr="0025185D">
        <w:trPr>
          <w:trHeight w:val="915"/>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2</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銀行透過追索條款在既得前與既得後</w:t>
            </w:r>
            <w:r w:rsidRPr="004D451D">
              <w:rPr>
                <w:rFonts w:eastAsia="標楷體"/>
                <w:kern w:val="0"/>
              </w:rPr>
              <w:t>(</w:t>
            </w:r>
            <w:r w:rsidRPr="004D451D">
              <w:rPr>
                <w:rFonts w:eastAsia="標楷體"/>
                <w:kern w:val="0"/>
              </w:rPr>
              <w:t>若國家法律允許</w:t>
            </w:r>
            <w:r w:rsidRPr="004D451D">
              <w:rPr>
                <w:rFonts w:eastAsia="標楷體"/>
                <w:kern w:val="0"/>
              </w:rPr>
              <w:t>)</w:t>
            </w:r>
            <w:r w:rsidRPr="004D451D">
              <w:rPr>
                <w:rFonts w:eastAsia="標楷體"/>
                <w:kern w:val="0"/>
              </w:rPr>
              <w:t>調整遞延薪酬的政策及標準</w:t>
            </w:r>
          </w:p>
        </w:tc>
        <w:tc>
          <w:tcPr>
            <w:tcW w:w="6662" w:type="dxa"/>
            <w:shd w:val="clear" w:color="auto" w:fill="auto"/>
            <w:noWrap/>
            <w:vAlign w:val="center"/>
            <w:hideMark/>
          </w:tcPr>
          <w:p w:rsidR="0025185D" w:rsidRPr="004D451D" w:rsidRDefault="0025185D" w:rsidP="00BD428E">
            <w:pPr>
              <w:widowControl/>
              <w:rPr>
                <w:rFonts w:eastAsia="標楷體"/>
                <w:kern w:val="0"/>
              </w:rPr>
            </w:pPr>
            <w:r w:rsidRPr="004D451D">
              <w:rPr>
                <w:rFonts w:ascii="標楷體" w:eastAsia="標楷體" w:hAnsi="標楷體" w:cs="新細明體" w:hint="eastAsia"/>
                <w:kern w:val="0"/>
              </w:rPr>
              <w:t>本行無此情形</w:t>
            </w:r>
          </w:p>
        </w:tc>
      </w:tr>
      <w:tr w:rsidR="004D451D" w:rsidRPr="004D451D" w:rsidTr="000A16EB">
        <w:trPr>
          <w:trHeight w:val="345"/>
        </w:trPr>
        <w:tc>
          <w:tcPr>
            <w:tcW w:w="9649" w:type="dxa"/>
            <w:gridSpan w:val="3"/>
            <w:tcBorders>
              <w:left w:val="nil"/>
              <w:right w:val="nil"/>
            </w:tcBorders>
            <w:shd w:val="clear" w:color="auto" w:fill="auto"/>
            <w:noWrap/>
            <w:vAlign w:val="center"/>
            <w:hideMark/>
          </w:tcPr>
          <w:p w:rsidR="0025185D" w:rsidRPr="004D451D" w:rsidRDefault="0025185D" w:rsidP="00AB4AE2">
            <w:pPr>
              <w:widowControl/>
              <w:jc w:val="center"/>
              <w:rPr>
                <w:rFonts w:eastAsia="標楷體"/>
                <w:kern w:val="0"/>
              </w:rPr>
            </w:pPr>
          </w:p>
        </w:tc>
      </w:tr>
      <w:tr w:rsidR="004D451D" w:rsidRPr="004D451D" w:rsidTr="000A16EB">
        <w:trPr>
          <w:trHeight w:val="345"/>
        </w:trPr>
        <w:tc>
          <w:tcPr>
            <w:tcW w:w="9649" w:type="dxa"/>
            <w:gridSpan w:val="3"/>
            <w:shd w:val="clear" w:color="000000" w:fill="D9D9D9"/>
            <w:noWrap/>
            <w:vAlign w:val="center"/>
            <w:hideMark/>
          </w:tcPr>
          <w:p w:rsidR="0025185D" w:rsidRPr="004D451D" w:rsidRDefault="0025185D" w:rsidP="00AB4AE2">
            <w:pPr>
              <w:widowControl/>
              <w:rPr>
                <w:rFonts w:eastAsia="標楷體"/>
                <w:kern w:val="0"/>
              </w:rPr>
            </w:pPr>
            <w:r w:rsidRPr="004D451D">
              <w:rPr>
                <w:rFonts w:eastAsia="標楷體"/>
                <w:kern w:val="0"/>
              </w:rPr>
              <w:t>(</w:t>
            </w:r>
            <w:r w:rsidRPr="004D451D">
              <w:rPr>
                <w:rFonts w:eastAsia="標楷體" w:hint="eastAsia"/>
                <w:kern w:val="0"/>
              </w:rPr>
              <w:t>F</w:t>
            </w:r>
            <w:r w:rsidRPr="004D451D">
              <w:rPr>
                <w:rFonts w:eastAsia="標楷體"/>
                <w:kern w:val="0"/>
              </w:rPr>
              <w:t>)</w:t>
            </w:r>
            <w:r w:rsidRPr="004D451D">
              <w:rPr>
                <w:rFonts w:eastAsia="標楷體"/>
                <w:kern w:val="0"/>
              </w:rPr>
              <w:t>銀行採用的各種不同形式變動薪酬以及使用</w:t>
            </w:r>
            <w:r w:rsidRPr="004D451D">
              <w:rPr>
                <w:rFonts w:eastAsia="標楷體" w:hint="eastAsia"/>
                <w:kern w:val="0"/>
              </w:rPr>
              <w:t>之</w:t>
            </w:r>
            <w:r w:rsidRPr="004D451D">
              <w:rPr>
                <w:rFonts w:eastAsia="標楷體"/>
                <w:kern w:val="0"/>
              </w:rPr>
              <w:t>合理性</w:t>
            </w:r>
          </w:p>
        </w:tc>
      </w:tr>
      <w:tr w:rsidR="004D451D" w:rsidRPr="004D451D" w:rsidTr="0025185D">
        <w:trPr>
          <w:trHeight w:val="1155"/>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1</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概述提供變動薪酬的形式</w:t>
            </w:r>
            <w:r w:rsidRPr="004D451D">
              <w:rPr>
                <w:rFonts w:eastAsia="標楷體"/>
                <w:kern w:val="0"/>
              </w:rPr>
              <w:t>(</w:t>
            </w:r>
            <w:r w:rsidRPr="004D451D">
              <w:rPr>
                <w:rFonts w:eastAsia="標楷體"/>
                <w:kern w:val="0"/>
              </w:rPr>
              <w:t>如：現金、股票、股票連結商品，或其他形式</w:t>
            </w:r>
            <w:r w:rsidRPr="004D451D">
              <w:rPr>
                <w:rFonts w:eastAsia="標楷體"/>
                <w:kern w:val="0"/>
              </w:rPr>
              <w:t>)</w:t>
            </w:r>
          </w:p>
        </w:tc>
        <w:tc>
          <w:tcPr>
            <w:tcW w:w="6662" w:type="dxa"/>
            <w:shd w:val="clear" w:color="auto" w:fill="auto"/>
            <w:noWrap/>
            <w:vAlign w:val="center"/>
            <w:hideMark/>
          </w:tcPr>
          <w:p w:rsidR="0025185D" w:rsidRPr="004D451D" w:rsidRDefault="0025185D" w:rsidP="00BD428E">
            <w:pPr>
              <w:widowControl/>
              <w:rPr>
                <w:rFonts w:eastAsia="標楷體"/>
                <w:kern w:val="0"/>
              </w:rPr>
            </w:pPr>
            <w:r w:rsidRPr="004D451D">
              <w:rPr>
                <w:rFonts w:ascii="標楷體" w:eastAsia="標楷體" w:hAnsi="標楷體" w:cs="新細明體" w:hint="eastAsia"/>
                <w:kern w:val="0"/>
              </w:rPr>
              <w:t>本行變動薪酬形式有年終獎金</w:t>
            </w:r>
            <w:r w:rsidRPr="004D451D">
              <w:rPr>
                <w:rFonts w:ascii="新細明體" w:hAnsi="新細明體" w:cs="新細明體" w:hint="eastAsia"/>
                <w:kern w:val="0"/>
              </w:rPr>
              <w:t>、</w:t>
            </w:r>
            <w:r w:rsidRPr="004D451D">
              <w:rPr>
                <w:rFonts w:ascii="標楷體" w:eastAsia="標楷體" w:hAnsi="標楷體" w:cs="新細明體" w:hint="eastAsia"/>
                <w:kern w:val="0"/>
              </w:rPr>
              <w:t>績效獎金</w:t>
            </w:r>
            <w:r w:rsidRPr="004D451D">
              <w:rPr>
                <w:rFonts w:ascii="新細明體" w:hAnsi="新細明體" w:cs="新細明體" w:hint="eastAsia"/>
                <w:kern w:val="0"/>
              </w:rPr>
              <w:t>、</w:t>
            </w:r>
            <w:r w:rsidRPr="004D451D">
              <w:rPr>
                <w:rFonts w:ascii="標楷體" w:eastAsia="標楷體" w:hAnsi="標楷體" w:cs="新細明體" w:hint="eastAsia"/>
                <w:kern w:val="0"/>
              </w:rPr>
              <w:t>特別獎金及員工持股信託提撥獎勵金等。</w:t>
            </w:r>
          </w:p>
        </w:tc>
      </w:tr>
      <w:tr w:rsidR="004D451D" w:rsidRPr="004D451D" w:rsidTr="0025185D">
        <w:trPr>
          <w:trHeight w:val="1395"/>
        </w:trPr>
        <w:tc>
          <w:tcPr>
            <w:tcW w:w="217" w:type="dxa"/>
            <w:shd w:val="clear" w:color="auto" w:fill="auto"/>
            <w:noWrap/>
            <w:vAlign w:val="center"/>
            <w:hideMark/>
          </w:tcPr>
          <w:p w:rsidR="0025185D" w:rsidRPr="004D451D" w:rsidRDefault="0025185D" w:rsidP="00AB4AE2">
            <w:pPr>
              <w:widowControl/>
              <w:jc w:val="center"/>
              <w:rPr>
                <w:rFonts w:eastAsia="標楷體"/>
                <w:kern w:val="0"/>
              </w:rPr>
            </w:pPr>
            <w:r w:rsidRPr="004D451D">
              <w:rPr>
                <w:rFonts w:eastAsia="標楷體"/>
                <w:kern w:val="0"/>
              </w:rPr>
              <w:t>2</w:t>
            </w:r>
          </w:p>
        </w:tc>
        <w:tc>
          <w:tcPr>
            <w:tcW w:w="2770" w:type="dxa"/>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論述不同形式變動薪酬的使用方式。</w:t>
            </w:r>
            <w:r w:rsidRPr="004D451D">
              <w:rPr>
                <w:rFonts w:eastAsia="標楷體"/>
                <w:kern w:val="0"/>
              </w:rPr>
              <w:t>(</w:t>
            </w:r>
            <w:r w:rsidRPr="004D451D">
              <w:rPr>
                <w:rFonts w:eastAsia="標楷體"/>
                <w:kern w:val="0"/>
              </w:rPr>
              <w:t>註：若個別員工間或員工群體間混合不同形式的變動薪酬，應陳述決定混合方式的因子及其相對重要性。</w:t>
            </w:r>
            <w:r w:rsidRPr="004D451D">
              <w:rPr>
                <w:rFonts w:eastAsia="標楷體"/>
                <w:kern w:val="0"/>
              </w:rPr>
              <w:t>)</w:t>
            </w:r>
          </w:p>
        </w:tc>
        <w:tc>
          <w:tcPr>
            <w:tcW w:w="6662" w:type="dxa"/>
            <w:shd w:val="clear" w:color="auto" w:fill="auto"/>
            <w:vAlign w:val="center"/>
            <w:hideMark/>
          </w:tcPr>
          <w:p w:rsidR="0025185D" w:rsidRPr="004D451D" w:rsidRDefault="0025185D" w:rsidP="00BD428E">
            <w:pPr>
              <w:widowControl/>
              <w:rPr>
                <w:rFonts w:ascii="標楷體" w:eastAsia="標楷體" w:hAnsi="標楷體" w:cs="新細明體"/>
                <w:kern w:val="0"/>
              </w:rPr>
            </w:pPr>
            <w:r w:rsidRPr="004D451D">
              <w:rPr>
                <w:rFonts w:ascii="標楷體" w:eastAsia="標楷體" w:hAnsi="標楷體" w:cs="新細明體" w:hint="eastAsia"/>
                <w:kern w:val="0"/>
              </w:rPr>
              <w:t>年終獎金發放數額由總經理視當年度業績情形與盈餘狀況簽請董事長核定。</w:t>
            </w:r>
          </w:p>
          <w:p w:rsidR="0025185D" w:rsidRPr="004D451D" w:rsidRDefault="0025185D" w:rsidP="00BD428E">
            <w:pPr>
              <w:widowControl/>
              <w:rPr>
                <w:rFonts w:ascii="標楷體" w:eastAsia="標楷體" w:hAnsi="標楷體" w:cs="新細明體"/>
                <w:kern w:val="0"/>
              </w:rPr>
            </w:pPr>
            <w:r w:rsidRPr="004D451D">
              <w:rPr>
                <w:rFonts w:ascii="標楷體" w:eastAsia="標楷體" w:hAnsi="標楷體" w:cs="新細明體" w:hint="eastAsia"/>
                <w:kern w:val="0"/>
              </w:rPr>
              <w:t>經理人年終獎金之發放條件及標準，應經董事會討論審議。</w:t>
            </w:r>
          </w:p>
          <w:p w:rsidR="0025185D" w:rsidRPr="004D451D" w:rsidRDefault="0025185D" w:rsidP="00BD428E">
            <w:pPr>
              <w:widowControl/>
              <w:rPr>
                <w:rFonts w:ascii="標楷體" w:eastAsia="標楷體" w:hAnsi="標楷體" w:cs="新細明體"/>
                <w:kern w:val="0"/>
              </w:rPr>
            </w:pPr>
            <w:r w:rsidRPr="004D451D">
              <w:rPr>
                <w:rFonts w:ascii="標楷體" w:eastAsia="標楷體" w:hAnsi="標楷體" w:cs="新細明體" w:hint="eastAsia"/>
                <w:kern w:val="0"/>
              </w:rPr>
              <w:t>員工個人年終獎金，參照所屬部門績效、個人績效及貢獻度，以現金或股票形式發給。其發給標準、數額及方式由董事長核定之。</w:t>
            </w:r>
          </w:p>
          <w:p w:rsidR="0025185D" w:rsidRPr="004D451D" w:rsidRDefault="0025185D" w:rsidP="00BD428E">
            <w:pPr>
              <w:widowControl/>
              <w:jc w:val="center"/>
              <w:rPr>
                <w:rFonts w:ascii="標楷體" w:eastAsia="標楷體" w:hAnsi="標楷體" w:cs="新細明體"/>
                <w:kern w:val="0"/>
              </w:rPr>
            </w:pPr>
            <w:r w:rsidRPr="004D451D">
              <w:rPr>
                <w:rFonts w:ascii="標楷體" w:eastAsia="標楷體" w:hAnsi="標楷體" w:cs="新細明體" w:hint="eastAsia"/>
                <w:kern w:val="0"/>
              </w:rPr>
              <w:t>員工持股信託之參加員工依其意願按月提撥一定金額(依職級訂定)</w:t>
            </w:r>
            <w:r w:rsidRPr="004D451D">
              <w:rPr>
                <w:rFonts w:ascii="新細明體" w:hAnsi="新細明體" w:cs="新細明體" w:hint="eastAsia"/>
                <w:kern w:val="0"/>
              </w:rPr>
              <w:t>，</w:t>
            </w:r>
            <w:r w:rsidRPr="004D451D">
              <w:rPr>
                <w:rFonts w:ascii="標楷體" w:eastAsia="標楷體" w:hAnsi="標楷體" w:cs="新細明體" w:hint="eastAsia"/>
                <w:kern w:val="0"/>
              </w:rPr>
              <w:t>公司定期相對提撥獎勵金(依個人考績訂定提撥比率)</w:t>
            </w:r>
          </w:p>
          <w:p w:rsidR="0025185D" w:rsidRPr="004D451D" w:rsidRDefault="0025185D" w:rsidP="00BD428E">
            <w:pPr>
              <w:widowControl/>
              <w:ind w:firstLineChars="8" w:firstLine="19"/>
              <w:rPr>
                <w:rFonts w:eastAsia="標楷體"/>
                <w:kern w:val="0"/>
              </w:rPr>
            </w:pPr>
            <w:r w:rsidRPr="004D451D">
              <w:rPr>
                <w:rFonts w:ascii="標楷體" w:eastAsia="標楷體" w:hAnsi="標楷體" w:cs="新細明體" w:hint="eastAsia"/>
                <w:kern w:val="0"/>
              </w:rPr>
              <w:t>存入專戶。</w:t>
            </w:r>
          </w:p>
        </w:tc>
      </w:tr>
      <w:tr w:rsidR="004D451D" w:rsidRPr="004D451D" w:rsidTr="000A16EB">
        <w:trPr>
          <w:trHeight w:val="345"/>
        </w:trPr>
        <w:tc>
          <w:tcPr>
            <w:tcW w:w="9649" w:type="dxa"/>
            <w:gridSpan w:val="3"/>
            <w:tcBorders>
              <w:left w:val="nil"/>
              <w:right w:val="nil"/>
            </w:tcBorders>
            <w:shd w:val="clear" w:color="auto" w:fill="auto"/>
            <w:noWrap/>
            <w:vAlign w:val="center"/>
            <w:hideMark/>
          </w:tcPr>
          <w:p w:rsidR="0025185D" w:rsidRPr="004D451D" w:rsidRDefault="0025185D" w:rsidP="00AB4AE2">
            <w:pPr>
              <w:widowControl/>
              <w:rPr>
                <w:rFonts w:eastAsia="標楷體"/>
                <w:kern w:val="0"/>
              </w:rPr>
            </w:pPr>
          </w:p>
        </w:tc>
      </w:tr>
      <w:tr w:rsidR="004D451D" w:rsidRPr="004D451D" w:rsidTr="000A16EB">
        <w:trPr>
          <w:trHeight w:val="345"/>
        </w:trPr>
        <w:tc>
          <w:tcPr>
            <w:tcW w:w="9649" w:type="dxa"/>
            <w:gridSpan w:val="3"/>
            <w:shd w:val="clear" w:color="000000" w:fill="D9D9D9"/>
            <w:noWrap/>
            <w:vAlign w:val="center"/>
            <w:hideMark/>
          </w:tcPr>
          <w:p w:rsidR="0025185D" w:rsidRPr="004D451D" w:rsidRDefault="0025185D" w:rsidP="00AB4AE2">
            <w:pPr>
              <w:widowControl/>
              <w:rPr>
                <w:rFonts w:eastAsia="標楷體"/>
                <w:kern w:val="0"/>
              </w:rPr>
            </w:pPr>
            <w:r w:rsidRPr="004D451D">
              <w:rPr>
                <w:rFonts w:eastAsia="標楷體"/>
                <w:kern w:val="0"/>
              </w:rPr>
              <w:t>(</w:t>
            </w:r>
            <w:r w:rsidRPr="004D451D">
              <w:rPr>
                <w:rFonts w:eastAsia="標楷體" w:hint="eastAsia"/>
                <w:kern w:val="0"/>
              </w:rPr>
              <w:t>G</w:t>
            </w:r>
            <w:r w:rsidRPr="004D451D">
              <w:rPr>
                <w:rFonts w:eastAsia="標楷體"/>
                <w:kern w:val="0"/>
              </w:rPr>
              <w:t>)</w:t>
            </w:r>
            <w:r w:rsidRPr="004D451D">
              <w:rPr>
                <w:rFonts w:eastAsia="標楷體"/>
                <w:kern w:val="0"/>
              </w:rPr>
              <w:t>附加說明</w:t>
            </w:r>
          </w:p>
        </w:tc>
      </w:tr>
      <w:tr w:rsidR="0025185D" w:rsidRPr="004D451D" w:rsidTr="000A16EB">
        <w:trPr>
          <w:trHeight w:val="750"/>
        </w:trPr>
        <w:tc>
          <w:tcPr>
            <w:tcW w:w="9649" w:type="dxa"/>
            <w:gridSpan w:val="3"/>
            <w:shd w:val="clear" w:color="auto" w:fill="auto"/>
            <w:noWrap/>
            <w:vAlign w:val="center"/>
            <w:hideMark/>
          </w:tcPr>
          <w:p w:rsidR="0025185D" w:rsidRPr="004D451D" w:rsidRDefault="0025185D" w:rsidP="00461CF3">
            <w:pPr>
              <w:widowControl/>
              <w:rPr>
                <w:rFonts w:eastAsia="標楷體"/>
                <w:kern w:val="0"/>
              </w:rPr>
            </w:pPr>
          </w:p>
        </w:tc>
      </w:tr>
    </w:tbl>
    <w:p w:rsidR="00AB4AE2" w:rsidRPr="004D451D" w:rsidRDefault="00AB4AE2" w:rsidP="00AB4AE2">
      <w:pPr>
        <w:rPr>
          <w:rFonts w:eastAsia="標楷體"/>
          <w:b/>
          <w:sz w:val="22"/>
          <w:szCs w:val="22"/>
        </w:rPr>
      </w:pPr>
    </w:p>
    <w:p w:rsidR="00AB4AE2" w:rsidRPr="004D451D" w:rsidRDefault="00AB4AE2" w:rsidP="00AB4AE2">
      <w:pPr>
        <w:spacing w:line="240" w:lineRule="atLeast"/>
        <w:ind w:left="1218" w:hangingChars="507" w:hanging="1218"/>
        <w:rPr>
          <w:rFonts w:eastAsia="標楷體"/>
          <w:b/>
        </w:rPr>
      </w:pPr>
      <w:r w:rsidRPr="004D451D">
        <w:rPr>
          <w:rFonts w:eastAsia="標楷體"/>
          <w:b/>
        </w:rPr>
        <w:t>填表說明：</w:t>
      </w:r>
    </w:p>
    <w:p w:rsidR="00AB4AE2" w:rsidRPr="004D451D" w:rsidRDefault="00AB4AE2" w:rsidP="009F53B0">
      <w:pPr>
        <w:numPr>
          <w:ilvl w:val="0"/>
          <w:numId w:val="117"/>
        </w:numPr>
        <w:spacing w:line="240" w:lineRule="atLeast"/>
        <w:ind w:leftChars="150" w:left="720" w:hangingChars="150" w:hanging="360"/>
        <w:rPr>
          <w:rFonts w:eastAsia="標楷體"/>
        </w:rPr>
      </w:pPr>
      <w:r w:rsidRPr="004D451D">
        <w:rPr>
          <w:rFonts w:eastAsia="標楷體"/>
        </w:rPr>
        <w:t>本表更新頻率：年。</w:t>
      </w:r>
    </w:p>
    <w:p w:rsidR="00AB4AE2" w:rsidRPr="004D451D" w:rsidRDefault="00AB4AE2" w:rsidP="009F53B0">
      <w:pPr>
        <w:numPr>
          <w:ilvl w:val="0"/>
          <w:numId w:val="117"/>
        </w:numPr>
        <w:spacing w:line="240" w:lineRule="atLeast"/>
        <w:ind w:leftChars="150" w:left="720" w:hangingChars="150" w:hanging="360"/>
        <w:rPr>
          <w:rFonts w:eastAsia="標楷體"/>
        </w:rPr>
      </w:pPr>
      <w:r w:rsidRPr="004D451D">
        <w:rPr>
          <w:rFonts w:eastAsia="標楷體"/>
        </w:rPr>
        <w:t>本表採個體基礎填報。</w:t>
      </w:r>
    </w:p>
    <w:p w:rsidR="00AB4AE2" w:rsidRPr="004D451D" w:rsidRDefault="00AB4AE2" w:rsidP="009F53B0">
      <w:pPr>
        <w:numPr>
          <w:ilvl w:val="0"/>
          <w:numId w:val="117"/>
        </w:numPr>
        <w:spacing w:line="240" w:lineRule="atLeast"/>
        <w:ind w:leftChars="150" w:left="720" w:hangingChars="150" w:hanging="360"/>
        <w:rPr>
          <w:rFonts w:eastAsia="標楷體"/>
        </w:rPr>
      </w:pPr>
      <w:r w:rsidRPr="004D451D">
        <w:rPr>
          <w:rFonts w:eastAsia="標楷體" w:hint="eastAsia"/>
        </w:rPr>
        <w:t>高階管理人員：依本國「銀行年報應行記載事項準則」所定義之酬金揭露方式之層級。</w:t>
      </w:r>
    </w:p>
    <w:p w:rsidR="00AB4AE2" w:rsidRPr="004D451D" w:rsidRDefault="00AB4AE2" w:rsidP="009F53B0">
      <w:pPr>
        <w:numPr>
          <w:ilvl w:val="0"/>
          <w:numId w:val="117"/>
        </w:numPr>
        <w:spacing w:line="240" w:lineRule="atLeast"/>
        <w:ind w:leftChars="150" w:left="720" w:hangingChars="150" w:hanging="360"/>
        <w:rPr>
          <w:rFonts w:eastAsia="標楷體"/>
        </w:rPr>
      </w:pPr>
      <w:r w:rsidRPr="004D451D">
        <w:rPr>
          <w:rFonts w:eastAsia="標楷體" w:hint="eastAsia"/>
        </w:rPr>
        <w:t>其他重大風險承擔人：依本國「銀行年報應行記載事項準則」所定義之酬金揭露方式之層級的下一階級職稱</w:t>
      </w:r>
      <w:r w:rsidRPr="004D451D">
        <w:rPr>
          <w:rFonts w:eastAsia="標楷體"/>
        </w:rPr>
        <w:t>。</w:t>
      </w:r>
    </w:p>
    <w:p w:rsidR="00AB4AE2" w:rsidRPr="004D451D" w:rsidRDefault="00AB4AE2" w:rsidP="00AB4AE2">
      <w:pPr>
        <w:spacing w:line="240" w:lineRule="atLeast"/>
        <w:ind w:left="480"/>
        <w:rPr>
          <w:rFonts w:eastAsia="標楷體"/>
        </w:rPr>
      </w:pPr>
    </w:p>
    <w:p w:rsidR="00AB4AE2" w:rsidRPr="004D451D" w:rsidRDefault="00AB4AE2" w:rsidP="00AB4AE2">
      <w:pPr>
        <w:spacing w:line="240" w:lineRule="atLeast"/>
        <w:rPr>
          <w:rFonts w:eastAsia="標楷體"/>
          <w:b/>
          <w:sz w:val="32"/>
          <w:szCs w:val="32"/>
        </w:rPr>
      </w:pPr>
      <w:r w:rsidRPr="004D451D">
        <w:rPr>
          <w:rFonts w:eastAsia="標楷體"/>
        </w:rPr>
        <w:br w:type="page"/>
      </w:r>
      <w:r w:rsidRPr="004D451D">
        <w:rPr>
          <w:rFonts w:eastAsia="標楷體"/>
          <w:sz w:val="32"/>
          <w:szCs w:val="32"/>
        </w:rPr>
        <w:t>【</w:t>
      </w:r>
      <w:r w:rsidRPr="004D451D">
        <w:rPr>
          <w:rFonts w:eastAsia="標楷體"/>
          <w:b/>
          <w:sz w:val="32"/>
          <w:szCs w:val="32"/>
        </w:rPr>
        <w:t>附表</w:t>
      </w:r>
      <w:r w:rsidRPr="004D451D">
        <w:rPr>
          <w:rFonts w:eastAsia="標楷體" w:hint="eastAsia"/>
          <w:b/>
          <w:sz w:val="32"/>
          <w:szCs w:val="32"/>
        </w:rPr>
        <w:t>五十四</w:t>
      </w:r>
      <w:r w:rsidRPr="004D451D">
        <w:rPr>
          <w:rFonts w:eastAsia="標楷體"/>
          <w:sz w:val="32"/>
          <w:szCs w:val="32"/>
        </w:rPr>
        <w:t>】</w:t>
      </w:r>
      <w:r w:rsidR="00C20299" w:rsidRPr="004D451D">
        <w:rPr>
          <w:rFonts w:eastAsia="標楷體"/>
          <w:b/>
          <w:sz w:val="32"/>
          <w:szCs w:val="32"/>
        </w:rPr>
        <w:t>(</w:t>
      </w:r>
      <w:r w:rsidR="00C20299" w:rsidRPr="004D451D">
        <w:rPr>
          <w:rFonts w:eastAsia="標楷體"/>
          <w:b/>
          <w:sz w:val="32"/>
          <w:szCs w:val="32"/>
        </w:rPr>
        <w:t>半年度不需揭露</w:t>
      </w:r>
      <w:r w:rsidR="00C20299" w:rsidRPr="004D451D">
        <w:rPr>
          <w:rFonts w:eastAsia="標楷體"/>
          <w:b/>
          <w:sz w:val="32"/>
          <w:szCs w:val="32"/>
        </w:rPr>
        <w:t>)</w:t>
      </w:r>
    </w:p>
    <w:p w:rsidR="00AB4AE2" w:rsidRPr="004D451D" w:rsidRDefault="00834FBD" w:rsidP="00AB4AE2">
      <w:pPr>
        <w:pStyle w:val="ad"/>
        <w:spacing w:before="120" w:after="120" w:line="240" w:lineRule="auto"/>
        <w:ind w:left="0" w:firstLine="0"/>
        <w:jc w:val="center"/>
        <w:rPr>
          <w:rFonts w:ascii="Times New Roman" w:hAnsi="Times New Roman"/>
          <w:b/>
        </w:rPr>
      </w:pPr>
      <w:r w:rsidRPr="004D451D">
        <w:rPr>
          <w:rFonts w:ascii="Times New Roman" w:hAnsi="Times New Roman" w:hint="eastAsia"/>
          <w:b/>
        </w:rPr>
        <w:t>財務年度期間之</w:t>
      </w:r>
      <w:r w:rsidR="00AB4AE2" w:rsidRPr="004D451D">
        <w:rPr>
          <w:rFonts w:ascii="Times New Roman" w:hAnsi="Times New Roman" w:hint="eastAsia"/>
          <w:b/>
        </w:rPr>
        <w:t>薪酬揭露表</w:t>
      </w:r>
    </w:p>
    <w:p w:rsidR="00AB4AE2" w:rsidRPr="004D451D" w:rsidRDefault="0025185D" w:rsidP="005860EA">
      <w:pPr>
        <w:pStyle w:val="ad"/>
        <w:spacing w:before="120" w:after="120" w:line="240" w:lineRule="auto"/>
        <w:ind w:left="0" w:right="160" w:firstLine="0"/>
        <w:jc w:val="right"/>
        <w:rPr>
          <w:rFonts w:ascii="Times New Roman" w:hAnsi="Times New Roman"/>
          <w:szCs w:val="32"/>
        </w:rPr>
      </w:pPr>
      <w:r w:rsidRPr="004D451D">
        <w:rPr>
          <w:rFonts w:ascii="Times New Roman" w:hAnsi="Times New Roman" w:hint="eastAsia"/>
          <w:szCs w:val="32"/>
        </w:rPr>
        <w:t>10</w:t>
      </w:r>
      <w:r w:rsidR="00C20299" w:rsidRPr="004D451D">
        <w:rPr>
          <w:rFonts w:ascii="Times New Roman" w:hAnsi="Times New Roman" w:hint="eastAsia"/>
          <w:szCs w:val="32"/>
        </w:rPr>
        <w:t>7</w:t>
      </w:r>
      <w:r w:rsidR="00AB4AE2" w:rsidRPr="004D451D">
        <w:rPr>
          <w:rFonts w:ascii="Times New Roman" w:hAnsi="Times New Roman"/>
          <w:szCs w:val="32"/>
        </w:rPr>
        <w:t>年</w:t>
      </w:r>
      <w:r w:rsidR="00C20299" w:rsidRPr="004D451D">
        <w:rPr>
          <w:rFonts w:ascii="Times New Roman" w:hAnsi="Times New Roman" w:hint="eastAsia"/>
          <w:szCs w:val="32"/>
        </w:rPr>
        <w:t>06</w:t>
      </w:r>
      <w:r w:rsidR="00AB4AE2" w:rsidRPr="004D451D">
        <w:rPr>
          <w:rFonts w:ascii="Times New Roman" w:hAnsi="Times New Roman"/>
          <w:szCs w:val="32"/>
        </w:rPr>
        <w:t>月</w:t>
      </w:r>
      <w:r w:rsidRPr="004D451D">
        <w:rPr>
          <w:rFonts w:ascii="Times New Roman" w:hAnsi="Times New Roman" w:hint="eastAsia"/>
          <w:szCs w:val="32"/>
        </w:rPr>
        <w:t>3</w:t>
      </w:r>
      <w:r w:rsidR="00C20299" w:rsidRPr="004D451D">
        <w:rPr>
          <w:rFonts w:ascii="Times New Roman" w:hAnsi="Times New Roman" w:hint="eastAsia"/>
          <w:szCs w:val="32"/>
        </w:rPr>
        <w:t>0</w:t>
      </w:r>
      <w:r w:rsidR="00AB4AE2" w:rsidRPr="004D451D">
        <w:rPr>
          <w:rFonts w:ascii="Times New Roman" w:hAnsi="Times New Roman"/>
          <w:szCs w:val="32"/>
        </w:rPr>
        <w:t>日</w:t>
      </w:r>
      <w:r w:rsidR="00AB4AE2" w:rsidRPr="004D451D">
        <w:rPr>
          <w:rFonts w:ascii="Times New Roman" w:hAnsi="Times New Roman" w:hint="eastAsia"/>
          <w:szCs w:val="32"/>
        </w:rPr>
        <w:t xml:space="preserve">　　</w:t>
      </w:r>
      <w:r w:rsidR="00AB4AE2" w:rsidRPr="004D451D">
        <w:rPr>
          <w:rFonts w:ascii="Times New Roman" w:hAnsi="Times New Roman" w:hint="eastAsia"/>
          <w:sz w:val="24"/>
          <w:szCs w:val="32"/>
        </w:rPr>
        <w:t>（</w:t>
      </w:r>
      <w:r w:rsidR="00AB4AE2" w:rsidRPr="004D451D">
        <w:rPr>
          <w:rFonts w:ascii="Times New Roman" w:hAnsi="Times New Roman"/>
          <w:sz w:val="24"/>
        </w:rPr>
        <w:t>單位：新臺幣千元</w:t>
      </w:r>
      <w:r w:rsidR="00AB4AE2" w:rsidRPr="004D451D">
        <w:rPr>
          <w:rFonts w:ascii="Times New Roman" w:hAnsi="Times New Roman" w:hint="eastAsia"/>
          <w:sz w:val="24"/>
        </w:rPr>
        <w:t>）</w:t>
      </w:r>
    </w:p>
    <w:tbl>
      <w:tblPr>
        <w:tblW w:w="9361" w:type="dxa"/>
        <w:tblInd w:w="23" w:type="dxa"/>
        <w:tblCellMar>
          <w:left w:w="28" w:type="dxa"/>
          <w:right w:w="28" w:type="dxa"/>
        </w:tblCellMar>
        <w:tblLook w:val="04A0" w:firstRow="1" w:lastRow="0" w:firstColumn="1" w:lastColumn="0" w:noHBand="0" w:noVBand="1"/>
      </w:tblPr>
      <w:tblGrid>
        <w:gridCol w:w="714"/>
        <w:gridCol w:w="709"/>
        <w:gridCol w:w="3260"/>
        <w:gridCol w:w="2126"/>
        <w:gridCol w:w="2552"/>
      </w:tblGrid>
      <w:tr w:rsidR="004D451D" w:rsidRPr="004D451D" w:rsidTr="0020017F">
        <w:trPr>
          <w:trHeight w:val="484"/>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4D451D" w:rsidRDefault="0020017F" w:rsidP="0020017F">
            <w:pPr>
              <w:widowControl/>
              <w:jc w:val="center"/>
              <w:rPr>
                <w:rFonts w:eastAsia="標楷體"/>
                <w:kern w:val="0"/>
              </w:rPr>
            </w:pPr>
            <w:r w:rsidRPr="004D451D">
              <w:rPr>
                <w:rFonts w:eastAsia="標楷體" w:hint="eastAsia"/>
                <w:kern w:val="0"/>
              </w:rPr>
              <w:t>項次</w:t>
            </w: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項目</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高階管理人員</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其他重大風險承擔人</w:t>
            </w:r>
          </w:p>
        </w:tc>
      </w:tr>
      <w:tr w:rsidR="004D451D" w:rsidRPr="004D451D" w:rsidTr="0020017F">
        <w:trPr>
          <w:trHeight w:val="42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B4AE2" w:rsidRPr="004D451D" w:rsidRDefault="00AB4AE2" w:rsidP="00AB4AE2">
            <w:pPr>
              <w:widowControl/>
              <w:rPr>
                <w:rFonts w:eastAsia="標楷體"/>
                <w:kern w:val="0"/>
              </w:rPr>
            </w:pPr>
          </w:p>
        </w:tc>
        <w:tc>
          <w:tcPr>
            <w:tcW w:w="3969" w:type="dxa"/>
            <w:gridSpan w:val="2"/>
            <w:tcBorders>
              <w:top w:val="single" w:sz="4" w:space="0" w:color="auto"/>
              <w:left w:val="nil"/>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薪酬金額</w:t>
            </w:r>
          </w:p>
        </w:tc>
        <w:tc>
          <w:tcPr>
            <w:tcW w:w="2126" w:type="dxa"/>
            <w:tcBorders>
              <w:top w:val="nil"/>
              <w:left w:val="nil"/>
              <w:bottom w:val="single" w:sz="4" w:space="0" w:color="auto"/>
              <w:right w:val="single" w:sz="4" w:space="0" w:color="auto"/>
            </w:tcBorders>
            <w:shd w:val="clear" w:color="auto" w:fill="auto"/>
            <w:vAlign w:val="center"/>
            <w:hideMark/>
          </w:tcPr>
          <w:p w:rsidR="00AB4AE2" w:rsidRPr="004D451D" w:rsidRDefault="005C600A" w:rsidP="00AB4AE2">
            <w:pPr>
              <w:widowControl/>
              <w:jc w:val="center"/>
              <w:rPr>
                <w:rFonts w:eastAsia="標楷體"/>
                <w:kern w:val="0"/>
              </w:rPr>
            </w:pPr>
            <w:r w:rsidRPr="004D451D">
              <w:rPr>
                <w:rFonts w:eastAsia="標楷體" w:hint="eastAsia"/>
                <w:kern w:val="0"/>
              </w:rPr>
              <w:t>A</w:t>
            </w:r>
          </w:p>
        </w:tc>
        <w:tc>
          <w:tcPr>
            <w:tcW w:w="2552" w:type="dxa"/>
            <w:tcBorders>
              <w:top w:val="nil"/>
              <w:left w:val="nil"/>
              <w:bottom w:val="single" w:sz="4" w:space="0" w:color="auto"/>
              <w:right w:val="single" w:sz="4" w:space="0" w:color="auto"/>
            </w:tcBorders>
            <w:shd w:val="clear" w:color="auto" w:fill="auto"/>
            <w:vAlign w:val="center"/>
            <w:hideMark/>
          </w:tcPr>
          <w:p w:rsidR="00AB4AE2" w:rsidRPr="004D451D" w:rsidRDefault="005C600A" w:rsidP="00AB4AE2">
            <w:pPr>
              <w:widowControl/>
              <w:jc w:val="center"/>
              <w:rPr>
                <w:rFonts w:eastAsia="標楷體"/>
                <w:kern w:val="0"/>
              </w:rPr>
            </w:pPr>
            <w:r w:rsidRPr="004D451D">
              <w:rPr>
                <w:rFonts w:eastAsia="標楷體" w:hint="eastAsia"/>
                <w:kern w:val="0"/>
              </w:rPr>
              <w:t>B</w:t>
            </w:r>
          </w:p>
        </w:tc>
      </w:tr>
      <w:tr w:rsidR="004D451D" w:rsidRPr="004D451D" w:rsidTr="0020017F">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25185D" w:rsidRPr="004D451D" w:rsidRDefault="0025185D" w:rsidP="00AB4AE2">
            <w:pPr>
              <w:widowControl/>
              <w:jc w:val="center"/>
              <w:rPr>
                <w:rFonts w:eastAsia="標楷體"/>
                <w:kern w:val="0"/>
              </w:rPr>
            </w:pPr>
            <w:r w:rsidRPr="004D451D">
              <w:rPr>
                <w:rFonts w:eastAsia="標楷體"/>
                <w:kern w:val="0"/>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5185D" w:rsidRPr="004D451D" w:rsidRDefault="0025185D" w:rsidP="00AB4AE2">
            <w:pPr>
              <w:widowControl/>
              <w:jc w:val="center"/>
              <w:rPr>
                <w:rFonts w:eastAsia="標楷體"/>
                <w:kern w:val="0"/>
              </w:rPr>
            </w:pPr>
            <w:r w:rsidRPr="004D451D">
              <w:rPr>
                <w:rFonts w:eastAsia="標楷體"/>
                <w:kern w:val="0"/>
              </w:rPr>
              <w:t>固定薪酬</w:t>
            </w:r>
          </w:p>
        </w:tc>
        <w:tc>
          <w:tcPr>
            <w:tcW w:w="3260" w:type="dxa"/>
            <w:tcBorders>
              <w:top w:val="nil"/>
              <w:left w:val="nil"/>
              <w:bottom w:val="single" w:sz="4" w:space="0" w:color="auto"/>
              <w:right w:val="single" w:sz="4" w:space="0" w:color="auto"/>
            </w:tcBorders>
            <w:shd w:val="clear" w:color="auto" w:fill="auto"/>
            <w:vAlign w:val="center"/>
            <w:hideMark/>
          </w:tcPr>
          <w:p w:rsidR="0025185D" w:rsidRPr="004D451D" w:rsidRDefault="0025185D" w:rsidP="00AB4AE2">
            <w:pPr>
              <w:widowControl/>
              <w:rPr>
                <w:rFonts w:eastAsia="標楷體"/>
                <w:kern w:val="0"/>
              </w:rPr>
            </w:pPr>
            <w:r w:rsidRPr="004D451D">
              <w:rPr>
                <w:rFonts w:eastAsia="標楷體"/>
                <w:kern w:val="0"/>
              </w:rPr>
              <w:t>員工人數</w:t>
            </w:r>
          </w:p>
        </w:tc>
        <w:tc>
          <w:tcPr>
            <w:tcW w:w="2126" w:type="dxa"/>
            <w:tcBorders>
              <w:top w:val="nil"/>
              <w:left w:val="nil"/>
              <w:bottom w:val="single" w:sz="4" w:space="0" w:color="auto"/>
              <w:right w:val="single" w:sz="4" w:space="0" w:color="auto"/>
            </w:tcBorders>
            <w:shd w:val="clear" w:color="auto" w:fill="auto"/>
            <w:vAlign w:val="center"/>
          </w:tcPr>
          <w:p w:rsidR="0025185D" w:rsidRPr="004D451D" w:rsidRDefault="00C20299" w:rsidP="00BD428E">
            <w:pPr>
              <w:widowControl/>
              <w:jc w:val="center"/>
              <w:rPr>
                <w:rFonts w:ascii="標楷體" w:eastAsia="標楷體" w:hAnsi="標楷體"/>
                <w:kern w:val="0"/>
              </w:rP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vAlign w:val="center"/>
          </w:tcPr>
          <w:p w:rsidR="0025185D" w:rsidRPr="004D451D" w:rsidRDefault="00C20299" w:rsidP="00C20299">
            <w:pPr>
              <w:widowControl/>
              <w:jc w:val="center"/>
              <w:rPr>
                <w:rFonts w:ascii="標楷體" w:eastAsia="標楷體" w:hAnsi="標楷體"/>
                <w:kern w:val="0"/>
              </w:rPr>
            </w:pPr>
            <w:r w:rsidRPr="004D451D">
              <w:rPr>
                <w:rFonts w:ascii="標楷體" w:eastAsia="標楷體" w:hAnsi="標楷體" w:hint="eastAsia"/>
                <w:kern w:val="0"/>
              </w:rPr>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2</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AB4AE2">
            <w:pPr>
              <w:widowControl/>
              <w:rPr>
                <w:rFonts w:eastAsia="標楷體"/>
                <w:kern w:val="0"/>
              </w:rPr>
            </w:pPr>
            <w:r w:rsidRPr="004D451D">
              <w:rPr>
                <w:rFonts w:eastAsia="標楷體"/>
                <w:kern w:val="0"/>
              </w:rPr>
              <w:t>總固定薪酬</w:t>
            </w:r>
            <w:r w:rsidRPr="004D451D">
              <w:rPr>
                <w:rFonts w:eastAsia="標楷體"/>
                <w:kern w:val="0"/>
              </w:rPr>
              <w:t>(3+5+7)</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3</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現金基礎</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4</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200" w:firstLine="480"/>
              <w:rPr>
                <w:rFonts w:eastAsia="標楷體"/>
                <w:kern w:val="0"/>
              </w:rPr>
            </w:pPr>
            <w:r w:rsidRPr="004D451D">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5</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股票或其他股票連結商品</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6</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200" w:firstLine="480"/>
              <w:rPr>
                <w:rFonts w:eastAsia="標楷體"/>
                <w:kern w:val="0"/>
              </w:rPr>
            </w:pPr>
            <w:r w:rsidRPr="004D451D">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7</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其他</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8</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200" w:firstLine="480"/>
              <w:rPr>
                <w:rFonts w:eastAsia="標楷體"/>
                <w:kern w:val="0"/>
              </w:rPr>
            </w:pPr>
            <w:r w:rsidRPr="004D451D">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9</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變動薪酬</w:t>
            </w: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AB4AE2">
            <w:pPr>
              <w:widowControl/>
              <w:rPr>
                <w:rFonts w:eastAsia="標楷體"/>
                <w:kern w:val="0"/>
              </w:rPr>
            </w:pPr>
            <w:r w:rsidRPr="004D451D">
              <w:rPr>
                <w:rFonts w:eastAsia="標楷體"/>
                <w:kern w:val="0"/>
              </w:rPr>
              <w:t>員工人數</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10</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AB4AE2">
            <w:pPr>
              <w:widowControl/>
              <w:rPr>
                <w:rFonts w:eastAsia="標楷體"/>
                <w:kern w:val="0"/>
              </w:rPr>
            </w:pPr>
            <w:r w:rsidRPr="004D451D">
              <w:rPr>
                <w:rFonts w:eastAsia="標楷體"/>
                <w:kern w:val="0"/>
              </w:rPr>
              <w:t>總變動薪酬</w:t>
            </w:r>
            <w:r w:rsidRPr="004D451D">
              <w:rPr>
                <w:rFonts w:eastAsia="標楷體"/>
                <w:kern w:val="0"/>
              </w:rPr>
              <w:t>(11+13+15)</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11</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現金基礎</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12</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200" w:firstLine="480"/>
              <w:rPr>
                <w:rFonts w:eastAsia="標楷體"/>
                <w:kern w:val="0"/>
              </w:rPr>
            </w:pPr>
            <w:r w:rsidRPr="004D451D">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13</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股票或其他股票連結商品</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14</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200" w:firstLine="480"/>
              <w:rPr>
                <w:rFonts w:eastAsia="標楷體"/>
                <w:kern w:val="0"/>
              </w:rPr>
            </w:pPr>
            <w:r w:rsidRPr="004D451D">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15</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其他</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16</w:t>
            </w:r>
          </w:p>
        </w:tc>
        <w:tc>
          <w:tcPr>
            <w:tcW w:w="709" w:type="dxa"/>
            <w:vMerge/>
            <w:tcBorders>
              <w:top w:val="nil"/>
              <w:left w:val="single" w:sz="4" w:space="0" w:color="auto"/>
              <w:bottom w:val="single" w:sz="4" w:space="0" w:color="auto"/>
              <w:right w:val="single" w:sz="4" w:space="0" w:color="auto"/>
            </w:tcBorders>
            <w:vAlign w:val="center"/>
            <w:hideMark/>
          </w:tcPr>
          <w:p w:rsidR="00C20299" w:rsidRPr="004D451D" w:rsidRDefault="00C20299" w:rsidP="00AB4AE2">
            <w:pPr>
              <w:widowControl/>
              <w:rPr>
                <w:rFonts w:eastAsia="標楷體"/>
                <w:kern w:val="0"/>
              </w:rPr>
            </w:pPr>
          </w:p>
        </w:tc>
        <w:tc>
          <w:tcPr>
            <w:tcW w:w="3260" w:type="dxa"/>
            <w:tcBorders>
              <w:top w:val="nil"/>
              <w:left w:val="nil"/>
              <w:bottom w:val="single" w:sz="4" w:space="0" w:color="auto"/>
              <w:right w:val="single" w:sz="4" w:space="0" w:color="auto"/>
            </w:tcBorders>
            <w:shd w:val="clear" w:color="auto" w:fill="auto"/>
            <w:vAlign w:val="center"/>
            <w:hideMark/>
          </w:tcPr>
          <w:p w:rsidR="00C20299" w:rsidRPr="004D451D" w:rsidRDefault="00C20299" w:rsidP="00FD1B03">
            <w:pPr>
              <w:widowControl/>
              <w:ind w:firstLineChars="200" w:firstLine="480"/>
              <w:rPr>
                <w:rFonts w:eastAsia="標楷體"/>
                <w:kern w:val="0"/>
              </w:rPr>
            </w:pPr>
            <w:r w:rsidRPr="004D451D">
              <w:rPr>
                <w:rFonts w:eastAsia="標楷體"/>
                <w:kern w:val="0"/>
              </w:rPr>
              <w:t>遞延</w:t>
            </w:r>
          </w:p>
        </w:tc>
        <w:tc>
          <w:tcPr>
            <w:tcW w:w="2126"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t>-</w:t>
            </w:r>
          </w:p>
        </w:tc>
      </w:tr>
      <w:tr w:rsidR="004D451D" w:rsidRPr="004D451D" w:rsidTr="0061578E">
        <w:trPr>
          <w:trHeight w:val="402"/>
        </w:trPr>
        <w:tc>
          <w:tcPr>
            <w:tcW w:w="714" w:type="dxa"/>
            <w:tcBorders>
              <w:top w:val="nil"/>
              <w:left w:val="single" w:sz="4" w:space="0" w:color="auto"/>
              <w:bottom w:val="nil"/>
              <w:right w:val="single" w:sz="4" w:space="0" w:color="auto"/>
            </w:tcBorders>
            <w:shd w:val="clear" w:color="auto" w:fill="auto"/>
            <w:vAlign w:val="center"/>
            <w:hideMark/>
          </w:tcPr>
          <w:p w:rsidR="00C20299" w:rsidRPr="004D451D" w:rsidRDefault="00C20299" w:rsidP="00AB4AE2">
            <w:pPr>
              <w:widowControl/>
              <w:jc w:val="center"/>
              <w:rPr>
                <w:rFonts w:eastAsia="標楷體"/>
                <w:kern w:val="0"/>
              </w:rPr>
            </w:pPr>
            <w:r w:rsidRPr="004D451D">
              <w:rPr>
                <w:rFonts w:eastAsia="標楷體"/>
                <w:kern w:val="0"/>
              </w:rPr>
              <w:t>17</w:t>
            </w:r>
          </w:p>
        </w:tc>
        <w:tc>
          <w:tcPr>
            <w:tcW w:w="3969" w:type="dxa"/>
            <w:gridSpan w:val="2"/>
            <w:tcBorders>
              <w:top w:val="single" w:sz="4" w:space="0" w:color="auto"/>
              <w:left w:val="nil"/>
              <w:bottom w:val="nil"/>
              <w:right w:val="single" w:sz="4" w:space="0" w:color="auto"/>
            </w:tcBorders>
            <w:shd w:val="clear" w:color="auto" w:fill="auto"/>
            <w:vAlign w:val="center"/>
            <w:hideMark/>
          </w:tcPr>
          <w:p w:rsidR="00C20299" w:rsidRPr="004D451D" w:rsidRDefault="00C20299" w:rsidP="00AB4AE2">
            <w:pPr>
              <w:widowControl/>
              <w:rPr>
                <w:rFonts w:eastAsia="標楷體"/>
                <w:kern w:val="0"/>
              </w:rPr>
            </w:pPr>
            <w:r w:rsidRPr="004D451D">
              <w:rPr>
                <w:rFonts w:eastAsia="標楷體"/>
                <w:kern w:val="0"/>
              </w:rPr>
              <w:t>總薪酬</w:t>
            </w:r>
            <w:r w:rsidRPr="004D451D">
              <w:rPr>
                <w:rFonts w:eastAsia="標楷體"/>
                <w:kern w:val="0"/>
              </w:rPr>
              <w:t>(2+10)</w:t>
            </w:r>
          </w:p>
        </w:tc>
        <w:tc>
          <w:tcPr>
            <w:tcW w:w="2126" w:type="dxa"/>
            <w:tcBorders>
              <w:top w:val="nil"/>
              <w:left w:val="nil"/>
              <w:bottom w:val="nil"/>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c>
          <w:tcPr>
            <w:tcW w:w="2552" w:type="dxa"/>
            <w:tcBorders>
              <w:top w:val="nil"/>
              <w:left w:val="nil"/>
              <w:bottom w:val="nil"/>
              <w:right w:val="single" w:sz="4" w:space="0" w:color="auto"/>
            </w:tcBorders>
            <w:shd w:val="clear" w:color="auto" w:fill="auto"/>
          </w:tcPr>
          <w:p w:rsidR="00C20299" w:rsidRPr="004D451D" w:rsidRDefault="00C20299" w:rsidP="00C20299">
            <w:pPr>
              <w:jc w:val="center"/>
            </w:pPr>
            <w:r w:rsidRPr="004D451D">
              <w:rPr>
                <w:rFonts w:ascii="標楷體" w:eastAsia="標楷體" w:hAnsi="標楷體" w:hint="eastAsia"/>
                <w:kern w:val="0"/>
              </w:rPr>
              <w:t>-</w:t>
            </w:r>
          </w:p>
        </w:tc>
      </w:tr>
      <w:tr w:rsidR="0025185D" w:rsidRPr="004D451D" w:rsidTr="0020017F">
        <w:trPr>
          <w:trHeight w:val="960"/>
        </w:trPr>
        <w:tc>
          <w:tcPr>
            <w:tcW w:w="936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5185D" w:rsidRPr="004D451D" w:rsidRDefault="0025185D" w:rsidP="00AB4AE2">
            <w:pPr>
              <w:widowControl/>
              <w:rPr>
                <w:rFonts w:eastAsia="標楷體"/>
                <w:kern w:val="0"/>
              </w:rPr>
            </w:pPr>
            <w:r w:rsidRPr="004D451D">
              <w:rPr>
                <w:rFonts w:eastAsia="標楷體"/>
                <w:kern w:val="0"/>
              </w:rPr>
              <w:t>重大變動原因說明：</w:t>
            </w:r>
          </w:p>
        </w:tc>
      </w:tr>
    </w:tbl>
    <w:p w:rsidR="00AB4AE2" w:rsidRPr="004D451D" w:rsidRDefault="00AB4AE2" w:rsidP="00AB4AE2">
      <w:pPr>
        <w:pStyle w:val="ad"/>
        <w:spacing w:line="360" w:lineRule="auto"/>
        <w:ind w:leftChars="23" w:left="1013" w:right="555"/>
        <w:rPr>
          <w:rFonts w:ascii="Times New Roman" w:hAnsi="Times New Roman"/>
          <w:b/>
          <w:sz w:val="24"/>
        </w:rPr>
      </w:pPr>
    </w:p>
    <w:p w:rsidR="00AB4AE2" w:rsidRPr="004D451D" w:rsidRDefault="00AB4AE2" w:rsidP="0020017F">
      <w:pPr>
        <w:pStyle w:val="ad"/>
        <w:spacing w:line="240" w:lineRule="atLeast"/>
        <w:ind w:left="0" w:firstLine="0"/>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AB4AE2" w:rsidRPr="004D451D" w:rsidRDefault="00AB4AE2" w:rsidP="009F53B0">
      <w:pPr>
        <w:numPr>
          <w:ilvl w:val="0"/>
          <w:numId w:val="118"/>
        </w:numPr>
        <w:spacing w:line="240" w:lineRule="atLeast"/>
        <w:ind w:leftChars="150" w:left="720" w:hangingChars="150"/>
        <w:rPr>
          <w:rFonts w:eastAsia="標楷體"/>
        </w:rPr>
      </w:pPr>
      <w:r w:rsidRPr="004D451D">
        <w:rPr>
          <w:rFonts w:eastAsia="標楷體"/>
        </w:rPr>
        <w:t>本表更新頻率：年。</w:t>
      </w:r>
    </w:p>
    <w:p w:rsidR="00AB4AE2" w:rsidRPr="004D451D" w:rsidRDefault="00AB4AE2" w:rsidP="009F53B0">
      <w:pPr>
        <w:numPr>
          <w:ilvl w:val="0"/>
          <w:numId w:val="118"/>
        </w:numPr>
        <w:spacing w:line="240" w:lineRule="atLeast"/>
        <w:ind w:leftChars="150" w:left="720" w:hangingChars="150"/>
        <w:rPr>
          <w:rFonts w:eastAsia="標楷體"/>
        </w:rPr>
      </w:pPr>
      <w:r w:rsidRPr="004D451D">
        <w:rPr>
          <w:rFonts w:eastAsia="標楷體"/>
        </w:rPr>
        <w:t>本表採個體基礎填報。</w:t>
      </w:r>
    </w:p>
    <w:p w:rsidR="00AB4AE2" w:rsidRPr="004D451D" w:rsidRDefault="00AB4AE2" w:rsidP="009F53B0">
      <w:pPr>
        <w:numPr>
          <w:ilvl w:val="0"/>
          <w:numId w:val="118"/>
        </w:numPr>
        <w:spacing w:line="240" w:lineRule="atLeast"/>
        <w:ind w:leftChars="150" w:left="720" w:hangingChars="150"/>
        <w:rPr>
          <w:rFonts w:eastAsia="標楷體"/>
        </w:rPr>
      </w:pPr>
      <w:r w:rsidRPr="004D451D">
        <w:rPr>
          <w:rFonts w:eastAsia="標楷體" w:hint="eastAsia"/>
        </w:rPr>
        <w:t>欄</w:t>
      </w:r>
      <w:r w:rsidR="001A2517" w:rsidRPr="004D451D">
        <w:rPr>
          <w:rFonts w:eastAsia="標楷體" w:hint="eastAsia"/>
        </w:rPr>
        <w:t>A</w:t>
      </w:r>
      <w:r w:rsidRPr="004D451D">
        <w:rPr>
          <w:rFonts w:eastAsia="標楷體" w:hint="eastAsia"/>
        </w:rPr>
        <w:t>和</w:t>
      </w:r>
      <w:r w:rsidR="001A2517" w:rsidRPr="004D451D">
        <w:rPr>
          <w:rFonts w:eastAsia="標楷體" w:hint="eastAsia"/>
        </w:rPr>
        <w:t>B</w:t>
      </w:r>
      <w:r w:rsidRPr="004D451D">
        <w:rPr>
          <w:rFonts w:eastAsia="標楷體" w:hint="eastAsia"/>
        </w:rPr>
        <w:t>的高階管理人員及其他重大風險承擔人類別</w:t>
      </w:r>
      <w:r w:rsidR="0020017F" w:rsidRPr="004D451D">
        <w:rPr>
          <w:rFonts w:eastAsia="標楷體" w:hint="eastAsia"/>
        </w:rPr>
        <w:t>，</w:t>
      </w:r>
      <w:r w:rsidRPr="004D451D">
        <w:rPr>
          <w:rFonts w:eastAsia="標楷體" w:hint="eastAsia"/>
        </w:rPr>
        <w:t>必須對應薪酬政策揭露表的員工類型。</w:t>
      </w:r>
    </w:p>
    <w:p w:rsidR="0020017F" w:rsidRPr="004D451D" w:rsidRDefault="00AB4AE2" w:rsidP="009F53B0">
      <w:pPr>
        <w:numPr>
          <w:ilvl w:val="0"/>
          <w:numId w:val="118"/>
        </w:numPr>
        <w:spacing w:line="240" w:lineRule="atLeast"/>
        <w:ind w:leftChars="150" w:left="720" w:hangingChars="150"/>
        <w:rPr>
          <w:rFonts w:eastAsia="標楷體"/>
        </w:rPr>
      </w:pPr>
      <w:r w:rsidRPr="004D451D">
        <w:rPr>
          <w:rFonts w:eastAsia="標楷體" w:hint="eastAsia"/>
        </w:rPr>
        <w:t>列</w:t>
      </w:r>
      <w:r w:rsidRPr="004D451D">
        <w:rPr>
          <w:rFonts w:eastAsia="標楷體" w:hint="eastAsia"/>
        </w:rPr>
        <w:t>(7)</w:t>
      </w:r>
      <w:r w:rsidRPr="004D451D">
        <w:rPr>
          <w:rFonts w:eastAsia="標楷體" w:hint="eastAsia"/>
        </w:rPr>
        <w:t>和</w:t>
      </w:r>
      <w:r w:rsidRPr="004D451D">
        <w:rPr>
          <w:rFonts w:eastAsia="標楷體" w:hint="eastAsia"/>
        </w:rPr>
        <w:t>(15)</w:t>
      </w:r>
      <w:r w:rsidRPr="004D451D">
        <w:rPr>
          <w:rFonts w:eastAsia="標楷體" w:hint="eastAsia"/>
        </w:rPr>
        <w:t>的其他薪酬形式必須在</w:t>
      </w:r>
      <w:r w:rsidR="0020017F" w:rsidRPr="004D451D">
        <w:rPr>
          <w:rFonts w:eastAsia="標楷體" w:hint="eastAsia"/>
        </w:rPr>
        <w:t>【附表五十三】</w:t>
      </w:r>
      <w:r w:rsidRPr="004D451D">
        <w:rPr>
          <w:rFonts w:eastAsia="標楷體" w:hint="eastAsia"/>
        </w:rPr>
        <w:t>中描述，若有需要可寫在</w:t>
      </w:r>
      <w:r w:rsidR="0020017F" w:rsidRPr="004D451D">
        <w:rPr>
          <w:rFonts w:eastAsia="標楷體" w:hint="eastAsia"/>
        </w:rPr>
        <w:t>該表</w:t>
      </w:r>
      <w:r w:rsidR="00F1066D" w:rsidRPr="004D451D">
        <w:rPr>
          <w:rFonts w:eastAsia="標楷體" w:hint="eastAsia"/>
        </w:rPr>
        <w:t>(G</w:t>
      </w:r>
      <w:r w:rsidRPr="004D451D">
        <w:rPr>
          <w:rFonts w:eastAsia="標楷體" w:hint="eastAsia"/>
        </w:rPr>
        <w:t>)</w:t>
      </w:r>
      <w:r w:rsidRPr="004D451D">
        <w:rPr>
          <w:rFonts w:eastAsia="標楷體" w:hint="eastAsia"/>
        </w:rPr>
        <w:t>附加說明中。</w:t>
      </w:r>
      <w:r w:rsidR="0020017F" w:rsidRPr="004D451D">
        <w:rPr>
          <w:rFonts w:eastAsia="標楷體"/>
        </w:rPr>
        <w:br w:type="page"/>
      </w:r>
    </w:p>
    <w:p w:rsidR="00C20299" w:rsidRPr="004D451D" w:rsidRDefault="00AB4AE2" w:rsidP="00C20299">
      <w:pPr>
        <w:rPr>
          <w:rFonts w:eastAsia="標楷體"/>
          <w:b/>
          <w:sz w:val="32"/>
          <w:szCs w:val="32"/>
        </w:rPr>
      </w:pPr>
      <w:r w:rsidRPr="004D451D">
        <w:rPr>
          <w:rFonts w:eastAsia="標楷體"/>
          <w:sz w:val="32"/>
          <w:szCs w:val="32"/>
        </w:rPr>
        <w:t>【</w:t>
      </w:r>
      <w:r w:rsidRPr="004D451D">
        <w:rPr>
          <w:rFonts w:eastAsia="標楷體"/>
          <w:b/>
          <w:sz w:val="32"/>
          <w:szCs w:val="32"/>
        </w:rPr>
        <w:t>附表</w:t>
      </w:r>
      <w:r w:rsidRPr="004D451D">
        <w:rPr>
          <w:rFonts w:eastAsia="標楷體" w:hint="eastAsia"/>
          <w:b/>
          <w:sz w:val="32"/>
          <w:szCs w:val="32"/>
        </w:rPr>
        <w:t>五十五</w:t>
      </w:r>
      <w:r w:rsidRPr="004D451D">
        <w:rPr>
          <w:rFonts w:eastAsia="標楷體"/>
          <w:sz w:val="32"/>
          <w:szCs w:val="32"/>
        </w:rPr>
        <w:t>】</w:t>
      </w:r>
      <w:r w:rsidR="00C20299" w:rsidRPr="004D451D">
        <w:rPr>
          <w:rFonts w:eastAsia="標楷體"/>
          <w:b/>
          <w:sz w:val="32"/>
          <w:szCs w:val="32"/>
        </w:rPr>
        <w:t>(</w:t>
      </w:r>
      <w:r w:rsidR="00C20299" w:rsidRPr="004D451D">
        <w:rPr>
          <w:rFonts w:eastAsia="標楷體"/>
          <w:b/>
          <w:sz w:val="32"/>
          <w:szCs w:val="32"/>
        </w:rPr>
        <w:t>半年度不需揭露</w:t>
      </w:r>
      <w:r w:rsidR="00C20299" w:rsidRPr="004D451D">
        <w:rPr>
          <w:rFonts w:eastAsia="標楷體"/>
          <w:b/>
          <w:sz w:val="32"/>
          <w:szCs w:val="32"/>
        </w:rPr>
        <w:t>)</w:t>
      </w:r>
    </w:p>
    <w:p w:rsidR="00AB4AE2" w:rsidRPr="004D451D" w:rsidRDefault="00AB4AE2" w:rsidP="00AB4AE2">
      <w:pPr>
        <w:pStyle w:val="ad"/>
        <w:spacing w:beforeLines="100" w:before="360" w:afterLines="100" w:after="360" w:line="240" w:lineRule="auto"/>
        <w:ind w:left="0" w:firstLine="0"/>
        <w:jc w:val="center"/>
        <w:rPr>
          <w:rFonts w:ascii="Times New Roman" w:hAnsi="Times New Roman"/>
          <w:b/>
        </w:rPr>
      </w:pPr>
      <w:r w:rsidRPr="004D451D">
        <w:rPr>
          <w:rFonts w:ascii="Times New Roman" w:hAnsi="Times New Roman" w:hint="eastAsia"/>
          <w:b/>
        </w:rPr>
        <w:t>特殊給付揭露表</w:t>
      </w:r>
    </w:p>
    <w:p w:rsidR="00AB4AE2" w:rsidRPr="004D451D" w:rsidRDefault="005860EA" w:rsidP="005860EA">
      <w:pPr>
        <w:pStyle w:val="ad"/>
        <w:wordWrap w:val="0"/>
        <w:spacing w:before="120" w:after="120" w:line="240" w:lineRule="auto"/>
        <w:ind w:left="0" w:firstLine="0"/>
        <w:jc w:val="right"/>
        <w:rPr>
          <w:rFonts w:ascii="Times New Roman" w:hAnsi="Times New Roman"/>
          <w:szCs w:val="32"/>
        </w:rPr>
      </w:pPr>
      <w:r w:rsidRPr="004D451D">
        <w:rPr>
          <w:rFonts w:ascii="Times New Roman" w:hAnsi="Times New Roman" w:hint="eastAsia"/>
          <w:szCs w:val="32"/>
        </w:rPr>
        <w:t xml:space="preserve">                     </w:t>
      </w:r>
      <w:r w:rsidR="00EA0BB4" w:rsidRPr="004D451D">
        <w:rPr>
          <w:rFonts w:ascii="Times New Roman" w:hAnsi="Times New Roman" w:hint="eastAsia"/>
          <w:szCs w:val="32"/>
        </w:rPr>
        <w:t>10</w:t>
      </w:r>
      <w:r w:rsidR="00545509" w:rsidRPr="004D451D">
        <w:rPr>
          <w:rFonts w:ascii="Times New Roman" w:hAnsi="Times New Roman" w:hint="eastAsia"/>
          <w:szCs w:val="32"/>
        </w:rPr>
        <w:t>7</w:t>
      </w:r>
      <w:r w:rsidR="00AB4AE2" w:rsidRPr="004D451D">
        <w:rPr>
          <w:rFonts w:ascii="Times New Roman" w:hAnsi="Times New Roman"/>
          <w:szCs w:val="32"/>
        </w:rPr>
        <w:t>年</w:t>
      </w:r>
      <w:r w:rsidR="00545509" w:rsidRPr="004D451D">
        <w:rPr>
          <w:rFonts w:ascii="Times New Roman" w:hAnsi="Times New Roman" w:hint="eastAsia"/>
          <w:szCs w:val="32"/>
        </w:rPr>
        <w:t>06</w:t>
      </w:r>
      <w:r w:rsidR="00AB4AE2" w:rsidRPr="004D451D">
        <w:rPr>
          <w:rFonts w:ascii="Times New Roman" w:hAnsi="Times New Roman"/>
          <w:szCs w:val="32"/>
        </w:rPr>
        <w:t>月</w:t>
      </w:r>
      <w:r w:rsidR="00EA0BB4" w:rsidRPr="004D451D">
        <w:rPr>
          <w:rFonts w:ascii="Times New Roman" w:hAnsi="Times New Roman" w:hint="eastAsia"/>
          <w:szCs w:val="32"/>
        </w:rPr>
        <w:t>3</w:t>
      </w:r>
      <w:r w:rsidR="00545509" w:rsidRPr="004D451D">
        <w:rPr>
          <w:rFonts w:ascii="Times New Roman" w:hAnsi="Times New Roman" w:hint="eastAsia"/>
          <w:szCs w:val="32"/>
        </w:rPr>
        <w:t>0</w:t>
      </w:r>
      <w:r w:rsidR="00AB4AE2" w:rsidRPr="004D451D">
        <w:rPr>
          <w:rFonts w:ascii="Times New Roman" w:hAnsi="Times New Roman"/>
          <w:szCs w:val="32"/>
        </w:rPr>
        <w:t>日</w:t>
      </w:r>
      <w:r w:rsidR="00AB4AE2" w:rsidRPr="004D451D">
        <w:rPr>
          <w:rFonts w:ascii="Times New Roman" w:hAnsi="Times New Roman" w:hint="eastAsia"/>
          <w:szCs w:val="32"/>
        </w:rPr>
        <w:t xml:space="preserve">　　</w:t>
      </w:r>
      <w:r w:rsidR="00AB4AE2" w:rsidRPr="004D451D">
        <w:rPr>
          <w:rFonts w:ascii="Times New Roman" w:hAnsi="Times New Roman" w:hint="eastAsia"/>
          <w:sz w:val="24"/>
          <w:szCs w:val="32"/>
        </w:rPr>
        <w:t>（</w:t>
      </w:r>
      <w:r w:rsidR="00AB4AE2" w:rsidRPr="004D451D">
        <w:rPr>
          <w:rFonts w:ascii="Times New Roman" w:hAnsi="Times New Roman"/>
          <w:sz w:val="24"/>
        </w:rPr>
        <w:t>單位：新臺幣千元</w:t>
      </w:r>
      <w:r w:rsidR="00AB4AE2" w:rsidRPr="004D451D">
        <w:rPr>
          <w:rFonts w:ascii="Times New Roman" w:hAnsi="Times New Roman" w:hint="eastAsia"/>
          <w:sz w:val="24"/>
        </w:rPr>
        <w:t>）</w:t>
      </w:r>
    </w:p>
    <w:tbl>
      <w:tblPr>
        <w:tblW w:w="9214" w:type="dxa"/>
        <w:tblInd w:w="28" w:type="dxa"/>
        <w:tblCellMar>
          <w:left w:w="28" w:type="dxa"/>
          <w:right w:w="28" w:type="dxa"/>
        </w:tblCellMar>
        <w:tblLook w:val="04A0" w:firstRow="1" w:lastRow="0" w:firstColumn="1" w:lastColumn="0" w:noHBand="0" w:noVBand="1"/>
      </w:tblPr>
      <w:tblGrid>
        <w:gridCol w:w="2793"/>
        <w:gridCol w:w="2877"/>
        <w:gridCol w:w="3544"/>
      </w:tblGrid>
      <w:tr w:rsidR="004D451D" w:rsidRPr="004D451D" w:rsidTr="0020017F">
        <w:trPr>
          <w:trHeight w:val="360"/>
        </w:trPr>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ascii="標楷體" w:eastAsia="標楷體" w:hAnsi="標楷體" w:cs="新細明體"/>
                <w:kern w:val="0"/>
              </w:rPr>
            </w:pPr>
            <w:r w:rsidRPr="004D451D">
              <w:rPr>
                <w:rFonts w:ascii="標楷體" w:eastAsia="標楷體" w:hAnsi="標楷體" w:cs="新細明體" w:hint="eastAsia"/>
                <w:kern w:val="0"/>
              </w:rPr>
              <w:t>特殊給付</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ascii="標楷體" w:eastAsia="標楷體" w:hAnsi="標楷體" w:cs="新細明體"/>
                <w:kern w:val="0"/>
              </w:rPr>
            </w:pPr>
            <w:r w:rsidRPr="004D451D">
              <w:rPr>
                <w:rFonts w:ascii="標楷體" w:eastAsia="標楷體" w:hAnsi="標楷體" w:cs="新細明體" w:hint="eastAsia"/>
                <w:kern w:val="0"/>
              </w:rPr>
              <w:t>員工人數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ascii="標楷體" w:eastAsia="標楷體" w:hAnsi="標楷體" w:cs="新細明體"/>
                <w:kern w:val="0"/>
              </w:rPr>
            </w:pPr>
            <w:r w:rsidRPr="004D451D">
              <w:rPr>
                <w:rFonts w:ascii="標楷體" w:eastAsia="標楷體" w:hAnsi="標楷體" w:cs="新細明體" w:hint="eastAsia"/>
                <w:kern w:val="0"/>
              </w:rPr>
              <w:t>總金額</w:t>
            </w:r>
          </w:p>
        </w:tc>
      </w:tr>
      <w:tr w:rsidR="004D451D" w:rsidRPr="004D451D" w:rsidTr="0020017F">
        <w:trPr>
          <w:trHeight w:val="402"/>
        </w:trPr>
        <w:tc>
          <w:tcPr>
            <w:tcW w:w="2793" w:type="dxa"/>
            <w:vMerge/>
            <w:tcBorders>
              <w:top w:val="single" w:sz="4" w:space="0" w:color="auto"/>
              <w:left w:val="single" w:sz="4" w:space="0" w:color="auto"/>
              <w:bottom w:val="single" w:sz="4" w:space="0" w:color="auto"/>
              <w:right w:val="single" w:sz="4" w:space="0" w:color="auto"/>
            </w:tcBorders>
            <w:vAlign w:val="center"/>
            <w:hideMark/>
          </w:tcPr>
          <w:p w:rsidR="00AB4AE2" w:rsidRPr="004D451D" w:rsidRDefault="00AB4AE2" w:rsidP="00AB4AE2">
            <w:pPr>
              <w:widowControl/>
              <w:rPr>
                <w:rFonts w:ascii="標楷體" w:eastAsia="標楷體" w:hAnsi="標楷體" w:cs="新細明體"/>
                <w:kern w:val="0"/>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AB4AE2" w:rsidRPr="004D451D" w:rsidRDefault="00AB4AE2" w:rsidP="00AB4AE2">
            <w:pPr>
              <w:widowControl/>
              <w:rPr>
                <w:rFonts w:ascii="標楷體" w:eastAsia="標楷體" w:hAnsi="標楷體" w:cs="新細明體"/>
                <w:kern w:val="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AB4AE2" w:rsidRPr="004D451D" w:rsidRDefault="00AB4AE2" w:rsidP="00AB4AE2">
            <w:pPr>
              <w:widowControl/>
              <w:rPr>
                <w:rFonts w:ascii="標楷體" w:eastAsia="標楷體" w:hAnsi="標楷體" w:cs="新細明體"/>
                <w:kern w:val="0"/>
              </w:rPr>
            </w:pPr>
          </w:p>
        </w:tc>
      </w:tr>
      <w:tr w:rsidR="004D451D" w:rsidRPr="004D451D" w:rsidTr="0020017F">
        <w:trPr>
          <w:trHeight w:val="402"/>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EA0BB4" w:rsidRPr="004D451D" w:rsidRDefault="00EA0BB4" w:rsidP="00AB4AE2">
            <w:pPr>
              <w:widowControl/>
              <w:jc w:val="center"/>
              <w:rPr>
                <w:rFonts w:ascii="標楷體" w:eastAsia="標楷體" w:hAnsi="標楷體" w:cs="新細明體"/>
                <w:kern w:val="0"/>
              </w:rPr>
            </w:pPr>
            <w:r w:rsidRPr="004D451D">
              <w:rPr>
                <w:rFonts w:ascii="標楷體" w:eastAsia="標楷體" w:hAnsi="標楷體" w:cs="新細明體" w:hint="eastAsia"/>
                <w:kern w:val="0"/>
              </w:rPr>
              <w:t>高階管理人員</w:t>
            </w:r>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BB4" w:rsidRPr="004D451D" w:rsidRDefault="00C20299" w:rsidP="00BD428E">
            <w:pPr>
              <w:widowControl/>
              <w:jc w:val="center"/>
              <w:rPr>
                <w:rFonts w:ascii="標楷體" w:eastAsia="標楷體" w:hAnsi="標楷體" w:cs="新細明體"/>
                <w:kern w:val="0"/>
              </w:rPr>
            </w:pPr>
            <w:r w:rsidRPr="004D451D">
              <w:rPr>
                <w:rFonts w:ascii="標楷體" w:eastAsia="標楷體" w:hAnsi="標楷體" w:cs="新細明體" w:hint="eastAsia"/>
                <w:kern w:val="0"/>
              </w:rPr>
              <w:t>-</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A0BB4" w:rsidRPr="004D451D" w:rsidRDefault="00C20299" w:rsidP="00C20299">
            <w:pPr>
              <w:widowControl/>
              <w:jc w:val="center"/>
              <w:rPr>
                <w:rFonts w:ascii="標楷體" w:eastAsia="標楷體" w:hAnsi="標楷體" w:cs="新細明體"/>
                <w:kern w:val="0"/>
              </w:rPr>
            </w:pPr>
            <w:r w:rsidRPr="004D451D">
              <w:rPr>
                <w:rFonts w:ascii="標楷體" w:eastAsia="標楷體" w:hAnsi="標楷體" w:cs="新細明體" w:hint="eastAsia"/>
                <w:kern w:val="0"/>
              </w:rPr>
              <w:t>-</w:t>
            </w:r>
          </w:p>
        </w:tc>
      </w:tr>
      <w:tr w:rsidR="004D451D" w:rsidRPr="004D451D" w:rsidTr="0020017F">
        <w:trPr>
          <w:trHeight w:val="402"/>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EA0BB4" w:rsidRPr="004D451D" w:rsidRDefault="00EA0BB4" w:rsidP="00AB4AE2">
            <w:pPr>
              <w:widowControl/>
              <w:jc w:val="center"/>
              <w:rPr>
                <w:rFonts w:ascii="標楷體" w:eastAsia="標楷體" w:hAnsi="標楷體" w:cs="新細明體"/>
                <w:kern w:val="0"/>
              </w:rPr>
            </w:pPr>
            <w:r w:rsidRPr="004D451D">
              <w:rPr>
                <w:rFonts w:ascii="標楷體" w:eastAsia="標楷體" w:hAnsi="標楷體" w:cs="新細明體" w:hint="eastAsia"/>
                <w:kern w:val="0"/>
              </w:rPr>
              <w:t>其他重大風險承擔人</w:t>
            </w:r>
          </w:p>
        </w:tc>
        <w:tc>
          <w:tcPr>
            <w:tcW w:w="2877" w:type="dxa"/>
            <w:vMerge/>
            <w:tcBorders>
              <w:top w:val="nil"/>
              <w:left w:val="single" w:sz="4" w:space="0" w:color="auto"/>
              <w:bottom w:val="single" w:sz="4" w:space="0" w:color="auto"/>
              <w:right w:val="single" w:sz="4" w:space="0" w:color="auto"/>
            </w:tcBorders>
            <w:vAlign w:val="center"/>
          </w:tcPr>
          <w:p w:rsidR="00EA0BB4" w:rsidRPr="004D451D" w:rsidRDefault="00EA0BB4" w:rsidP="00AB4AE2">
            <w:pPr>
              <w:widowControl/>
              <w:rPr>
                <w:rFonts w:ascii="標楷體" w:eastAsia="標楷體" w:hAnsi="標楷體" w:cs="新細明體"/>
                <w:kern w:val="0"/>
              </w:rPr>
            </w:pPr>
          </w:p>
        </w:tc>
        <w:tc>
          <w:tcPr>
            <w:tcW w:w="3544" w:type="dxa"/>
            <w:vMerge/>
            <w:tcBorders>
              <w:top w:val="nil"/>
              <w:left w:val="single" w:sz="4" w:space="0" w:color="auto"/>
              <w:bottom w:val="single" w:sz="4" w:space="0" w:color="auto"/>
              <w:right w:val="single" w:sz="4" w:space="0" w:color="auto"/>
            </w:tcBorders>
            <w:vAlign w:val="center"/>
          </w:tcPr>
          <w:p w:rsidR="00EA0BB4" w:rsidRPr="004D451D" w:rsidRDefault="00EA0BB4" w:rsidP="00AB4AE2">
            <w:pPr>
              <w:widowControl/>
              <w:rPr>
                <w:rFonts w:ascii="標楷體" w:eastAsia="標楷體" w:hAnsi="標楷體" w:cs="新細明體"/>
                <w:kern w:val="0"/>
              </w:rPr>
            </w:pPr>
          </w:p>
        </w:tc>
      </w:tr>
      <w:tr w:rsidR="00EA0BB4" w:rsidRPr="004D451D" w:rsidTr="0020017F">
        <w:trPr>
          <w:trHeight w:val="402"/>
        </w:trPr>
        <w:tc>
          <w:tcPr>
            <w:tcW w:w="921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A0BB4" w:rsidRPr="004D451D" w:rsidRDefault="00EA0BB4" w:rsidP="00AB4AE2">
            <w:pPr>
              <w:widowControl/>
              <w:rPr>
                <w:rFonts w:ascii="標楷體" w:eastAsia="標楷體" w:hAnsi="標楷體" w:cs="新細明體"/>
                <w:kern w:val="0"/>
              </w:rPr>
            </w:pPr>
            <w:r w:rsidRPr="004D451D">
              <w:rPr>
                <w:rFonts w:ascii="標楷體" w:eastAsia="標楷體" w:hAnsi="標楷體" w:cs="新細明體" w:hint="eastAsia"/>
                <w:kern w:val="0"/>
              </w:rPr>
              <w:t>重大變動原因說明：</w:t>
            </w:r>
          </w:p>
        </w:tc>
      </w:tr>
    </w:tbl>
    <w:p w:rsidR="00AB4AE2" w:rsidRPr="004D451D" w:rsidRDefault="00AB4AE2" w:rsidP="0020017F">
      <w:pPr>
        <w:pStyle w:val="ad"/>
        <w:spacing w:line="240" w:lineRule="atLeast"/>
        <w:ind w:left="0" w:firstLine="0"/>
        <w:rPr>
          <w:rFonts w:ascii="Times New Roman" w:hAnsi="Times New Roman"/>
          <w:b/>
          <w:sz w:val="24"/>
        </w:rPr>
      </w:pPr>
    </w:p>
    <w:p w:rsidR="0020017F" w:rsidRPr="004D451D" w:rsidRDefault="0020017F" w:rsidP="0020017F">
      <w:pPr>
        <w:pStyle w:val="ad"/>
        <w:spacing w:line="240" w:lineRule="atLeast"/>
        <w:ind w:left="0" w:firstLine="0"/>
        <w:rPr>
          <w:rFonts w:ascii="Times New Roman" w:hAnsi="Times New Roman"/>
          <w:b/>
          <w:sz w:val="24"/>
        </w:rPr>
      </w:pPr>
    </w:p>
    <w:p w:rsidR="00AB4AE2" w:rsidRPr="004D451D" w:rsidRDefault="00AB4AE2" w:rsidP="0020017F">
      <w:pPr>
        <w:pStyle w:val="ad"/>
        <w:spacing w:line="240" w:lineRule="atLeast"/>
        <w:ind w:left="0" w:firstLine="0"/>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AB4AE2" w:rsidRPr="004D451D" w:rsidRDefault="00AB4AE2" w:rsidP="009F53B0">
      <w:pPr>
        <w:numPr>
          <w:ilvl w:val="0"/>
          <w:numId w:val="108"/>
        </w:numPr>
        <w:spacing w:line="240" w:lineRule="atLeast"/>
        <w:ind w:leftChars="150" w:left="720" w:hangingChars="150"/>
        <w:rPr>
          <w:rFonts w:eastAsia="標楷體"/>
        </w:rPr>
      </w:pPr>
      <w:r w:rsidRPr="004D451D">
        <w:rPr>
          <w:rFonts w:eastAsia="標楷體"/>
        </w:rPr>
        <w:t>本表更新頻率：年。</w:t>
      </w:r>
    </w:p>
    <w:p w:rsidR="00AB4AE2" w:rsidRPr="004D451D" w:rsidRDefault="00AB4AE2" w:rsidP="009F53B0">
      <w:pPr>
        <w:numPr>
          <w:ilvl w:val="0"/>
          <w:numId w:val="108"/>
        </w:numPr>
        <w:spacing w:line="240" w:lineRule="atLeast"/>
        <w:ind w:leftChars="150" w:left="720" w:hangingChars="150"/>
        <w:rPr>
          <w:rFonts w:eastAsia="標楷體"/>
        </w:rPr>
      </w:pPr>
      <w:r w:rsidRPr="004D451D">
        <w:rPr>
          <w:rFonts w:eastAsia="標楷體"/>
        </w:rPr>
        <w:t>本表採個體基礎填報。</w:t>
      </w:r>
    </w:p>
    <w:p w:rsidR="00AB4AE2" w:rsidRPr="004D451D" w:rsidRDefault="00AB4AE2" w:rsidP="009F53B0">
      <w:pPr>
        <w:numPr>
          <w:ilvl w:val="0"/>
          <w:numId w:val="108"/>
        </w:numPr>
        <w:spacing w:line="240" w:lineRule="atLeast"/>
        <w:ind w:leftChars="150" w:left="720" w:hangingChars="150"/>
        <w:rPr>
          <w:rFonts w:eastAsia="標楷體"/>
        </w:rPr>
      </w:pPr>
      <w:r w:rsidRPr="004D451D">
        <w:rPr>
          <w:rFonts w:eastAsia="標楷體" w:hint="eastAsia"/>
        </w:rPr>
        <w:t>第一列和第二列高階管理人員及其他重大風險承擔人的分類必須依照薪</w:t>
      </w:r>
      <w:r w:rsidR="0020017F" w:rsidRPr="004D451D">
        <w:rPr>
          <w:rFonts w:eastAsia="標楷體" w:hint="eastAsia"/>
        </w:rPr>
        <w:t>【附表五十三】</w:t>
      </w:r>
      <w:r w:rsidRPr="004D451D">
        <w:rPr>
          <w:rFonts w:eastAsia="標楷體" w:hint="eastAsia"/>
        </w:rPr>
        <w:t>的敘述區分。</w:t>
      </w:r>
    </w:p>
    <w:p w:rsidR="0020017F" w:rsidRPr="004D451D" w:rsidRDefault="0020017F" w:rsidP="009F53B0">
      <w:pPr>
        <w:numPr>
          <w:ilvl w:val="0"/>
          <w:numId w:val="108"/>
        </w:numPr>
        <w:spacing w:line="240" w:lineRule="atLeast"/>
        <w:ind w:leftChars="150" w:left="720" w:hangingChars="150"/>
        <w:rPr>
          <w:rFonts w:eastAsia="標楷體"/>
        </w:rPr>
      </w:pPr>
      <w:r w:rsidRPr="004D451D">
        <w:rPr>
          <w:rFonts w:eastAsia="標楷體" w:hint="eastAsia"/>
        </w:rPr>
        <w:t>特殊給付包含保證獎金、簽約金及資遣費。</w:t>
      </w:r>
    </w:p>
    <w:p w:rsidR="00AB4AE2" w:rsidRPr="004D451D" w:rsidRDefault="00AB4AE2" w:rsidP="009F53B0">
      <w:pPr>
        <w:numPr>
          <w:ilvl w:val="0"/>
          <w:numId w:val="108"/>
        </w:numPr>
        <w:spacing w:line="240" w:lineRule="atLeast"/>
        <w:ind w:leftChars="150" w:left="720" w:hangingChars="150"/>
        <w:rPr>
          <w:rFonts w:eastAsia="標楷體"/>
        </w:rPr>
      </w:pPr>
      <w:r w:rsidRPr="004D451D">
        <w:rPr>
          <w:rFonts w:eastAsia="標楷體" w:hint="eastAsia"/>
        </w:rPr>
        <w:t>保證獎金為該財務年度中保證獎金的支付金額。</w:t>
      </w:r>
    </w:p>
    <w:p w:rsidR="00AB4AE2" w:rsidRPr="004D451D" w:rsidRDefault="00AB4AE2" w:rsidP="009F53B0">
      <w:pPr>
        <w:numPr>
          <w:ilvl w:val="0"/>
          <w:numId w:val="108"/>
        </w:numPr>
        <w:spacing w:line="240" w:lineRule="atLeast"/>
        <w:ind w:leftChars="150" w:left="720" w:hangingChars="150"/>
        <w:rPr>
          <w:rFonts w:eastAsia="標楷體"/>
        </w:rPr>
      </w:pPr>
      <w:r w:rsidRPr="004D451D">
        <w:rPr>
          <w:rFonts w:eastAsia="標楷體" w:hint="eastAsia"/>
        </w:rPr>
        <w:t>簽約金為該財務年度中員工簽約金的支付金額。</w:t>
      </w:r>
    </w:p>
    <w:p w:rsidR="00AB4AE2" w:rsidRPr="004D451D" w:rsidRDefault="00AB4AE2" w:rsidP="009F53B0">
      <w:pPr>
        <w:numPr>
          <w:ilvl w:val="0"/>
          <w:numId w:val="108"/>
        </w:numPr>
        <w:spacing w:line="240" w:lineRule="atLeast"/>
        <w:ind w:leftChars="150" w:left="720" w:hangingChars="150"/>
        <w:rPr>
          <w:rFonts w:eastAsia="標楷體"/>
        </w:rPr>
      </w:pPr>
      <w:r w:rsidRPr="004D451D">
        <w:rPr>
          <w:rFonts w:eastAsia="標楷體" w:hint="eastAsia"/>
        </w:rPr>
        <w:t>資遣費為該財務年度中支付給被資遣員工的金額。</w:t>
      </w:r>
    </w:p>
    <w:p w:rsidR="00AB4AE2" w:rsidRPr="004D451D" w:rsidRDefault="00AB4AE2" w:rsidP="00AB4AE2">
      <w:pPr>
        <w:rPr>
          <w:rFonts w:eastAsia="標楷體"/>
          <w:b/>
          <w:sz w:val="32"/>
          <w:szCs w:val="32"/>
        </w:rPr>
      </w:pPr>
      <w:r w:rsidRPr="004D451D">
        <w:rPr>
          <w:rFonts w:eastAsia="標楷體"/>
        </w:rPr>
        <w:br w:type="page"/>
      </w:r>
      <w:r w:rsidRPr="004D451D">
        <w:rPr>
          <w:rFonts w:eastAsia="標楷體"/>
          <w:sz w:val="32"/>
          <w:szCs w:val="32"/>
        </w:rPr>
        <w:t>【</w:t>
      </w:r>
      <w:r w:rsidRPr="004D451D">
        <w:rPr>
          <w:rFonts w:eastAsia="標楷體"/>
          <w:b/>
          <w:sz w:val="32"/>
          <w:szCs w:val="32"/>
        </w:rPr>
        <w:t>附表</w:t>
      </w:r>
      <w:r w:rsidRPr="004D451D">
        <w:rPr>
          <w:rFonts w:eastAsia="標楷體" w:hint="eastAsia"/>
          <w:b/>
          <w:sz w:val="32"/>
          <w:szCs w:val="32"/>
        </w:rPr>
        <w:t>五十六</w:t>
      </w:r>
      <w:r w:rsidRPr="004D451D">
        <w:rPr>
          <w:rFonts w:eastAsia="標楷體"/>
          <w:sz w:val="32"/>
          <w:szCs w:val="32"/>
        </w:rPr>
        <w:t>】</w:t>
      </w:r>
      <w:r w:rsidR="00C20299" w:rsidRPr="004D451D">
        <w:rPr>
          <w:rFonts w:eastAsia="標楷體"/>
          <w:b/>
          <w:sz w:val="32"/>
          <w:szCs w:val="32"/>
        </w:rPr>
        <w:t>(</w:t>
      </w:r>
      <w:r w:rsidR="00C20299" w:rsidRPr="004D451D">
        <w:rPr>
          <w:rFonts w:eastAsia="標楷體"/>
          <w:b/>
          <w:sz w:val="32"/>
          <w:szCs w:val="32"/>
        </w:rPr>
        <w:t>半年度不需揭露</w:t>
      </w:r>
      <w:r w:rsidR="00C20299" w:rsidRPr="004D451D">
        <w:rPr>
          <w:rFonts w:eastAsia="標楷體"/>
          <w:b/>
          <w:sz w:val="32"/>
          <w:szCs w:val="32"/>
        </w:rPr>
        <w:t>)</w:t>
      </w:r>
    </w:p>
    <w:p w:rsidR="00AB4AE2" w:rsidRPr="004D451D" w:rsidRDefault="00AB4AE2" w:rsidP="00AB4AE2">
      <w:pPr>
        <w:pStyle w:val="ad"/>
        <w:spacing w:beforeLines="100" w:before="360" w:afterLines="100" w:after="360" w:line="240" w:lineRule="auto"/>
        <w:ind w:left="0" w:firstLine="0"/>
        <w:jc w:val="center"/>
        <w:rPr>
          <w:rFonts w:ascii="Times New Roman" w:hAnsi="Times New Roman"/>
          <w:b/>
        </w:rPr>
      </w:pPr>
      <w:r w:rsidRPr="004D451D">
        <w:rPr>
          <w:rFonts w:ascii="Times New Roman" w:hAnsi="Times New Roman" w:hint="eastAsia"/>
          <w:b/>
        </w:rPr>
        <w:t>遞延薪酬揭露表</w:t>
      </w:r>
    </w:p>
    <w:p w:rsidR="00AB4AE2" w:rsidRPr="004D451D" w:rsidRDefault="00EA0BB4" w:rsidP="00A837D8">
      <w:pPr>
        <w:pStyle w:val="ad"/>
        <w:spacing w:before="120" w:after="120" w:line="240" w:lineRule="auto"/>
        <w:ind w:left="0" w:firstLine="0"/>
        <w:jc w:val="right"/>
        <w:rPr>
          <w:rFonts w:ascii="Times New Roman" w:hAnsi="Times New Roman"/>
          <w:sz w:val="24"/>
        </w:rPr>
      </w:pPr>
      <w:r w:rsidRPr="004D451D">
        <w:rPr>
          <w:rFonts w:ascii="Times New Roman" w:hAnsi="Times New Roman" w:hint="eastAsia"/>
          <w:szCs w:val="32"/>
        </w:rPr>
        <w:t>10</w:t>
      </w:r>
      <w:r w:rsidR="00545509" w:rsidRPr="004D451D">
        <w:rPr>
          <w:rFonts w:ascii="Times New Roman" w:hAnsi="Times New Roman" w:hint="eastAsia"/>
          <w:szCs w:val="32"/>
        </w:rPr>
        <w:t>7</w:t>
      </w:r>
      <w:r w:rsidR="00AB4AE2" w:rsidRPr="004D451D">
        <w:rPr>
          <w:rFonts w:ascii="Times New Roman" w:hAnsi="Times New Roman"/>
          <w:szCs w:val="32"/>
        </w:rPr>
        <w:t>年</w:t>
      </w:r>
      <w:r w:rsidR="00545509" w:rsidRPr="004D451D">
        <w:rPr>
          <w:rFonts w:ascii="Times New Roman" w:hAnsi="Times New Roman" w:hint="eastAsia"/>
          <w:szCs w:val="32"/>
        </w:rPr>
        <w:t>06</w:t>
      </w:r>
      <w:r w:rsidR="00AB4AE2" w:rsidRPr="004D451D">
        <w:rPr>
          <w:rFonts w:ascii="Times New Roman" w:hAnsi="Times New Roman"/>
          <w:szCs w:val="32"/>
        </w:rPr>
        <w:t>月</w:t>
      </w:r>
      <w:r w:rsidRPr="004D451D">
        <w:rPr>
          <w:rFonts w:ascii="Times New Roman" w:hAnsi="Times New Roman" w:hint="eastAsia"/>
          <w:szCs w:val="32"/>
        </w:rPr>
        <w:t>3</w:t>
      </w:r>
      <w:r w:rsidR="00545509" w:rsidRPr="004D451D">
        <w:rPr>
          <w:rFonts w:ascii="Times New Roman" w:hAnsi="Times New Roman" w:hint="eastAsia"/>
          <w:szCs w:val="32"/>
        </w:rPr>
        <w:t>0</w:t>
      </w:r>
      <w:r w:rsidR="00AB4AE2" w:rsidRPr="004D451D">
        <w:rPr>
          <w:rFonts w:ascii="Times New Roman" w:hAnsi="Times New Roman"/>
          <w:szCs w:val="32"/>
        </w:rPr>
        <w:t>日</w:t>
      </w:r>
      <w:r w:rsidR="00AB4AE2" w:rsidRPr="004D451D">
        <w:rPr>
          <w:rFonts w:ascii="Times New Roman" w:hAnsi="Times New Roman" w:hint="eastAsia"/>
          <w:szCs w:val="32"/>
        </w:rPr>
        <w:t xml:space="preserve">　　　</w:t>
      </w:r>
      <w:r w:rsidR="00AB4AE2" w:rsidRPr="004D451D">
        <w:rPr>
          <w:rFonts w:ascii="Times New Roman" w:hAnsi="Times New Roman" w:hint="eastAsia"/>
          <w:sz w:val="24"/>
        </w:rPr>
        <w:t>（</w:t>
      </w:r>
      <w:r w:rsidR="00AB4AE2" w:rsidRPr="004D451D">
        <w:rPr>
          <w:rFonts w:ascii="Times New Roman" w:hAnsi="Times New Roman"/>
          <w:sz w:val="24"/>
        </w:rPr>
        <w:t>單位：新臺幣千元</w:t>
      </w:r>
      <w:r w:rsidR="00AB4AE2" w:rsidRPr="004D451D">
        <w:rPr>
          <w:rFonts w:ascii="Times New Roman" w:hAnsi="Times New Roman" w:hint="eastAsia"/>
          <w:sz w:val="24"/>
        </w:rPr>
        <w:t>）</w:t>
      </w:r>
    </w:p>
    <w:tbl>
      <w:tblPr>
        <w:tblW w:w="9644" w:type="dxa"/>
        <w:tblInd w:w="23" w:type="dxa"/>
        <w:tblCellMar>
          <w:left w:w="28" w:type="dxa"/>
          <w:right w:w="28" w:type="dxa"/>
        </w:tblCellMar>
        <w:tblLook w:val="04A0" w:firstRow="1" w:lastRow="0" w:firstColumn="1" w:lastColumn="0" w:noHBand="0" w:noVBand="1"/>
      </w:tblPr>
      <w:tblGrid>
        <w:gridCol w:w="3124"/>
        <w:gridCol w:w="1304"/>
        <w:gridCol w:w="1304"/>
        <w:gridCol w:w="1304"/>
        <w:gridCol w:w="1304"/>
        <w:gridCol w:w="1304"/>
      </w:tblGrid>
      <w:tr w:rsidR="004D451D" w:rsidRPr="004D451D" w:rsidTr="00FD1B03">
        <w:trPr>
          <w:trHeight w:val="1785"/>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center"/>
              <w:rPr>
                <w:rFonts w:eastAsia="標楷體"/>
                <w:kern w:val="0"/>
              </w:rPr>
            </w:pPr>
            <w:r w:rsidRPr="004D451D">
              <w:rPr>
                <w:rFonts w:eastAsia="標楷體"/>
                <w:kern w:val="0"/>
              </w:rPr>
              <w:t>遞延薪酬</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4D451D" w:rsidRDefault="00AB4AE2" w:rsidP="00C20299">
            <w:pPr>
              <w:widowControl/>
              <w:jc w:val="center"/>
              <w:rPr>
                <w:rFonts w:eastAsia="標楷體"/>
                <w:kern w:val="0"/>
              </w:rPr>
            </w:pPr>
            <w:r w:rsidRPr="004D451D">
              <w:rPr>
                <w:rFonts w:eastAsia="標楷體"/>
                <w:kern w:val="0"/>
              </w:rPr>
              <w:t>期初未償付遞延薪酬總金額</w:t>
            </w:r>
            <w:r w:rsidR="00FD1B03" w:rsidRPr="004D451D">
              <w:rPr>
                <w:rFonts w:eastAsia="標楷體" w:hint="eastAsia"/>
                <w:kern w:val="0"/>
              </w:rPr>
              <w:t xml:space="preserve"> 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4D451D" w:rsidRDefault="00AB4AE2" w:rsidP="00C20299">
            <w:pPr>
              <w:widowControl/>
              <w:jc w:val="center"/>
              <w:rPr>
                <w:rFonts w:eastAsia="標楷體"/>
                <w:kern w:val="0"/>
              </w:rPr>
            </w:pPr>
            <w:r w:rsidRPr="004D451D">
              <w:rPr>
                <w:rFonts w:eastAsia="標楷體"/>
                <w:kern w:val="0"/>
              </w:rPr>
              <w:t>本年度新增遞延薪酬</w:t>
            </w:r>
            <w:r w:rsidR="00FD1B03" w:rsidRPr="004D451D">
              <w:rPr>
                <w:rFonts w:eastAsia="標楷體" w:hint="eastAsia"/>
                <w:kern w:val="0"/>
              </w:rPr>
              <w:t xml:space="preserve"> B</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4D451D" w:rsidRDefault="00AB4AE2" w:rsidP="00C20299">
            <w:pPr>
              <w:widowControl/>
              <w:jc w:val="center"/>
              <w:rPr>
                <w:rFonts w:eastAsia="標楷體"/>
                <w:kern w:val="0"/>
              </w:rPr>
            </w:pPr>
            <w:r w:rsidRPr="004D451D">
              <w:rPr>
                <w:rFonts w:eastAsia="標楷體"/>
                <w:kern w:val="0"/>
              </w:rPr>
              <w:t>本年度遞延薪酬付現數</w:t>
            </w:r>
            <w:r w:rsidR="00FD1B03" w:rsidRPr="004D451D">
              <w:rPr>
                <w:rFonts w:eastAsia="標楷體" w:hint="eastAsia"/>
                <w:kern w:val="0"/>
              </w:rPr>
              <w:t xml:space="preserve"> C</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4D451D" w:rsidRDefault="00AB4AE2" w:rsidP="00C20299">
            <w:pPr>
              <w:widowControl/>
              <w:jc w:val="center"/>
              <w:rPr>
                <w:rFonts w:eastAsia="標楷體"/>
                <w:kern w:val="0"/>
              </w:rPr>
            </w:pPr>
            <w:r w:rsidRPr="004D451D">
              <w:rPr>
                <w:rFonts w:eastAsia="標楷體"/>
                <w:kern w:val="0"/>
              </w:rPr>
              <w:t>本年度因追溯調整修正總金額</w:t>
            </w:r>
            <w:r w:rsidR="00FD1B03" w:rsidRPr="004D451D">
              <w:rPr>
                <w:rFonts w:eastAsia="標楷體" w:hint="eastAsia"/>
                <w:kern w:val="0"/>
              </w:rPr>
              <w:t xml:space="preserve"> D</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FD1B03" w:rsidRPr="004D451D" w:rsidRDefault="00AB4AE2" w:rsidP="00C20299">
            <w:pPr>
              <w:widowControl/>
              <w:jc w:val="center"/>
              <w:rPr>
                <w:rFonts w:eastAsia="標楷體"/>
                <w:kern w:val="0"/>
              </w:rPr>
            </w:pPr>
            <w:r w:rsidRPr="004D451D">
              <w:rPr>
                <w:rFonts w:eastAsia="標楷體"/>
                <w:kern w:val="0"/>
              </w:rPr>
              <w:t>期末未償付遞延薪酬總金額</w:t>
            </w:r>
            <w:r w:rsidR="00FD1B03" w:rsidRPr="004D451D">
              <w:rPr>
                <w:rFonts w:eastAsia="標楷體" w:hint="eastAsia"/>
                <w:kern w:val="0"/>
              </w:rPr>
              <w:t xml:space="preserve"> E</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rPr>
                <w:rFonts w:eastAsia="標楷體"/>
                <w:b/>
                <w:bCs/>
                <w:kern w:val="0"/>
              </w:rPr>
            </w:pPr>
            <w:r w:rsidRPr="004D451D">
              <w:rPr>
                <w:rFonts w:eastAsia="標楷體"/>
                <w:b/>
                <w:bCs/>
                <w:kern w:val="0"/>
              </w:rPr>
              <w:t>高階管理人員</w:t>
            </w:r>
          </w:p>
        </w:tc>
        <w:tc>
          <w:tcPr>
            <w:tcW w:w="1304" w:type="dxa"/>
            <w:tcBorders>
              <w:top w:val="nil"/>
              <w:left w:val="nil"/>
              <w:bottom w:val="single" w:sz="4" w:space="0" w:color="auto"/>
              <w:right w:val="single" w:sz="4" w:space="0" w:color="auto"/>
            </w:tcBorders>
            <w:shd w:val="clear" w:color="auto" w:fill="auto"/>
            <w:vAlign w:val="center"/>
          </w:tcPr>
          <w:p w:rsidR="00C20299" w:rsidRPr="004D451D" w:rsidRDefault="00C20299" w:rsidP="00C20299">
            <w:pPr>
              <w:widowControl/>
              <w:jc w:val="center"/>
              <w:rPr>
                <w:rFonts w:eastAsia="標楷體"/>
                <w:kern w:val="0"/>
              </w:rP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現金</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股票或其他股票連結商品</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其他</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rPr>
                <w:rFonts w:eastAsia="標楷體"/>
                <w:b/>
                <w:bCs/>
                <w:kern w:val="0"/>
              </w:rPr>
            </w:pPr>
            <w:r w:rsidRPr="004D451D">
              <w:rPr>
                <w:rFonts w:eastAsia="標楷體"/>
                <w:b/>
                <w:bCs/>
                <w:kern w:val="0"/>
              </w:rPr>
              <w:t>其他重大風險承擔人</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現金</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35"/>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股票或其他股票連結商品</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FD1B03">
            <w:pPr>
              <w:widowControl/>
              <w:ind w:firstLineChars="100" w:firstLine="240"/>
              <w:rPr>
                <w:rFonts w:eastAsia="標楷體"/>
                <w:kern w:val="0"/>
              </w:rPr>
            </w:pPr>
            <w:r w:rsidRPr="004D451D">
              <w:rPr>
                <w:rFonts w:eastAsia="標楷體"/>
                <w:kern w:val="0"/>
              </w:rPr>
              <w:t>其他</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4D451D" w:rsidRPr="004D451D" w:rsidTr="0061578E">
        <w:trPr>
          <w:trHeight w:val="402"/>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C20299" w:rsidRPr="004D451D" w:rsidRDefault="00C20299" w:rsidP="00AB4AE2">
            <w:pPr>
              <w:widowControl/>
              <w:rPr>
                <w:rFonts w:eastAsia="標楷體"/>
                <w:b/>
                <w:bCs/>
                <w:kern w:val="0"/>
              </w:rPr>
            </w:pPr>
            <w:r w:rsidRPr="004D451D">
              <w:rPr>
                <w:rFonts w:eastAsia="標楷體"/>
                <w:b/>
                <w:bCs/>
                <w:kern w:val="0"/>
              </w:rPr>
              <w:t>合計</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c>
          <w:tcPr>
            <w:tcW w:w="1304" w:type="dxa"/>
            <w:tcBorders>
              <w:top w:val="nil"/>
              <w:left w:val="nil"/>
              <w:bottom w:val="single" w:sz="4" w:space="0" w:color="auto"/>
              <w:right w:val="single" w:sz="4" w:space="0" w:color="auto"/>
            </w:tcBorders>
            <w:shd w:val="clear" w:color="auto" w:fill="auto"/>
          </w:tcPr>
          <w:p w:rsidR="00C20299" w:rsidRPr="004D451D" w:rsidRDefault="00C20299" w:rsidP="00C20299">
            <w:pPr>
              <w:jc w:val="center"/>
            </w:pPr>
            <w:r w:rsidRPr="004D451D">
              <w:rPr>
                <w:rFonts w:eastAsia="標楷體" w:hint="eastAsia"/>
                <w:kern w:val="0"/>
              </w:rPr>
              <w:t>-</w:t>
            </w:r>
          </w:p>
        </w:tc>
      </w:tr>
      <w:tr w:rsidR="00AB4AE2" w:rsidRPr="004D451D" w:rsidTr="00FD1B03">
        <w:trPr>
          <w:trHeight w:val="402"/>
        </w:trPr>
        <w:tc>
          <w:tcPr>
            <w:tcW w:w="96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AE2" w:rsidRPr="004D451D" w:rsidRDefault="00AB4AE2" w:rsidP="00AB4AE2">
            <w:pPr>
              <w:widowControl/>
              <w:rPr>
                <w:rFonts w:eastAsia="標楷體"/>
                <w:kern w:val="0"/>
              </w:rPr>
            </w:pPr>
            <w:r w:rsidRPr="004D451D">
              <w:rPr>
                <w:rFonts w:eastAsia="標楷體"/>
                <w:kern w:val="0"/>
              </w:rPr>
              <w:t>重大變動原因說明：</w:t>
            </w:r>
            <w:r w:rsidRPr="004D451D">
              <w:rPr>
                <w:rFonts w:eastAsia="標楷體"/>
                <w:kern w:val="0"/>
              </w:rPr>
              <w:t xml:space="preserve"> </w:t>
            </w:r>
          </w:p>
          <w:p w:rsidR="00AB4AE2" w:rsidRPr="004D451D" w:rsidRDefault="00AB4AE2" w:rsidP="00AB4AE2">
            <w:pPr>
              <w:widowControl/>
              <w:rPr>
                <w:rFonts w:eastAsia="標楷體"/>
                <w:kern w:val="0"/>
              </w:rPr>
            </w:pPr>
          </w:p>
        </w:tc>
      </w:tr>
    </w:tbl>
    <w:p w:rsidR="00AB4AE2" w:rsidRPr="004D451D" w:rsidRDefault="00AB4AE2" w:rsidP="00AB4AE2">
      <w:pPr>
        <w:spacing w:line="340" w:lineRule="exact"/>
        <w:jc w:val="both"/>
        <w:rPr>
          <w:rFonts w:eastAsia="標楷體"/>
          <w:strike/>
        </w:rPr>
      </w:pPr>
    </w:p>
    <w:p w:rsidR="00AB4AE2" w:rsidRPr="004D451D" w:rsidRDefault="00AB4AE2" w:rsidP="00AB4AE2">
      <w:pPr>
        <w:pStyle w:val="ad"/>
        <w:spacing w:line="240" w:lineRule="atLeast"/>
        <w:ind w:leftChars="21" w:left="1008" w:right="556"/>
        <w:rPr>
          <w:rFonts w:ascii="Times New Roman" w:hAnsi="Times New Roman"/>
          <w:b/>
          <w:sz w:val="24"/>
        </w:rPr>
      </w:pPr>
    </w:p>
    <w:p w:rsidR="00AB4AE2" w:rsidRPr="004D451D" w:rsidRDefault="00AB4AE2" w:rsidP="00AB4AE2">
      <w:pPr>
        <w:pStyle w:val="ad"/>
        <w:spacing w:line="240" w:lineRule="atLeast"/>
        <w:ind w:leftChars="21" w:left="1008" w:right="556"/>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AB4AE2" w:rsidRPr="004D451D" w:rsidRDefault="00AB4AE2" w:rsidP="009F53B0">
      <w:pPr>
        <w:numPr>
          <w:ilvl w:val="0"/>
          <w:numId w:val="109"/>
        </w:numPr>
        <w:spacing w:line="240" w:lineRule="atLeast"/>
        <w:ind w:leftChars="150" w:left="720" w:hangingChars="150"/>
        <w:rPr>
          <w:rFonts w:eastAsia="標楷體"/>
        </w:rPr>
      </w:pPr>
      <w:r w:rsidRPr="004D451D">
        <w:rPr>
          <w:rFonts w:eastAsia="標楷體"/>
        </w:rPr>
        <w:t>本表更新頻率：年。</w:t>
      </w:r>
    </w:p>
    <w:p w:rsidR="00AB4AE2" w:rsidRPr="004D451D" w:rsidRDefault="00AB4AE2" w:rsidP="009F53B0">
      <w:pPr>
        <w:numPr>
          <w:ilvl w:val="0"/>
          <w:numId w:val="109"/>
        </w:numPr>
        <w:spacing w:line="240" w:lineRule="atLeast"/>
        <w:ind w:leftChars="150" w:left="720" w:hangingChars="150"/>
        <w:rPr>
          <w:rFonts w:eastAsia="標楷體"/>
        </w:rPr>
      </w:pPr>
      <w:r w:rsidRPr="004D451D">
        <w:rPr>
          <w:rFonts w:eastAsia="標楷體"/>
        </w:rPr>
        <w:t>本表採個體基礎填報。</w:t>
      </w:r>
    </w:p>
    <w:p w:rsidR="00AB4AE2" w:rsidRPr="004D451D" w:rsidRDefault="00AB4AE2" w:rsidP="009F53B0">
      <w:pPr>
        <w:numPr>
          <w:ilvl w:val="0"/>
          <w:numId w:val="109"/>
        </w:numPr>
        <w:spacing w:line="240" w:lineRule="atLeast"/>
        <w:ind w:leftChars="150" w:left="720" w:hangingChars="150"/>
        <w:rPr>
          <w:rFonts w:eastAsia="標楷體"/>
        </w:rPr>
      </w:pPr>
      <w:r w:rsidRPr="004D451D">
        <w:rPr>
          <w:rFonts w:eastAsia="標楷體" w:hint="eastAsia"/>
        </w:rPr>
        <w:t>本年度因追溯調整修正總金額：包含追溯實質調整修正金額</w:t>
      </w:r>
      <w:r w:rsidRPr="004D451D">
        <w:rPr>
          <w:rFonts w:eastAsia="標楷體" w:hint="eastAsia"/>
        </w:rPr>
        <w:t>(</w:t>
      </w:r>
      <w:r w:rsidRPr="004D451D">
        <w:rPr>
          <w:rFonts w:eastAsia="標楷體" w:hint="eastAsia"/>
        </w:rPr>
        <w:t>直接調整影響之未償付之遞延薪酬金額，如：究責事故，追索條款或類似的酬勞取消或下降</w:t>
      </w:r>
      <w:r w:rsidRPr="004D451D">
        <w:rPr>
          <w:rFonts w:eastAsia="標楷體" w:hint="eastAsia"/>
        </w:rPr>
        <w:t>)</w:t>
      </w:r>
      <w:r w:rsidRPr="004D451D">
        <w:rPr>
          <w:rFonts w:eastAsia="標楷體" w:hint="eastAsia"/>
        </w:rPr>
        <w:t>及因追溯隱含調整修正總金額</w:t>
      </w:r>
      <w:r w:rsidRPr="004D451D">
        <w:rPr>
          <w:rFonts w:eastAsia="標楷體" w:hint="eastAsia"/>
        </w:rPr>
        <w:t>(</w:t>
      </w:r>
      <w:r w:rsidRPr="004D451D">
        <w:rPr>
          <w:rFonts w:eastAsia="標楷體" w:hint="eastAsia"/>
        </w:rPr>
        <w:t>其他績效指標影響之未償付遞延薪酬金額，如：股票價格或單位績效表現波動</w:t>
      </w:r>
      <w:r w:rsidRPr="004D451D">
        <w:rPr>
          <w:rFonts w:eastAsia="標楷體" w:hint="eastAsia"/>
        </w:rPr>
        <w:t>)</w:t>
      </w:r>
      <w:r w:rsidRPr="004D451D">
        <w:rPr>
          <w:rFonts w:eastAsia="標楷體" w:hint="eastAsia"/>
        </w:rPr>
        <w:t>。</w:t>
      </w:r>
    </w:p>
    <w:p w:rsidR="00AB4AE2" w:rsidRPr="004D451D" w:rsidRDefault="00AB4AE2" w:rsidP="00AB4AE2">
      <w:pPr>
        <w:spacing w:line="240" w:lineRule="atLeast"/>
        <w:ind w:left="360"/>
        <w:rPr>
          <w:rFonts w:eastAsia="標楷體"/>
        </w:rPr>
      </w:pPr>
    </w:p>
    <w:p w:rsidR="00AB4AE2" w:rsidRPr="004D451D" w:rsidRDefault="00AB4AE2" w:rsidP="00AB4AE2">
      <w:pPr>
        <w:spacing w:line="360" w:lineRule="auto"/>
        <w:ind w:left="180" w:hangingChars="75" w:hanging="180"/>
        <w:rPr>
          <w:rFonts w:eastAsia="標楷體"/>
          <w:b/>
        </w:rPr>
      </w:pPr>
      <w:r w:rsidRPr="004D451D">
        <w:rPr>
          <w:rFonts w:eastAsia="標楷體"/>
          <w:b/>
        </w:rPr>
        <w:t>本表檢核條件：</w:t>
      </w:r>
    </w:p>
    <w:p w:rsidR="00AB4AE2" w:rsidRPr="004D451D" w:rsidRDefault="00AB4AE2" w:rsidP="009F53B0">
      <w:pPr>
        <w:numPr>
          <w:ilvl w:val="0"/>
          <w:numId w:val="110"/>
        </w:numPr>
        <w:spacing w:line="240" w:lineRule="atLeast"/>
        <w:ind w:leftChars="150" w:left="720" w:hangingChars="150"/>
        <w:rPr>
          <w:rFonts w:eastAsia="標楷體"/>
        </w:rPr>
      </w:pPr>
      <w:r w:rsidRPr="004D451D">
        <w:rPr>
          <w:rFonts w:eastAsia="標楷體" w:hint="eastAsia"/>
        </w:rPr>
        <w:t>【附表五十六】</w:t>
      </w:r>
      <w:r w:rsidR="00FD1B03" w:rsidRPr="004D451D">
        <w:rPr>
          <w:rFonts w:eastAsia="標楷體" w:hint="eastAsia"/>
        </w:rPr>
        <w:t>A+B-C+D=E</w:t>
      </w:r>
    </w:p>
    <w:p w:rsidR="00AB4AE2" w:rsidRPr="004D451D" w:rsidRDefault="00AB4AE2" w:rsidP="00AB4AE2"/>
    <w:p w:rsidR="00AB4AE2" w:rsidRPr="004D451D" w:rsidRDefault="00AB4AE2" w:rsidP="00AB4AE2">
      <w:pPr>
        <w:rPr>
          <w:rFonts w:eastAsia="標楷體"/>
          <w:sz w:val="28"/>
          <w:szCs w:val="28"/>
        </w:rPr>
      </w:pPr>
      <w:r w:rsidRPr="004D451D">
        <w:br w:type="page"/>
      </w:r>
      <w:r w:rsidRPr="004D451D">
        <w:rPr>
          <w:rFonts w:eastAsia="標楷體"/>
          <w:sz w:val="32"/>
          <w:szCs w:val="32"/>
        </w:rPr>
        <w:t>【</w:t>
      </w:r>
      <w:r w:rsidRPr="004D451D">
        <w:rPr>
          <w:rFonts w:eastAsia="標楷體"/>
          <w:b/>
          <w:sz w:val="32"/>
          <w:szCs w:val="32"/>
        </w:rPr>
        <w:t>附表</w:t>
      </w:r>
      <w:r w:rsidRPr="004D451D">
        <w:rPr>
          <w:rFonts w:eastAsia="標楷體" w:hint="eastAsia"/>
          <w:b/>
          <w:sz w:val="32"/>
          <w:szCs w:val="32"/>
        </w:rPr>
        <w:t>五十七</w:t>
      </w:r>
      <w:r w:rsidRPr="004D451D">
        <w:rPr>
          <w:rFonts w:eastAsia="標楷體"/>
          <w:sz w:val="32"/>
          <w:szCs w:val="32"/>
        </w:rPr>
        <w:t>】</w:t>
      </w:r>
    </w:p>
    <w:p w:rsidR="00AB4AE2" w:rsidRPr="004D451D" w:rsidRDefault="00AB4AE2" w:rsidP="00AB4AE2">
      <w:pPr>
        <w:pStyle w:val="ad"/>
        <w:spacing w:beforeLines="100" w:before="360" w:afterLines="100" w:after="360" w:line="240" w:lineRule="auto"/>
        <w:ind w:left="0" w:firstLine="0"/>
        <w:jc w:val="center"/>
        <w:rPr>
          <w:rFonts w:ascii="Times New Roman" w:hAnsi="Times New Roman"/>
          <w:b/>
        </w:rPr>
      </w:pPr>
      <w:r w:rsidRPr="004D451D">
        <w:rPr>
          <w:rFonts w:ascii="Times New Roman" w:hAnsi="Times New Roman" w:hint="eastAsia"/>
          <w:b/>
        </w:rPr>
        <w:t>抗景氣循環緩衝資本之信用暴險地域分佈</w:t>
      </w:r>
      <w:r w:rsidR="00436721" w:rsidRPr="004D451D">
        <w:rPr>
          <w:rFonts w:ascii="Times New Roman" w:hAnsi="Times New Roman" w:hint="eastAsia"/>
        </w:rPr>
        <w:t>-</w:t>
      </w:r>
      <w:r w:rsidR="00436721" w:rsidRPr="004D451D">
        <w:rPr>
          <w:rFonts w:hint="eastAsia"/>
        </w:rPr>
        <w:t>不適用</w:t>
      </w:r>
    </w:p>
    <w:p w:rsidR="00AB4AE2" w:rsidRPr="004D451D" w:rsidRDefault="00165E05" w:rsidP="00165E05">
      <w:pPr>
        <w:pStyle w:val="ad"/>
        <w:wordWrap w:val="0"/>
        <w:spacing w:before="120" w:after="120" w:line="240" w:lineRule="auto"/>
        <w:ind w:left="0" w:firstLine="0"/>
        <w:jc w:val="right"/>
        <w:rPr>
          <w:rFonts w:ascii="Times New Roman" w:hAnsi="Times New Roman"/>
          <w:sz w:val="24"/>
        </w:rPr>
      </w:pPr>
      <w:r w:rsidRPr="004D451D">
        <w:rPr>
          <w:rFonts w:ascii="Times New Roman" w:hAnsi="Times New Roman" w:hint="eastAsia"/>
          <w:szCs w:val="32"/>
        </w:rPr>
        <w:t xml:space="preserve">   </w:t>
      </w:r>
      <w:r w:rsidR="00436721" w:rsidRPr="004D451D">
        <w:rPr>
          <w:rFonts w:ascii="Times New Roman" w:hAnsi="Times New Roman" w:hint="eastAsia"/>
          <w:szCs w:val="32"/>
        </w:rPr>
        <w:t>10</w:t>
      </w:r>
      <w:r w:rsidR="00A837D8" w:rsidRPr="004D451D">
        <w:rPr>
          <w:rFonts w:ascii="Times New Roman" w:hAnsi="Times New Roman" w:hint="eastAsia"/>
          <w:szCs w:val="32"/>
        </w:rPr>
        <w:t>7</w:t>
      </w:r>
      <w:r w:rsidR="00AB4AE2" w:rsidRPr="004D451D">
        <w:rPr>
          <w:rFonts w:ascii="Times New Roman" w:hAnsi="Times New Roman"/>
          <w:szCs w:val="32"/>
        </w:rPr>
        <w:t>年</w:t>
      </w:r>
      <w:r w:rsidR="00A837D8" w:rsidRPr="004D451D">
        <w:rPr>
          <w:rFonts w:ascii="Times New Roman" w:hAnsi="Times New Roman" w:hint="eastAsia"/>
          <w:szCs w:val="32"/>
        </w:rPr>
        <w:t>06</w:t>
      </w:r>
      <w:r w:rsidR="00AB4AE2" w:rsidRPr="004D451D">
        <w:rPr>
          <w:rFonts w:ascii="Times New Roman" w:hAnsi="Times New Roman"/>
          <w:szCs w:val="32"/>
        </w:rPr>
        <w:t>月</w:t>
      </w:r>
      <w:r w:rsidR="00436721" w:rsidRPr="004D451D">
        <w:rPr>
          <w:rFonts w:ascii="Times New Roman" w:hAnsi="Times New Roman" w:hint="eastAsia"/>
          <w:szCs w:val="32"/>
        </w:rPr>
        <w:t>3</w:t>
      </w:r>
      <w:r w:rsidR="00A837D8" w:rsidRPr="004D451D">
        <w:rPr>
          <w:rFonts w:ascii="Times New Roman" w:hAnsi="Times New Roman" w:hint="eastAsia"/>
          <w:szCs w:val="32"/>
        </w:rPr>
        <w:t>0</w:t>
      </w:r>
      <w:r w:rsidR="00AB4AE2" w:rsidRPr="004D451D">
        <w:rPr>
          <w:rFonts w:ascii="Times New Roman" w:hAnsi="Times New Roman"/>
          <w:szCs w:val="32"/>
        </w:rPr>
        <w:t>日</w:t>
      </w:r>
      <w:r w:rsidR="00AB4AE2" w:rsidRPr="004D451D">
        <w:rPr>
          <w:rFonts w:ascii="Times New Roman" w:hAnsi="Times New Roman" w:hint="eastAsia"/>
          <w:szCs w:val="32"/>
        </w:rPr>
        <w:t xml:space="preserve">　</w:t>
      </w:r>
      <w:r w:rsidRPr="004D451D">
        <w:rPr>
          <w:rFonts w:ascii="Times New Roman" w:hAnsi="Times New Roman" w:hint="eastAsia"/>
          <w:szCs w:val="32"/>
        </w:rPr>
        <w:t xml:space="preserve">  </w:t>
      </w:r>
      <w:r w:rsidR="00AB4AE2" w:rsidRPr="004D451D">
        <w:rPr>
          <w:rFonts w:ascii="Times New Roman" w:hAnsi="Times New Roman" w:hint="eastAsia"/>
          <w:sz w:val="24"/>
        </w:rPr>
        <w:t>（</w:t>
      </w:r>
      <w:r w:rsidR="00AB4AE2" w:rsidRPr="004D451D">
        <w:rPr>
          <w:rFonts w:ascii="Times New Roman" w:hAnsi="Times New Roman"/>
          <w:sz w:val="24"/>
        </w:rPr>
        <w:t>單位：新臺幣千元</w:t>
      </w:r>
      <w:r w:rsidR="00AB4AE2" w:rsidRPr="004D451D">
        <w:rPr>
          <w:rFonts w:ascii="Times New Roman" w:hAnsi="Times New Roman" w:hint="eastAsia"/>
          <w:sz w:val="24"/>
        </w:rPr>
        <w:t>）</w:t>
      </w:r>
    </w:p>
    <w:tbl>
      <w:tblPr>
        <w:tblW w:w="9786" w:type="dxa"/>
        <w:tblInd w:w="23" w:type="dxa"/>
        <w:tblCellMar>
          <w:left w:w="28" w:type="dxa"/>
          <w:right w:w="28" w:type="dxa"/>
        </w:tblCellMar>
        <w:tblLook w:val="04A0" w:firstRow="1" w:lastRow="0" w:firstColumn="1" w:lastColumn="0" w:noHBand="0" w:noVBand="1"/>
      </w:tblPr>
      <w:tblGrid>
        <w:gridCol w:w="1423"/>
        <w:gridCol w:w="1134"/>
        <w:gridCol w:w="1276"/>
        <w:gridCol w:w="1984"/>
        <w:gridCol w:w="2835"/>
        <w:gridCol w:w="1134"/>
      </w:tblGrid>
      <w:tr w:rsidR="004D451D" w:rsidRPr="004D451D" w:rsidTr="008160AF">
        <w:trPr>
          <w:trHeight w:val="1005"/>
        </w:trPr>
        <w:tc>
          <w:tcPr>
            <w:tcW w:w="1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4D451D" w:rsidRDefault="00FD1B03" w:rsidP="00AB4AE2">
            <w:pPr>
              <w:widowControl/>
              <w:jc w:val="both"/>
              <w:rPr>
                <w:rFonts w:eastAsia="標楷體"/>
                <w:kern w:val="0"/>
              </w:rPr>
            </w:pPr>
            <w:r w:rsidRPr="004D451D">
              <w:rPr>
                <w:rFonts w:eastAsia="標楷體"/>
                <w:kern w:val="0"/>
              </w:rPr>
              <w:t>地域分佈</w:t>
            </w:r>
            <w:r w:rsidRPr="004D451D">
              <w:rPr>
                <w:rFonts w:eastAsia="標楷體"/>
                <w:kern w:val="0"/>
              </w:rPr>
              <w:t>(</w:t>
            </w:r>
            <w:r w:rsidRPr="004D451D">
              <w:rPr>
                <w:rFonts w:eastAsia="標楷體"/>
                <w:kern w:val="0"/>
              </w:rPr>
              <w:t>國家</w:t>
            </w:r>
            <w:r w:rsidRPr="004D451D">
              <w:rPr>
                <w:rFonts w:eastAsia="標楷體"/>
                <w:kern w:val="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4D451D" w:rsidRDefault="00FD1B03" w:rsidP="008F67CA">
            <w:pPr>
              <w:widowControl/>
              <w:jc w:val="both"/>
              <w:rPr>
                <w:rFonts w:eastAsia="標楷體"/>
                <w:kern w:val="0"/>
              </w:rPr>
            </w:pPr>
            <w:r w:rsidRPr="004D451D">
              <w:rPr>
                <w:rFonts w:eastAsia="標楷體"/>
                <w:kern w:val="0"/>
              </w:rPr>
              <w:t>抗景氣循環緩衝資本比率</w:t>
            </w:r>
            <w:r w:rsidRPr="004D451D">
              <w:rPr>
                <w:rFonts w:eastAsia="標楷體" w:hint="eastAsia"/>
                <w:kern w:val="0"/>
              </w:rPr>
              <w:t>A</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FD1B03" w:rsidRPr="004D451D" w:rsidRDefault="00FD1B03" w:rsidP="00AB4AE2">
            <w:pPr>
              <w:widowControl/>
              <w:rPr>
                <w:rFonts w:eastAsia="標楷體"/>
                <w:kern w:val="0"/>
              </w:rPr>
            </w:pPr>
            <w:r w:rsidRPr="004D451D">
              <w:rPr>
                <w:rFonts w:eastAsia="標楷體"/>
                <w:kern w:val="0"/>
              </w:rPr>
              <w:t>暴險金額且</w:t>
            </w:r>
            <w:r w:rsidRPr="004D451D">
              <w:rPr>
                <w:rFonts w:eastAsia="標楷體"/>
                <w:kern w:val="0"/>
              </w:rPr>
              <w:t>/</w:t>
            </w:r>
            <w:r w:rsidRPr="004D451D">
              <w:rPr>
                <w:rFonts w:eastAsia="標楷體"/>
                <w:kern w:val="0"/>
              </w:rPr>
              <w:t>或風險性資產金額</w:t>
            </w:r>
            <w:r w:rsidRPr="004D451D">
              <w:rPr>
                <w:rFonts w:eastAsia="標楷體"/>
                <w:kern w:val="0"/>
              </w:rPr>
              <w:t>(</w:t>
            </w:r>
            <w:r w:rsidRPr="004D451D">
              <w:rPr>
                <w:rFonts w:eastAsia="標楷體"/>
                <w:kern w:val="0"/>
              </w:rPr>
              <w:t>使用於計算抗景氣循環緩衝資本</w:t>
            </w:r>
            <w:r w:rsidRPr="004D451D">
              <w:rPr>
                <w:rFonts w:eastAsia="標楷體"/>
                <w:kern w:val="0"/>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B03" w:rsidRPr="004D451D" w:rsidRDefault="00FD1B03" w:rsidP="008F67CA">
            <w:pPr>
              <w:widowControl/>
              <w:jc w:val="both"/>
              <w:rPr>
                <w:rFonts w:eastAsia="標楷體"/>
                <w:kern w:val="0"/>
              </w:rPr>
            </w:pPr>
            <w:r w:rsidRPr="004D451D">
              <w:rPr>
                <w:rFonts w:eastAsia="標楷體"/>
                <w:kern w:val="0"/>
              </w:rPr>
              <w:t>個別銀行之抗景氣循環緩衝資本比率</w:t>
            </w:r>
            <w:r w:rsidRPr="004D451D">
              <w:rPr>
                <w:rFonts w:eastAsia="標楷體"/>
                <w:kern w:val="0"/>
              </w:rPr>
              <w:t>(Bank-specific countercyclical capital buffer rate)</w:t>
            </w:r>
            <w:r w:rsidR="008F67CA" w:rsidRPr="004D451D">
              <w:rPr>
                <w:rFonts w:eastAsia="標楷體" w:hint="eastAsia"/>
                <w:kern w:val="0"/>
              </w:rPr>
              <w:t xml:space="preserve"> </w:t>
            </w:r>
            <w:r w:rsidRPr="004D451D">
              <w:rPr>
                <w:rFonts w:eastAsia="標楷體" w:hint="eastAsia"/>
                <w:kern w:val="0"/>
              </w:rPr>
              <w:t>D</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D1B03" w:rsidRPr="004D451D" w:rsidRDefault="00FD1B03" w:rsidP="008F67CA">
            <w:pPr>
              <w:widowControl/>
              <w:jc w:val="both"/>
              <w:rPr>
                <w:rFonts w:eastAsia="標楷體"/>
                <w:kern w:val="0"/>
              </w:rPr>
            </w:pPr>
            <w:r w:rsidRPr="004D451D">
              <w:rPr>
                <w:rFonts w:eastAsia="標楷體"/>
                <w:kern w:val="0"/>
              </w:rPr>
              <w:t>抗景氣循環緩衝資本金額</w:t>
            </w:r>
            <w:r w:rsidRPr="004D451D">
              <w:rPr>
                <w:rFonts w:eastAsia="標楷體" w:hint="eastAsia"/>
                <w:kern w:val="0"/>
              </w:rPr>
              <w:t>E</w:t>
            </w:r>
          </w:p>
        </w:tc>
      </w:tr>
      <w:tr w:rsidR="004D451D" w:rsidRPr="004D451D" w:rsidTr="008160AF">
        <w:trPr>
          <w:trHeight w:val="620"/>
        </w:trPr>
        <w:tc>
          <w:tcPr>
            <w:tcW w:w="1423" w:type="dxa"/>
            <w:vMerge/>
            <w:tcBorders>
              <w:top w:val="nil"/>
              <w:left w:val="single" w:sz="4" w:space="0" w:color="auto"/>
              <w:bottom w:val="single" w:sz="4" w:space="0" w:color="auto"/>
              <w:right w:val="single" w:sz="4" w:space="0" w:color="auto"/>
            </w:tcBorders>
            <w:vAlign w:val="center"/>
            <w:hideMark/>
          </w:tcPr>
          <w:p w:rsidR="00FD1B03" w:rsidRPr="004D451D" w:rsidRDefault="00FD1B03" w:rsidP="00AB4AE2">
            <w:pPr>
              <w:widowControl/>
              <w:rPr>
                <w:rFonts w:eastAsia="標楷體"/>
                <w:kern w:val="0"/>
              </w:rPr>
            </w:pPr>
          </w:p>
        </w:tc>
        <w:tc>
          <w:tcPr>
            <w:tcW w:w="1134" w:type="dxa"/>
            <w:vMerge/>
            <w:tcBorders>
              <w:top w:val="nil"/>
              <w:left w:val="single" w:sz="4" w:space="0" w:color="auto"/>
              <w:bottom w:val="single" w:sz="4" w:space="0" w:color="auto"/>
              <w:right w:val="single" w:sz="4" w:space="0" w:color="auto"/>
            </w:tcBorders>
            <w:vAlign w:val="center"/>
            <w:hideMark/>
          </w:tcPr>
          <w:p w:rsidR="00FD1B03" w:rsidRPr="004D451D" w:rsidRDefault="00FD1B03" w:rsidP="00AB4AE2">
            <w:pPr>
              <w:widowControl/>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hideMark/>
          </w:tcPr>
          <w:p w:rsidR="00FD1B03" w:rsidRPr="004D451D" w:rsidRDefault="00FD1B03" w:rsidP="008F67CA">
            <w:pPr>
              <w:widowControl/>
              <w:jc w:val="both"/>
              <w:rPr>
                <w:rFonts w:eastAsia="標楷體"/>
                <w:kern w:val="0"/>
              </w:rPr>
            </w:pPr>
            <w:r w:rsidRPr="004D451D">
              <w:rPr>
                <w:rFonts w:eastAsia="標楷體"/>
                <w:kern w:val="0"/>
              </w:rPr>
              <w:t>暴險金額</w:t>
            </w:r>
            <w:r w:rsidRPr="004D451D">
              <w:rPr>
                <w:rFonts w:eastAsia="標楷體" w:hint="eastAsia"/>
                <w:kern w:val="0"/>
              </w:rPr>
              <w:t>B</w:t>
            </w:r>
          </w:p>
        </w:tc>
        <w:tc>
          <w:tcPr>
            <w:tcW w:w="1984" w:type="dxa"/>
            <w:tcBorders>
              <w:top w:val="nil"/>
              <w:left w:val="nil"/>
              <w:bottom w:val="single" w:sz="4" w:space="0" w:color="auto"/>
              <w:right w:val="single" w:sz="4" w:space="0" w:color="auto"/>
            </w:tcBorders>
            <w:shd w:val="clear" w:color="auto" w:fill="auto"/>
            <w:vAlign w:val="center"/>
            <w:hideMark/>
          </w:tcPr>
          <w:p w:rsidR="00FD1B03" w:rsidRPr="004D451D" w:rsidRDefault="00FD1B03" w:rsidP="008F67CA">
            <w:pPr>
              <w:widowControl/>
              <w:jc w:val="both"/>
              <w:rPr>
                <w:rFonts w:eastAsia="標楷體"/>
                <w:kern w:val="0"/>
              </w:rPr>
            </w:pPr>
            <w:r w:rsidRPr="004D451D">
              <w:rPr>
                <w:rFonts w:eastAsia="標楷體"/>
                <w:kern w:val="0"/>
              </w:rPr>
              <w:t>風險性資產金額</w:t>
            </w:r>
            <w:r w:rsidRPr="004D451D">
              <w:rPr>
                <w:rFonts w:eastAsia="標楷體" w:hint="eastAsia"/>
                <w:kern w:val="0"/>
              </w:rPr>
              <w:t>C</w:t>
            </w:r>
          </w:p>
        </w:tc>
        <w:tc>
          <w:tcPr>
            <w:tcW w:w="2835" w:type="dxa"/>
            <w:vMerge/>
            <w:tcBorders>
              <w:top w:val="nil"/>
              <w:left w:val="single" w:sz="4" w:space="0" w:color="auto"/>
              <w:bottom w:val="single" w:sz="4" w:space="0" w:color="auto"/>
              <w:right w:val="single" w:sz="4" w:space="0" w:color="auto"/>
            </w:tcBorders>
            <w:vAlign w:val="center"/>
            <w:hideMark/>
          </w:tcPr>
          <w:p w:rsidR="00FD1B03" w:rsidRPr="004D451D" w:rsidRDefault="00FD1B03" w:rsidP="00AB4AE2">
            <w:pPr>
              <w:widowControl/>
              <w:rPr>
                <w:rFonts w:eastAsia="標楷體"/>
                <w:kern w:val="0"/>
              </w:rPr>
            </w:pPr>
          </w:p>
        </w:tc>
        <w:tc>
          <w:tcPr>
            <w:tcW w:w="1134" w:type="dxa"/>
            <w:vMerge/>
            <w:tcBorders>
              <w:left w:val="single" w:sz="4" w:space="0" w:color="auto"/>
              <w:bottom w:val="single" w:sz="4" w:space="0" w:color="auto"/>
              <w:right w:val="single" w:sz="4" w:space="0" w:color="auto"/>
            </w:tcBorders>
            <w:vAlign w:val="center"/>
            <w:hideMark/>
          </w:tcPr>
          <w:p w:rsidR="00FD1B03" w:rsidRPr="004D451D" w:rsidRDefault="00FD1B03" w:rsidP="00AB4AE2">
            <w:pPr>
              <w:widowControl/>
              <w:rPr>
                <w:rFonts w:eastAsia="標楷體"/>
                <w:kern w:val="0"/>
              </w:rPr>
            </w:pPr>
          </w:p>
        </w:tc>
      </w:tr>
      <w:tr w:rsidR="004D451D" w:rsidRPr="004D451D"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w:t>
            </w:r>
            <w:r w:rsidRPr="004D451D">
              <w:rPr>
                <w:rFonts w:eastAsia="標楷體"/>
                <w:kern w:val="0"/>
              </w:rPr>
              <w:t>母國</w:t>
            </w:r>
            <w:r w:rsidRPr="004D451D">
              <w:rPr>
                <w:rFonts w:eastAsia="標楷體"/>
                <w:kern w:val="0"/>
              </w:rPr>
              <w:t xml:space="preserve">) </w:t>
            </w:r>
          </w:p>
        </w:tc>
        <w:tc>
          <w:tcPr>
            <w:tcW w:w="1134" w:type="dxa"/>
            <w:tcBorders>
              <w:top w:val="nil"/>
              <w:left w:val="single" w:sz="4" w:space="0" w:color="auto"/>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single" w:sz="4" w:space="0" w:color="auto"/>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single" w:sz="4" w:space="0" w:color="auto"/>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nil"/>
              <w:left w:val="single" w:sz="4" w:space="0" w:color="auto"/>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國家</w:t>
            </w:r>
            <w:r w:rsidRPr="004D451D">
              <w:rPr>
                <w:rFonts w:eastAsia="標楷體"/>
                <w:kern w:val="0"/>
              </w:rPr>
              <w:t>1</w:t>
            </w:r>
          </w:p>
        </w:tc>
        <w:tc>
          <w:tcPr>
            <w:tcW w:w="1134" w:type="dxa"/>
            <w:tcBorders>
              <w:top w:val="single" w:sz="4" w:space="0" w:color="auto"/>
              <w:left w:val="single" w:sz="4" w:space="0" w:color="auto"/>
              <w:bottom w:val="single" w:sz="4" w:space="0" w:color="auto"/>
              <w:right w:val="single" w:sz="4" w:space="0" w:color="auto"/>
            </w:tcBorders>
            <w:vAlign w:val="center"/>
          </w:tcPr>
          <w:p w:rsidR="00AB4AE2" w:rsidRPr="004D451D" w:rsidRDefault="00AB4AE2" w:rsidP="00AB4AE2">
            <w:pPr>
              <w:widowControl/>
              <w:rPr>
                <w:rFonts w:eastAsia="標楷體"/>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AB4AE2" w:rsidRPr="004D451D" w:rsidRDefault="00AB4AE2" w:rsidP="00AB4AE2">
            <w:pPr>
              <w:widowControl/>
              <w:rPr>
                <w:rFonts w:eastAsia="標楷體"/>
                <w:kern w:val="0"/>
              </w:rPr>
            </w:pPr>
          </w:p>
        </w:tc>
        <w:tc>
          <w:tcPr>
            <w:tcW w:w="1984" w:type="dxa"/>
            <w:tcBorders>
              <w:top w:val="single" w:sz="4" w:space="0" w:color="auto"/>
              <w:left w:val="single" w:sz="4" w:space="0" w:color="auto"/>
              <w:bottom w:val="single" w:sz="4" w:space="0" w:color="auto"/>
              <w:right w:val="single" w:sz="4" w:space="0" w:color="auto"/>
            </w:tcBorders>
            <w:vAlign w:val="center"/>
          </w:tcPr>
          <w:p w:rsidR="00AB4AE2" w:rsidRPr="004D451D" w:rsidRDefault="00AB4AE2" w:rsidP="00AB4AE2">
            <w:pPr>
              <w:widowControl/>
              <w:rPr>
                <w:rFonts w:eastAsia="標楷體"/>
                <w:kern w:val="0"/>
              </w:rPr>
            </w:pPr>
          </w:p>
        </w:tc>
        <w:tc>
          <w:tcPr>
            <w:tcW w:w="283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AB4AE2" w:rsidRPr="004D451D" w:rsidRDefault="00AB4AE2" w:rsidP="00AB4AE2">
            <w:pPr>
              <w:widowControl/>
              <w:rPr>
                <w:rFonts w:eastAsia="標楷體"/>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AB4AE2" w:rsidRPr="004D451D" w:rsidRDefault="00AB4AE2" w:rsidP="00AB4AE2">
            <w:pPr>
              <w:widowControl/>
              <w:rPr>
                <w:rFonts w:eastAsia="標楷體"/>
                <w:kern w:val="0"/>
              </w:rPr>
            </w:pPr>
          </w:p>
        </w:tc>
      </w:tr>
      <w:tr w:rsidR="004D451D" w:rsidRPr="004D451D"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國家</w:t>
            </w:r>
            <w:r w:rsidRPr="004D451D">
              <w:rPr>
                <w:rFonts w:eastAsia="標楷體"/>
                <w:kern w:val="0"/>
              </w:rPr>
              <w:t>2</w:t>
            </w:r>
          </w:p>
        </w:tc>
        <w:tc>
          <w:tcPr>
            <w:tcW w:w="113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390"/>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國家</w:t>
            </w:r>
            <w:r w:rsidRPr="004D451D">
              <w:rPr>
                <w:rFonts w:eastAsia="標楷體"/>
                <w:kern w:val="0"/>
              </w:rPr>
              <w:t>3</w:t>
            </w:r>
          </w:p>
        </w:tc>
        <w:tc>
          <w:tcPr>
            <w:tcW w:w="113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259"/>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w:t>
            </w:r>
          </w:p>
        </w:tc>
        <w:tc>
          <w:tcPr>
            <w:tcW w:w="113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34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r w:rsidRPr="004D451D">
              <w:rPr>
                <w:rFonts w:eastAsia="標楷體"/>
                <w:kern w:val="0"/>
              </w:rPr>
              <w:t>國家</w:t>
            </w:r>
            <w:r w:rsidRPr="004D451D">
              <w:rPr>
                <w:rFonts w:eastAsia="標楷體"/>
                <w:kern w:val="0"/>
              </w:rPr>
              <w:t>N</w:t>
            </w:r>
          </w:p>
        </w:tc>
        <w:tc>
          <w:tcPr>
            <w:tcW w:w="113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345"/>
        </w:trPr>
        <w:tc>
          <w:tcPr>
            <w:tcW w:w="1423" w:type="dxa"/>
            <w:tcBorders>
              <w:top w:val="nil"/>
              <w:left w:val="single" w:sz="4" w:space="0" w:color="auto"/>
              <w:bottom w:val="nil"/>
              <w:right w:val="single" w:sz="4" w:space="0" w:color="auto"/>
            </w:tcBorders>
            <w:shd w:val="clear" w:color="auto" w:fill="auto"/>
            <w:vAlign w:val="center"/>
            <w:hideMark/>
          </w:tcPr>
          <w:p w:rsidR="00AB4AE2" w:rsidRPr="004D451D" w:rsidRDefault="00AB4AE2" w:rsidP="00AB4AE2">
            <w:pPr>
              <w:widowControl/>
              <w:jc w:val="both"/>
              <w:rPr>
                <w:rFonts w:eastAsia="標楷體"/>
                <w:kern w:val="0"/>
              </w:rPr>
            </w:pPr>
          </w:p>
        </w:tc>
        <w:tc>
          <w:tcPr>
            <w:tcW w:w="1134" w:type="dxa"/>
            <w:tcBorders>
              <w:top w:val="nil"/>
              <w:left w:val="nil"/>
              <w:bottom w:val="nil"/>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276" w:type="dxa"/>
            <w:tcBorders>
              <w:top w:val="nil"/>
              <w:left w:val="nil"/>
              <w:bottom w:val="nil"/>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nil"/>
              <w:bottom w:val="nil"/>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nil"/>
              <w:bottom w:val="nil"/>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nil"/>
              <w:left w:val="nil"/>
              <w:bottom w:val="nil"/>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585"/>
        </w:trPr>
        <w:tc>
          <w:tcPr>
            <w:tcW w:w="1423" w:type="dxa"/>
            <w:tcBorders>
              <w:top w:val="single" w:sz="8" w:space="0" w:color="auto"/>
              <w:left w:val="single" w:sz="4" w:space="0" w:color="auto"/>
              <w:bottom w:val="single" w:sz="8" w:space="0" w:color="auto"/>
              <w:right w:val="single" w:sz="4" w:space="0" w:color="auto"/>
            </w:tcBorders>
            <w:shd w:val="clear" w:color="auto" w:fill="FFFFFF"/>
            <w:vAlign w:val="center"/>
            <w:hideMark/>
          </w:tcPr>
          <w:p w:rsidR="00AB4AE2" w:rsidRPr="004D451D" w:rsidRDefault="00AB4AE2" w:rsidP="00AB4AE2">
            <w:pPr>
              <w:widowControl/>
              <w:jc w:val="both"/>
              <w:rPr>
                <w:rFonts w:eastAsia="標楷體"/>
                <w:kern w:val="0"/>
              </w:rPr>
            </w:pPr>
            <w:r w:rsidRPr="004D451D">
              <w:rPr>
                <w:rFonts w:eastAsia="標楷體"/>
                <w:kern w:val="0"/>
              </w:rPr>
              <w:t>小計</w:t>
            </w:r>
            <w:r w:rsidR="00FD1B03" w:rsidRPr="004D451D">
              <w:rPr>
                <w:rFonts w:eastAsia="標楷體"/>
                <w:kern w:val="0"/>
              </w:rPr>
              <w:t>-</w:t>
            </w:r>
            <w:r w:rsidRPr="004D451D">
              <w:rPr>
                <w:rFonts w:eastAsia="標楷體"/>
                <w:kern w:val="0"/>
              </w:rPr>
              <w:t>抗景氣循環比率大於</w:t>
            </w:r>
            <w:r w:rsidRPr="004D451D">
              <w:rPr>
                <w:rFonts w:eastAsia="標楷體"/>
                <w:kern w:val="0"/>
              </w:rPr>
              <w:t>0%</w:t>
            </w:r>
            <w:r w:rsidRPr="004D451D">
              <w:rPr>
                <w:rFonts w:eastAsia="標楷體"/>
                <w:kern w:val="0"/>
              </w:rPr>
              <w:t>國家</w:t>
            </w:r>
          </w:p>
        </w:tc>
        <w:tc>
          <w:tcPr>
            <w:tcW w:w="1134" w:type="dxa"/>
            <w:tcBorders>
              <w:top w:val="single" w:sz="8" w:space="0" w:color="auto"/>
              <w:left w:val="nil"/>
              <w:bottom w:val="single" w:sz="8"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276" w:type="dxa"/>
            <w:tcBorders>
              <w:top w:val="single" w:sz="8" w:space="0" w:color="auto"/>
              <w:left w:val="nil"/>
              <w:bottom w:val="single" w:sz="8"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single" w:sz="8" w:space="0" w:color="auto"/>
              <w:left w:val="nil"/>
              <w:bottom w:val="single" w:sz="8"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single" w:sz="8" w:space="0" w:color="auto"/>
              <w:left w:val="nil"/>
              <w:bottom w:val="single" w:sz="8"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134" w:type="dxa"/>
            <w:tcBorders>
              <w:top w:val="single" w:sz="8" w:space="0" w:color="auto"/>
              <w:left w:val="nil"/>
              <w:bottom w:val="single" w:sz="8"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r>
      <w:tr w:rsidR="004D451D" w:rsidRPr="004D451D" w:rsidTr="008160AF">
        <w:trPr>
          <w:trHeight w:val="345"/>
        </w:trPr>
        <w:tc>
          <w:tcPr>
            <w:tcW w:w="1423" w:type="dxa"/>
            <w:tcBorders>
              <w:top w:val="nil"/>
              <w:left w:val="single" w:sz="4" w:space="0" w:color="auto"/>
              <w:bottom w:val="single" w:sz="8" w:space="0" w:color="auto"/>
              <w:right w:val="single" w:sz="4" w:space="0" w:color="auto"/>
            </w:tcBorders>
            <w:shd w:val="clear" w:color="auto" w:fill="FFFFFF"/>
            <w:vAlign w:val="center"/>
            <w:hideMark/>
          </w:tcPr>
          <w:p w:rsidR="00AB4AE2" w:rsidRPr="004D451D" w:rsidRDefault="00AB4AE2" w:rsidP="00AB4AE2">
            <w:pPr>
              <w:widowControl/>
              <w:jc w:val="both"/>
              <w:rPr>
                <w:rFonts w:eastAsia="標楷體"/>
                <w:kern w:val="0"/>
              </w:rPr>
            </w:pPr>
            <w:r w:rsidRPr="004D451D">
              <w:rPr>
                <w:rFonts w:eastAsia="標楷體"/>
                <w:kern w:val="0"/>
              </w:rPr>
              <w:t>合計</w:t>
            </w:r>
          </w:p>
        </w:tc>
        <w:tc>
          <w:tcPr>
            <w:tcW w:w="1134" w:type="dxa"/>
            <w:tcBorders>
              <w:top w:val="nil"/>
              <w:left w:val="nil"/>
              <w:bottom w:val="single" w:sz="4" w:space="0" w:color="auto"/>
              <w:right w:val="single" w:sz="4" w:space="0" w:color="auto"/>
            </w:tcBorders>
            <w:shd w:val="clear" w:color="000000" w:fill="595959"/>
            <w:vAlign w:val="center"/>
          </w:tcPr>
          <w:p w:rsidR="00AB4AE2" w:rsidRPr="004D451D" w:rsidRDefault="00AB4AE2" w:rsidP="00AB4AE2">
            <w:pPr>
              <w:widowControl/>
              <w:jc w:val="both"/>
              <w:rPr>
                <w:rFonts w:eastAsia="標楷體"/>
                <w:kern w:val="0"/>
              </w:rPr>
            </w:pPr>
          </w:p>
        </w:tc>
        <w:tc>
          <w:tcPr>
            <w:tcW w:w="1276"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98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2835"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c>
          <w:tcPr>
            <w:tcW w:w="1134" w:type="dxa"/>
            <w:tcBorders>
              <w:top w:val="nil"/>
              <w:left w:val="nil"/>
              <w:bottom w:val="single" w:sz="4" w:space="0" w:color="auto"/>
              <w:right w:val="single" w:sz="4" w:space="0" w:color="auto"/>
            </w:tcBorders>
            <w:shd w:val="clear" w:color="auto" w:fill="auto"/>
            <w:vAlign w:val="center"/>
          </w:tcPr>
          <w:p w:rsidR="00AB4AE2" w:rsidRPr="004D451D" w:rsidRDefault="00AB4AE2" w:rsidP="00AB4AE2">
            <w:pPr>
              <w:widowControl/>
              <w:jc w:val="both"/>
              <w:rPr>
                <w:rFonts w:eastAsia="標楷體"/>
                <w:kern w:val="0"/>
              </w:rPr>
            </w:pPr>
          </w:p>
        </w:tc>
      </w:tr>
    </w:tbl>
    <w:p w:rsidR="00AB4AE2" w:rsidRPr="004D451D" w:rsidRDefault="00AB4AE2" w:rsidP="00AB4AE2">
      <w:pPr>
        <w:pStyle w:val="ad"/>
        <w:spacing w:line="240" w:lineRule="atLeast"/>
        <w:ind w:leftChars="21" w:left="1008" w:right="556"/>
        <w:rPr>
          <w:rFonts w:ascii="Times New Roman" w:hAnsi="Times New Roman"/>
          <w:b/>
          <w:sz w:val="24"/>
        </w:rPr>
      </w:pPr>
    </w:p>
    <w:p w:rsidR="00AB4AE2" w:rsidRPr="004D451D" w:rsidRDefault="00AB4AE2" w:rsidP="00FD1B03">
      <w:pPr>
        <w:pStyle w:val="ad"/>
        <w:spacing w:line="240" w:lineRule="atLeast"/>
        <w:ind w:left="0" w:firstLine="0"/>
        <w:rPr>
          <w:rFonts w:ascii="Times New Roman" w:hAnsi="Times New Roman"/>
          <w:sz w:val="24"/>
        </w:rPr>
      </w:pPr>
      <w:r w:rsidRPr="004D451D">
        <w:rPr>
          <w:rFonts w:ascii="Times New Roman" w:hAnsi="Times New Roman"/>
          <w:b/>
          <w:sz w:val="24"/>
        </w:rPr>
        <w:t>填表說明</w:t>
      </w:r>
      <w:r w:rsidRPr="004D451D">
        <w:rPr>
          <w:rFonts w:ascii="Times New Roman" w:hAnsi="Times New Roman"/>
          <w:sz w:val="24"/>
        </w:rPr>
        <w:t>：</w:t>
      </w:r>
    </w:p>
    <w:p w:rsidR="008160AF" w:rsidRPr="004D451D" w:rsidRDefault="008160AF" w:rsidP="009F53B0">
      <w:pPr>
        <w:numPr>
          <w:ilvl w:val="0"/>
          <w:numId w:val="111"/>
        </w:numPr>
        <w:spacing w:line="240" w:lineRule="atLeast"/>
        <w:ind w:leftChars="150" w:left="720" w:hangingChars="150"/>
        <w:jc w:val="both"/>
        <w:rPr>
          <w:rFonts w:eastAsia="標楷體"/>
        </w:rPr>
      </w:pPr>
      <w:r w:rsidRPr="004D451D">
        <w:rPr>
          <w:rFonts w:eastAsia="標楷體" w:hint="eastAsia"/>
        </w:rPr>
        <w:t>我國主管機關</w:t>
      </w:r>
      <w:r w:rsidR="00336A10" w:rsidRPr="004D451D">
        <w:rPr>
          <w:rFonts w:eastAsia="標楷體" w:hint="eastAsia"/>
        </w:rPr>
        <w:t>目前</w:t>
      </w:r>
      <w:r w:rsidRPr="004D451D">
        <w:rPr>
          <w:rFonts w:eastAsia="標楷體" w:hint="eastAsia"/>
        </w:rPr>
        <w:t>尚無要求銀行計提抗景氣循環緩衝資本，本表</w:t>
      </w:r>
      <w:r w:rsidR="00336A10" w:rsidRPr="004D451D">
        <w:rPr>
          <w:rFonts w:eastAsia="標楷體" w:hint="eastAsia"/>
        </w:rPr>
        <w:t>暫</w:t>
      </w:r>
      <w:r w:rsidRPr="004D451D">
        <w:rPr>
          <w:rFonts w:eastAsia="標楷體" w:hint="eastAsia"/>
        </w:rPr>
        <w:t>毋須填報。</w:t>
      </w:r>
    </w:p>
    <w:p w:rsidR="00AB4AE2" w:rsidRPr="004D451D" w:rsidRDefault="00AB4AE2" w:rsidP="009F53B0">
      <w:pPr>
        <w:numPr>
          <w:ilvl w:val="0"/>
          <w:numId w:val="111"/>
        </w:numPr>
        <w:spacing w:line="240" w:lineRule="atLeast"/>
        <w:ind w:leftChars="150" w:left="720" w:hangingChars="150"/>
        <w:jc w:val="both"/>
        <w:rPr>
          <w:rFonts w:eastAsia="標楷體"/>
        </w:rPr>
      </w:pPr>
      <w:r w:rsidRPr="004D451D">
        <w:rPr>
          <w:rFonts w:eastAsia="標楷體" w:hint="eastAsia"/>
        </w:rPr>
        <w:t>本表</w:t>
      </w:r>
      <w:r w:rsidR="00336A10" w:rsidRPr="004D451D">
        <w:rPr>
          <w:rFonts w:eastAsia="標楷體" w:hint="eastAsia"/>
        </w:rPr>
        <w:t>係</w:t>
      </w:r>
      <w:r w:rsidRPr="004D451D">
        <w:rPr>
          <w:rFonts w:eastAsia="標楷體" w:hint="eastAsia"/>
        </w:rPr>
        <w:t>依據巴塞爾資本協</w:t>
      </w:r>
      <w:r w:rsidR="00FD1B03" w:rsidRPr="004D451D">
        <w:rPr>
          <w:rFonts w:eastAsia="標楷體" w:hint="eastAsia"/>
        </w:rPr>
        <w:t>定</w:t>
      </w:r>
      <w:r w:rsidRPr="004D451D">
        <w:rPr>
          <w:rFonts w:eastAsia="標楷體" w:hint="eastAsia"/>
        </w:rPr>
        <w:t>中抗景氣循環緩衝資本之要求，具有私部門信用暴險之銀行，</w:t>
      </w:r>
      <w:r w:rsidR="008160AF" w:rsidRPr="004D451D">
        <w:rPr>
          <w:rFonts w:eastAsia="標楷體" w:hint="eastAsia"/>
        </w:rPr>
        <w:t>未來於</w:t>
      </w:r>
      <w:r w:rsidRPr="004D451D">
        <w:rPr>
          <w:rFonts w:eastAsia="標楷體" w:hint="eastAsia"/>
        </w:rPr>
        <w:t>主管機關發布我國抗景氣循環緩衝資本比率要求不等於</w:t>
      </w:r>
      <w:r w:rsidRPr="004D451D">
        <w:rPr>
          <w:rFonts w:eastAsia="標楷體" w:hint="eastAsia"/>
        </w:rPr>
        <w:t>0%</w:t>
      </w:r>
      <w:r w:rsidRPr="004D451D">
        <w:rPr>
          <w:rFonts w:eastAsia="標楷體" w:hint="eastAsia"/>
        </w:rPr>
        <w:t>後，須揭露此表。</w:t>
      </w:r>
    </w:p>
    <w:p w:rsidR="00AB4AE2" w:rsidRPr="004D451D" w:rsidRDefault="00AB4AE2" w:rsidP="009F53B0">
      <w:pPr>
        <w:numPr>
          <w:ilvl w:val="0"/>
          <w:numId w:val="111"/>
        </w:numPr>
        <w:spacing w:line="240" w:lineRule="atLeast"/>
        <w:ind w:leftChars="150" w:left="720" w:hangingChars="150"/>
        <w:jc w:val="both"/>
        <w:rPr>
          <w:rFonts w:eastAsia="標楷體"/>
        </w:rPr>
      </w:pPr>
      <w:r w:rsidRPr="004D451D">
        <w:rPr>
          <w:rFonts w:eastAsia="標楷體" w:hint="eastAsia"/>
        </w:rPr>
        <w:t>承第</w:t>
      </w:r>
      <w:r w:rsidR="008160AF" w:rsidRPr="004D451D">
        <w:rPr>
          <w:rFonts w:eastAsia="標楷體" w:hint="eastAsia"/>
        </w:rPr>
        <w:t>2</w:t>
      </w:r>
      <w:r w:rsidRPr="004D451D">
        <w:rPr>
          <w:rFonts w:eastAsia="標楷體" w:hint="eastAsia"/>
        </w:rPr>
        <w:t>點，有關抗景氣循環緩衝資本比率與抗景氣循環緩衝資本金額之相關定義、計算方式與規範，依主管機關發布之最新規定辦理。</w:t>
      </w:r>
    </w:p>
    <w:p w:rsidR="00AB4AE2" w:rsidRPr="004D451D" w:rsidRDefault="00AB4AE2" w:rsidP="009F53B0">
      <w:pPr>
        <w:numPr>
          <w:ilvl w:val="0"/>
          <w:numId w:val="111"/>
        </w:numPr>
        <w:spacing w:line="240" w:lineRule="atLeast"/>
        <w:ind w:leftChars="150" w:left="720" w:hangingChars="150"/>
        <w:jc w:val="both"/>
        <w:rPr>
          <w:rFonts w:eastAsia="標楷體"/>
        </w:rPr>
      </w:pPr>
      <w:r w:rsidRPr="004D451D">
        <w:rPr>
          <w:rFonts w:eastAsia="標楷體" w:hint="eastAsia"/>
        </w:rPr>
        <w:t>於揭露資料基準日時，銀行之暴險所在國主管機關已公告生效之抗景氣循環緩衝資本比率大於</w:t>
      </w:r>
      <w:r w:rsidRPr="004D451D">
        <w:rPr>
          <w:rFonts w:eastAsia="標楷體" w:hint="eastAsia"/>
        </w:rPr>
        <w:t>0%</w:t>
      </w:r>
      <w:r w:rsidRPr="004D451D">
        <w:rPr>
          <w:rFonts w:eastAsia="標楷體" w:hint="eastAsia"/>
        </w:rPr>
        <w:t>者方須逐項列示。</w:t>
      </w:r>
    </w:p>
    <w:p w:rsidR="00AB4AE2" w:rsidRPr="004D451D" w:rsidRDefault="00AB4AE2" w:rsidP="009F53B0">
      <w:pPr>
        <w:numPr>
          <w:ilvl w:val="0"/>
          <w:numId w:val="111"/>
        </w:numPr>
        <w:spacing w:line="240" w:lineRule="atLeast"/>
        <w:ind w:leftChars="150" w:left="720" w:hangingChars="150"/>
        <w:jc w:val="both"/>
        <w:rPr>
          <w:rFonts w:eastAsia="標楷體"/>
        </w:rPr>
      </w:pPr>
      <w:r w:rsidRPr="004D451D">
        <w:rPr>
          <w:rFonts w:eastAsia="標楷體" w:hint="eastAsia"/>
        </w:rPr>
        <w:t>小計</w:t>
      </w:r>
      <w:r w:rsidR="005256BC" w:rsidRPr="004D451D">
        <w:rPr>
          <w:rFonts w:eastAsia="標楷體" w:hint="eastAsia"/>
        </w:rPr>
        <w:t>-</w:t>
      </w:r>
      <w:r w:rsidRPr="004D451D">
        <w:rPr>
          <w:rFonts w:eastAsia="標楷體" w:hint="eastAsia"/>
        </w:rPr>
        <w:t>抗景氣循環比率大於</w:t>
      </w:r>
      <w:r w:rsidRPr="004D451D">
        <w:rPr>
          <w:rFonts w:eastAsia="標楷體" w:hint="eastAsia"/>
        </w:rPr>
        <w:t>0%</w:t>
      </w:r>
      <w:r w:rsidRPr="004D451D">
        <w:rPr>
          <w:rFonts w:eastAsia="標楷體" w:hint="eastAsia"/>
        </w:rPr>
        <w:t>國家：係指抗景氣循環緩衝資本比率大於</w:t>
      </w:r>
      <w:r w:rsidRPr="004D451D">
        <w:rPr>
          <w:rFonts w:eastAsia="標楷體" w:hint="eastAsia"/>
        </w:rPr>
        <w:t>0%</w:t>
      </w:r>
      <w:r w:rsidRPr="004D451D">
        <w:rPr>
          <w:rFonts w:eastAsia="標楷體" w:hint="eastAsia"/>
        </w:rPr>
        <w:t>之暴險所在國之金額加總。</w:t>
      </w:r>
    </w:p>
    <w:p w:rsidR="00AB4AE2" w:rsidRPr="004D451D" w:rsidRDefault="00AB4AE2" w:rsidP="009F53B0">
      <w:pPr>
        <w:numPr>
          <w:ilvl w:val="0"/>
          <w:numId w:val="111"/>
        </w:numPr>
        <w:spacing w:line="240" w:lineRule="atLeast"/>
        <w:ind w:leftChars="150" w:left="720" w:hangingChars="150"/>
        <w:jc w:val="both"/>
        <w:rPr>
          <w:rFonts w:eastAsia="標楷體"/>
        </w:rPr>
      </w:pPr>
      <w:r w:rsidRPr="004D451D">
        <w:rPr>
          <w:rFonts w:eastAsia="標楷體" w:hint="eastAsia"/>
        </w:rPr>
        <w:t>暴險金額合計：係指銀行對跨監理機構之所有私部門信用暴險之總金額。</w:t>
      </w:r>
    </w:p>
    <w:p w:rsidR="00FD1B03" w:rsidRPr="004D451D" w:rsidRDefault="00FD1B03" w:rsidP="009F53B0">
      <w:pPr>
        <w:numPr>
          <w:ilvl w:val="0"/>
          <w:numId w:val="111"/>
        </w:numPr>
        <w:spacing w:line="240" w:lineRule="atLeast"/>
        <w:ind w:leftChars="150" w:left="720" w:hangingChars="150"/>
        <w:jc w:val="both"/>
        <w:rPr>
          <w:rFonts w:eastAsia="標楷體"/>
        </w:rPr>
      </w:pPr>
      <w:r w:rsidRPr="004D451D">
        <w:rPr>
          <w:rFonts w:eastAsia="標楷體" w:hint="eastAsia"/>
        </w:rPr>
        <w:t>風險性資產金額合計：係指銀行對跨監理機構之所有私部門信用暴險之風險性資產之總金額。</w:t>
      </w:r>
    </w:p>
    <w:p w:rsidR="00B52890" w:rsidRPr="004D451D" w:rsidRDefault="00B52890" w:rsidP="00693508">
      <w:pPr>
        <w:spacing w:line="356" w:lineRule="exact"/>
        <w:ind w:left="461" w:hangingChars="192" w:hanging="461"/>
        <w:rPr>
          <w:rFonts w:eastAsia="標楷體"/>
        </w:rPr>
      </w:pPr>
    </w:p>
    <w:sectPr w:rsidR="00B52890" w:rsidRPr="004D451D" w:rsidSect="006A2EB6">
      <w:footerReference w:type="even" r:id="rId17"/>
      <w:footerReference w:type="default" r:id="rId18"/>
      <w:pgSz w:w="11906" w:h="16838" w:code="9"/>
      <w:pgMar w:top="1440" w:right="1440" w:bottom="1440" w:left="1440" w:header="851" w:footer="3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0C" w:rsidRDefault="001F240C">
      <w:r>
        <w:separator/>
      </w:r>
    </w:p>
  </w:endnote>
  <w:endnote w:type="continuationSeparator" w:id="0">
    <w:p w:rsidR="001F240C" w:rsidRDefault="001F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華康楷書體W5">
    <w:altName w:val="Arial Unicode MS"/>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0C" w:rsidRDefault="001F240C" w:rsidP="00915AA5">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F240C" w:rsidRDefault="001F24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0C" w:rsidRDefault="001F240C" w:rsidP="00915AA5">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F26F9">
      <w:rPr>
        <w:rStyle w:val="af0"/>
        <w:noProof/>
      </w:rPr>
      <w:t>18</w:t>
    </w:r>
    <w:r>
      <w:rPr>
        <w:rStyle w:val="af0"/>
      </w:rPr>
      <w:fldChar w:fldCharType="end"/>
    </w:r>
  </w:p>
  <w:p w:rsidR="001F240C" w:rsidRDefault="001F24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0C" w:rsidRDefault="001F240C" w:rsidP="0000656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F240C" w:rsidRDefault="001F240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0C" w:rsidRDefault="001F240C" w:rsidP="00EA7354">
    <w:pPr>
      <w:pStyle w:val="a6"/>
      <w:jc w:val="center"/>
    </w:pPr>
    <w:r>
      <w:fldChar w:fldCharType="begin"/>
    </w:r>
    <w:r>
      <w:instrText>PAGE   \* MERGEFORMAT</w:instrText>
    </w:r>
    <w:r>
      <w:fldChar w:fldCharType="separate"/>
    </w:r>
    <w:r w:rsidR="006F26F9" w:rsidRPr="006F26F9">
      <w:rPr>
        <w:noProof/>
        <w:lang w:val="zh-TW"/>
      </w:rPr>
      <w:t>40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0C" w:rsidRDefault="001F240C" w:rsidP="00006568">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F240C" w:rsidRDefault="001F240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40C" w:rsidRDefault="001F240C" w:rsidP="00006568">
    <w:pPr>
      <w:pStyle w:val="a6"/>
      <w:framePr w:wrap="around" w:vAnchor="text" w:hAnchor="page" w:x="5401" w:y="-52"/>
      <w:rPr>
        <w:rStyle w:val="af0"/>
      </w:rPr>
    </w:pPr>
    <w:r>
      <w:rPr>
        <w:rStyle w:val="af0"/>
      </w:rPr>
      <w:fldChar w:fldCharType="begin"/>
    </w:r>
    <w:r>
      <w:rPr>
        <w:rStyle w:val="af0"/>
      </w:rPr>
      <w:instrText xml:space="preserve">PAGE  </w:instrText>
    </w:r>
    <w:r>
      <w:rPr>
        <w:rStyle w:val="af0"/>
      </w:rPr>
      <w:fldChar w:fldCharType="separate"/>
    </w:r>
    <w:r w:rsidR="00FD1AC2">
      <w:rPr>
        <w:rStyle w:val="af0"/>
        <w:noProof/>
      </w:rPr>
      <w:t>130</w:t>
    </w:r>
    <w:r>
      <w:rPr>
        <w:rStyle w:val="af0"/>
      </w:rPr>
      <w:fldChar w:fldCharType="end"/>
    </w:r>
  </w:p>
  <w:p w:rsidR="001F240C" w:rsidRDefault="001F24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0C" w:rsidRDefault="001F240C">
      <w:r>
        <w:separator/>
      </w:r>
    </w:p>
  </w:footnote>
  <w:footnote w:type="continuationSeparator" w:id="0">
    <w:p w:rsidR="001F240C" w:rsidRDefault="001F2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F56"/>
    <w:multiLevelType w:val="hybridMultilevel"/>
    <w:tmpl w:val="C57A8E36"/>
    <w:lvl w:ilvl="0" w:tplc="81749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274BB"/>
    <w:multiLevelType w:val="hybridMultilevel"/>
    <w:tmpl w:val="1C7AF89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2E7F94"/>
    <w:multiLevelType w:val="hybridMultilevel"/>
    <w:tmpl w:val="A00A2DEE"/>
    <w:lvl w:ilvl="0" w:tplc="8C4C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D10C3F"/>
    <w:multiLevelType w:val="hybridMultilevel"/>
    <w:tmpl w:val="99E43D64"/>
    <w:lvl w:ilvl="0" w:tplc="91363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711D0"/>
    <w:multiLevelType w:val="hybridMultilevel"/>
    <w:tmpl w:val="D1CAB10C"/>
    <w:lvl w:ilvl="0" w:tplc="9DE2946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182CF0"/>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F1244D"/>
    <w:multiLevelType w:val="hybridMultilevel"/>
    <w:tmpl w:val="7918EC66"/>
    <w:lvl w:ilvl="0" w:tplc="377CF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3E3127"/>
    <w:multiLevelType w:val="hybridMultilevel"/>
    <w:tmpl w:val="42BA6FBE"/>
    <w:lvl w:ilvl="0" w:tplc="8772B692">
      <w:start w:val="1"/>
      <w:numFmt w:val="lowerRoman"/>
      <w:lvlText w:val="(%1)"/>
      <w:lvlJc w:val="left"/>
      <w:pPr>
        <w:ind w:left="1320" w:hanging="720"/>
      </w:pPr>
      <w:rPr>
        <w:rFonts w:hint="default"/>
      </w:rPr>
    </w:lvl>
    <w:lvl w:ilvl="1" w:tplc="5AB2BF6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0DC207E1"/>
    <w:multiLevelType w:val="hybridMultilevel"/>
    <w:tmpl w:val="8410EACC"/>
    <w:lvl w:ilvl="0" w:tplc="12746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627E3B"/>
    <w:multiLevelType w:val="hybridMultilevel"/>
    <w:tmpl w:val="E72AF9B2"/>
    <w:lvl w:ilvl="0" w:tplc="89225C58">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3501A92"/>
    <w:multiLevelType w:val="hybridMultilevel"/>
    <w:tmpl w:val="0A12D25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62D7550"/>
    <w:multiLevelType w:val="hybridMultilevel"/>
    <w:tmpl w:val="A0321E70"/>
    <w:lvl w:ilvl="0" w:tplc="1AF0A88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nsid w:val="177929B2"/>
    <w:multiLevelType w:val="hybridMultilevel"/>
    <w:tmpl w:val="7A742DA0"/>
    <w:lvl w:ilvl="0" w:tplc="488C7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FE6DC8"/>
    <w:multiLevelType w:val="hybridMultilevel"/>
    <w:tmpl w:val="46687570"/>
    <w:lvl w:ilvl="0" w:tplc="BB9E1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045E2F"/>
    <w:multiLevelType w:val="hybridMultilevel"/>
    <w:tmpl w:val="0798D058"/>
    <w:lvl w:ilvl="0" w:tplc="1AF0A882">
      <w:start w:val="1"/>
      <w:numFmt w:val="decimal"/>
      <w:lvlText w:val="%1."/>
      <w:lvlJc w:val="left"/>
      <w:pPr>
        <w:tabs>
          <w:tab w:val="num" w:pos="1500"/>
        </w:tabs>
        <w:ind w:left="1500" w:hanging="360"/>
      </w:pPr>
      <w:rPr>
        <w:rFonts w:ascii="Times New Roman" w:hAnsi="Times New Roman" w:cs="Times New Roman" w:hint="default"/>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5">
    <w:nsid w:val="196B4B74"/>
    <w:multiLevelType w:val="hybridMultilevel"/>
    <w:tmpl w:val="D0CA69A4"/>
    <w:lvl w:ilvl="0" w:tplc="0D140C7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1A9E4BF2"/>
    <w:multiLevelType w:val="hybridMultilevel"/>
    <w:tmpl w:val="7C0685D4"/>
    <w:lvl w:ilvl="0" w:tplc="2DD8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AFC7980"/>
    <w:multiLevelType w:val="hybridMultilevel"/>
    <w:tmpl w:val="96C6A654"/>
    <w:lvl w:ilvl="0" w:tplc="692E8DBC">
      <w:start w:val="1"/>
      <w:numFmt w:val="decimal"/>
      <w:lvlText w:val="%1."/>
      <w:lvlJc w:val="left"/>
      <w:pPr>
        <w:tabs>
          <w:tab w:val="num" w:pos="360"/>
        </w:tabs>
        <w:ind w:left="360" w:hanging="360"/>
      </w:pPr>
      <w:rPr>
        <w:rFonts w:cs="Times New Roman" w:hint="default"/>
      </w:rPr>
    </w:lvl>
    <w:lvl w:ilvl="1" w:tplc="5FDC0B1C">
      <w:start w:val="1"/>
      <w:numFmt w:val="decimal"/>
      <w:lvlText w:val="(%2)"/>
      <w:lvlJc w:val="left"/>
      <w:pPr>
        <w:tabs>
          <w:tab w:val="num" w:pos="840"/>
        </w:tabs>
        <w:ind w:left="840" w:hanging="360"/>
      </w:pPr>
      <w:rPr>
        <w:rFonts w:cs="Times New Roman" w:hint="default"/>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1B2B0169"/>
    <w:multiLevelType w:val="hybridMultilevel"/>
    <w:tmpl w:val="89C83C72"/>
    <w:lvl w:ilvl="0" w:tplc="7EDC4D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BA41527"/>
    <w:multiLevelType w:val="hybridMultilevel"/>
    <w:tmpl w:val="DA80DCEC"/>
    <w:lvl w:ilvl="0" w:tplc="0B88E60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C9C4003"/>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CCC6D6E"/>
    <w:multiLevelType w:val="hybridMultilevel"/>
    <w:tmpl w:val="E20C9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D4E6F07"/>
    <w:multiLevelType w:val="hybridMultilevel"/>
    <w:tmpl w:val="E182F082"/>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0B9031B"/>
    <w:multiLevelType w:val="hybridMultilevel"/>
    <w:tmpl w:val="B84494FC"/>
    <w:lvl w:ilvl="0" w:tplc="C2887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1A6226D"/>
    <w:multiLevelType w:val="hybridMultilevel"/>
    <w:tmpl w:val="4AA2C1CC"/>
    <w:lvl w:ilvl="0" w:tplc="82D00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23E4EAA"/>
    <w:multiLevelType w:val="hybridMultilevel"/>
    <w:tmpl w:val="7D8CDAD8"/>
    <w:lvl w:ilvl="0" w:tplc="28E66FF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73005F"/>
    <w:multiLevelType w:val="hybridMultilevel"/>
    <w:tmpl w:val="49688380"/>
    <w:lvl w:ilvl="0" w:tplc="39BC5048">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4EB13CB"/>
    <w:multiLevelType w:val="hybridMultilevel"/>
    <w:tmpl w:val="3FF894B6"/>
    <w:lvl w:ilvl="0" w:tplc="53D47AF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25E57B8B"/>
    <w:multiLevelType w:val="hybridMultilevel"/>
    <w:tmpl w:val="2C644582"/>
    <w:lvl w:ilvl="0" w:tplc="936CF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82F52BF"/>
    <w:multiLevelType w:val="hybridMultilevel"/>
    <w:tmpl w:val="3AB00006"/>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9F7167C"/>
    <w:multiLevelType w:val="hybridMultilevel"/>
    <w:tmpl w:val="AFECA818"/>
    <w:lvl w:ilvl="0" w:tplc="B4465906">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2AD55B16"/>
    <w:multiLevelType w:val="hybridMultilevel"/>
    <w:tmpl w:val="47C812B0"/>
    <w:lvl w:ilvl="0" w:tplc="8E4ED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727940"/>
    <w:multiLevelType w:val="hybridMultilevel"/>
    <w:tmpl w:val="6D0CFE6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A109A2"/>
    <w:multiLevelType w:val="hybridMultilevel"/>
    <w:tmpl w:val="A61892DE"/>
    <w:lvl w:ilvl="0" w:tplc="1D3CD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D12026"/>
    <w:multiLevelType w:val="hybridMultilevel"/>
    <w:tmpl w:val="CEBE008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E715874"/>
    <w:multiLevelType w:val="hybridMultilevel"/>
    <w:tmpl w:val="CACC8068"/>
    <w:lvl w:ilvl="0" w:tplc="2D928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A24359"/>
    <w:multiLevelType w:val="hybridMultilevel"/>
    <w:tmpl w:val="63D2EA1C"/>
    <w:lvl w:ilvl="0" w:tplc="007C1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EF81F51"/>
    <w:multiLevelType w:val="hybridMultilevel"/>
    <w:tmpl w:val="D9B6D400"/>
    <w:lvl w:ilvl="0" w:tplc="BAAA8C4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30880513"/>
    <w:multiLevelType w:val="hybridMultilevel"/>
    <w:tmpl w:val="0F5CBC10"/>
    <w:lvl w:ilvl="0" w:tplc="EB26C0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0E8713F"/>
    <w:multiLevelType w:val="hybridMultilevel"/>
    <w:tmpl w:val="D01092A2"/>
    <w:lvl w:ilvl="0" w:tplc="E1B46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45E4282"/>
    <w:multiLevelType w:val="hybridMultilevel"/>
    <w:tmpl w:val="2CFE5EA8"/>
    <w:lvl w:ilvl="0" w:tplc="D2E0920E">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53166FE"/>
    <w:multiLevelType w:val="hybridMultilevel"/>
    <w:tmpl w:val="6D0CFE6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5361771"/>
    <w:multiLevelType w:val="hybridMultilevel"/>
    <w:tmpl w:val="9D60D130"/>
    <w:lvl w:ilvl="0" w:tplc="C82E45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571735B"/>
    <w:multiLevelType w:val="hybridMultilevel"/>
    <w:tmpl w:val="74FC6CC0"/>
    <w:lvl w:ilvl="0" w:tplc="A8ECDD02">
      <w:start w:val="1"/>
      <w:numFmt w:val="decimal"/>
      <w:lvlText w:val="%1."/>
      <w:lvlJc w:val="left"/>
      <w:pPr>
        <w:ind w:left="360" w:hanging="360"/>
      </w:pPr>
      <w:rPr>
        <w:rFonts w:hint="default"/>
      </w:rPr>
    </w:lvl>
    <w:lvl w:ilvl="1" w:tplc="7C2AB43A">
      <w:start w:val="1"/>
      <w:numFmt w:val="taiwaneseCountingThousand"/>
      <w:lvlText w:val="%2、"/>
      <w:lvlJc w:val="left"/>
      <w:pPr>
        <w:ind w:left="1200" w:hanging="720"/>
      </w:pPr>
      <w:rPr>
        <w:rFonts w:hint="default"/>
      </w:rPr>
    </w:lvl>
    <w:lvl w:ilvl="2" w:tplc="F1061606">
      <w:start w:val="1"/>
      <w:numFmt w:val="taiwaneseCountingThousand"/>
      <w:lvlText w:val="(%3)"/>
      <w:lvlJc w:val="left"/>
      <w:pPr>
        <w:ind w:left="1368" w:hanging="408"/>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7575628"/>
    <w:multiLevelType w:val="hybridMultilevel"/>
    <w:tmpl w:val="7EF01F54"/>
    <w:lvl w:ilvl="0" w:tplc="15FCE21A">
      <w:start w:val="1"/>
      <w:numFmt w:val="decimal"/>
      <w:lvlText w:val="(%1)"/>
      <w:lvlJc w:val="left"/>
      <w:pPr>
        <w:ind w:left="720" w:hanging="360"/>
      </w:pPr>
      <w:rPr>
        <w:rFonts w:hint="default"/>
        <w:color w:val="000000"/>
        <w:u w:val="none"/>
      </w:rPr>
    </w:lvl>
    <w:lvl w:ilvl="1" w:tplc="334EBA1A">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nsid w:val="376F54F4"/>
    <w:multiLevelType w:val="hybridMultilevel"/>
    <w:tmpl w:val="EA5C8080"/>
    <w:lvl w:ilvl="0" w:tplc="0F0A7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7A86669"/>
    <w:multiLevelType w:val="hybridMultilevel"/>
    <w:tmpl w:val="4A18F210"/>
    <w:lvl w:ilvl="0" w:tplc="D390D4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7E51A33"/>
    <w:multiLevelType w:val="hybridMultilevel"/>
    <w:tmpl w:val="0772E5D2"/>
    <w:lvl w:ilvl="0" w:tplc="C6227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84E53E8"/>
    <w:multiLevelType w:val="hybridMultilevel"/>
    <w:tmpl w:val="B92EB67E"/>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8501350"/>
    <w:multiLevelType w:val="hybridMultilevel"/>
    <w:tmpl w:val="53E6054C"/>
    <w:lvl w:ilvl="0" w:tplc="B4F2192A">
      <w:start w:val="1"/>
      <w:numFmt w:val="decimal"/>
      <w:lvlText w:val="(%1)"/>
      <w:lvlJc w:val="left"/>
      <w:pPr>
        <w:ind w:left="600" w:hanging="360"/>
      </w:pPr>
      <w:rPr>
        <w:rFonts w:hint="default"/>
        <w:strike w:val="0"/>
        <w:color w:val="000000"/>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0">
    <w:nsid w:val="38612E5D"/>
    <w:multiLevelType w:val="hybridMultilevel"/>
    <w:tmpl w:val="28CA4FDE"/>
    <w:lvl w:ilvl="0" w:tplc="EFA87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94C614C"/>
    <w:multiLevelType w:val="hybridMultilevel"/>
    <w:tmpl w:val="3CEA3A2C"/>
    <w:lvl w:ilvl="0" w:tplc="647AF1F0">
      <w:start w:val="1"/>
      <w:numFmt w:val="decimal"/>
      <w:lvlText w:val="(%1)"/>
      <w:lvlJc w:val="left"/>
      <w:pPr>
        <w:ind w:left="720" w:hanging="36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nsid w:val="398D0C35"/>
    <w:multiLevelType w:val="hybridMultilevel"/>
    <w:tmpl w:val="7AE65ED4"/>
    <w:lvl w:ilvl="0" w:tplc="3EE8D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A063B80"/>
    <w:multiLevelType w:val="hybridMultilevel"/>
    <w:tmpl w:val="9836CACC"/>
    <w:lvl w:ilvl="0" w:tplc="FF062E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AD65387"/>
    <w:multiLevelType w:val="hybridMultilevel"/>
    <w:tmpl w:val="4E627150"/>
    <w:lvl w:ilvl="0" w:tplc="A244B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3C860E62"/>
    <w:multiLevelType w:val="hybridMultilevel"/>
    <w:tmpl w:val="9A785458"/>
    <w:lvl w:ilvl="0" w:tplc="4ACC038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nsid w:val="3CB067A2"/>
    <w:multiLevelType w:val="hybridMultilevel"/>
    <w:tmpl w:val="F4C24498"/>
    <w:lvl w:ilvl="0" w:tplc="39B4FF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D982390"/>
    <w:multiLevelType w:val="hybridMultilevel"/>
    <w:tmpl w:val="07A20D8A"/>
    <w:lvl w:ilvl="0" w:tplc="692E8DB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8">
    <w:nsid w:val="40623C33"/>
    <w:multiLevelType w:val="hybridMultilevel"/>
    <w:tmpl w:val="F9F84C98"/>
    <w:lvl w:ilvl="0" w:tplc="7C58B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1966170"/>
    <w:multiLevelType w:val="hybridMultilevel"/>
    <w:tmpl w:val="3208C2B2"/>
    <w:lvl w:ilvl="0" w:tplc="7F601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33E553F"/>
    <w:multiLevelType w:val="hybridMultilevel"/>
    <w:tmpl w:val="5FD85788"/>
    <w:lvl w:ilvl="0" w:tplc="B372A3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36B34C4"/>
    <w:multiLevelType w:val="hybridMultilevel"/>
    <w:tmpl w:val="236A1D08"/>
    <w:lvl w:ilvl="0" w:tplc="D53872D6">
      <w:start w:val="1"/>
      <w:numFmt w:val="decimal"/>
      <w:lvlText w:val="%1."/>
      <w:lvlJc w:val="left"/>
      <w:pPr>
        <w:tabs>
          <w:tab w:val="num" w:pos="360"/>
        </w:tabs>
        <w:ind w:left="360" w:hanging="360"/>
      </w:pPr>
      <w:rPr>
        <w:rFonts w:ascii="Times New Roman" w:hAnsi="Times New Roman" w:cs="Times New Roman" w:hint="default"/>
        <w:shd w:val="clear" w:color="auto" w:fill="auto"/>
      </w:rPr>
    </w:lvl>
    <w:lvl w:ilvl="1" w:tplc="E34696CA">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2">
    <w:nsid w:val="44286B26"/>
    <w:multiLevelType w:val="hybridMultilevel"/>
    <w:tmpl w:val="50FE77F6"/>
    <w:lvl w:ilvl="0" w:tplc="E1B46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596432A"/>
    <w:multiLevelType w:val="hybridMultilevel"/>
    <w:tmpl w:val="8BF2684A"/>
    <w:lvl w:ilvl="0" w:tplc="5B96E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64500AE"/>
    <w:multiLevelType w:val="hybridMultilevel"/>
    <w:tmpl w:val="22661568"/>
    <w:lvl w:ilvl="0" w:tplc="3CC823F0">
      <w:start w:val="1"/>
      <w:numFmt w:val="decimal"/>
      <w:lvlText w:val="(%1)"/>
      <w:lvlJc w:val="left"/>
      <w:pPr>
        <w:ind w:left="720" w:hanging="360"/>
      </w:pPr>
      <w:rPr>
        <w:rFonts w:hint="default"/>
      </w:rPr>
    </w:lvl>
    <w:lvl w:ilvl="1" w:tplc="8FBE119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5">
    <w:nsid w:val="46B010B0"/>
    <w:multiLevelType w:val="hybridMultilevel"/>
    <w:tmpl w:val="9266B9C6"/>
    <w:lvl w:ilvl="0" w:tplc="C21EB1CE">
      <w:start w:val="1"/>
      <w:numFmt w:val="decimal"/>
      <w:lvlText w:val="(%1)"/>
      <w:lvlJc w:val="left"/>
      <w:pPr>
        <w:ind w:left="765" w:hanging="405"/>
      </w:pPr>
      <w:rPr>
        <w:rFonts w:hint="default"/>
      </w:rPr>
    </w:lvl>
    <w:lvl w:ilvl="1" w:tplc="937EEDA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46BB387D"/>
    <w:multiLevelType w:val="hybridMultilevel"/>
    <w:tmpl w:val="9634B92A"/>
    <w:lvl w:ilvl="0" w:tplc="E49E30FC">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67">
    <w:nsid w:val="4923168C"/>
    <w:multiLevelType w:val="hybridMultilevel"/>
    <w:tmpl w:val="000C3F8E"/>
    <w:lvl w:ilvl="0" w:tplc="41164B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49D81BCC"/>
    <w:multiLevelType w:val="hybridMultilevel"/>
    <w:tmpl w:val="75DCEE18"/>
    <w:lvl w:ilvl="0" w:tplc="BDA262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9">
    <w:nsid w:val="4B135652"/>
    <w:multiLevelType w:val="hybridMultilevel"/>
    <w:tmpl w:val="1628407E"/>
    <w:lvl w:ilvl="0" w:tplc="908A8E2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4B250D79"/>
    <w:multiLevelType w:val="hybridMultilevel"/>
    <w:tmpl w:val="70D2BA56"/>
    <w:lvl w:ilvl="0" w:tplc="47108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B402A78"/>
    <w:multiLevelType w:val="hybridMultilevel"/>
    <w:tmpl w:val="C0F88F2A"/>
    <w:lvl w:ilvl="0" w:tplc="B7E42B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CB216B6"/>
    <w:multiLevelType w:val="hybridMultilevel"/>
    <w:tmpl w:val="E5DA6842"/>
    <w:lvl w:ilvl="0" w:tplc="28CC6300">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73">
    <w:nsid w:val="4DD351E0"/>
    <w:multiLevelType w:val="hybridMultilevel"/>
    <w:tmpl w:val="58C2A6FE"/>
    <w:lvl w:ilvl="0" w:tplc="0F9E99F8">
      <w:start w:val="1"/>
      <w:numFmt w:val="taiwaneseCountingThousand"/>
      <w:lvlText w:val="(%1)"/>
      <w:lvlJc w:val="left"/>
      <w:pPr>
        <w:ind w:left="480" w:hanging="480"/>
      </w:pPr>
      <w:rPr>
        <w:rFonts w:cs="Times New Roman" w:hint="default"/>
      </w:rPr>
    </w:lvl>
    <w:lvl w:ilvl="1" w:tplc="755853CE">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4E2A5889"/>
    <w:multiLevelType w:val="hybridMultilevel"/>
    <w:tmpl w:val="4FFA8B9A"/>
    <w:lvl w:ilvl="0" w:tplc="5170A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EE03C72"/>
    <w:multiLevelType w:val="hybridMultilevel"/>
    <w:tmpl w:val="66AEA888"/>
    <w:lvl w:ilvl="0" w:tplc="7E68F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0D11CFC"/>
    <w:multiLevelType w:val="hybridMultilevel"/>
    <w:tmpl w:val="E6A03BF2"/>
    <w:lvl w:ilvl="0" w:tplc="07C2FE5A">
      <w:start w:val="1"/>
      <w:numFmt w:val="taiwaneseCountingThousand"/>
      <w:lvlText w:val="（%1）"/>
      <w:lvlJc w:val="left"/>
      <w:pPr>
        <w:tabs>
          <w:tab w:val="num" w:pos="1140"/>
        </w:tabs>
        <w:ind w:left="1140" w:hanging="780"/>
      </w:pPr>
      <w:rPr>
        <w:rFonts w:eastAsia="標楷體" w:cs="Times New Roman" w:hint="eastAsia"/>
        <w:b w:val="0"/>
        <w:i w:val="0"/>
        <w:color w:val="auto"/>
        <w:sz w:val="28"/>
        <w:szCs w:val="28"/>
      </w:rPr>
    </w:lvl>
    <w:lvl w:ilvl="1" w:tplc="33A80DFE">
      <w:start w:val="1"/>
      <w:numFmt w:val="decimal"/>
      <w:lvlText w:val="%2."/>
      <w:lvlJc w:val="left"/>
      <w:pPr>
        <w:tabs>
          <w:tab w:val="num" w:pos="840"/>
        </w:tabs>
        <w:ind w:left="840" w:hanging="360"/>
      </w:pPr>
      <w:rPr>
        <w:rFonts w:ascii="Times New Roman" w:hAnsi="Times New Roman" w:cs="Times New Roman" w:hint="default"/>
        <w:sz w:val="24"/>
        <w:szCs w:val="24"/>
      </w:rPr>
    </w:lvl>
    <w:lvl w:ilvl="2" w:tplc="0409001B">
      <w:start w:val="1"/>
      <w:numFmt w:val="lowerRoman"/>
      <w:lvlText w:val="%3."/>
      <w:lvlJc w:val="right"/>
      <w:pPr>
        <w:tabs>
          <w:tab w:val="num" w:pos="1440"/>
        </w:tabs>
        <w:ind w:left="1440" w:hanging="480"/>
      </w:pPr>
      <w:rPr>
        <w:rFonts w:cs="Times New Roman"/>
      </w:rPr>
    </w:lvl>
    <w:lvl w:ilvl="3" w:tplc="D2E0920E">
      <w:start w:val="1"/>
      <w:numFmt w:val="decimal"/>
      <w:lvlText w:val="%4."/>
      <w:lvlJc w:val="left"/>
      <w:pPr>
        <w:tabs>
          <w:tab w:val="num" w:pos="480"/>
        </w:tabs>
        <w:ind w:left="480" w:hanging="480"/>
      </w:pPr>
      <w:rPr>
        <w:rFonts w:cs="Times New Roman"/>
        <w:color w:val="auto"/>
      </w:rPr>
    </w:lvl>
    <w:lvl w:ilvl="4" w:tplc="F1E8D714">
      <w:start w:val="1"/>
      <w:numFmt w:val="decimal"/>
      <w:lvlText w:val="(%5)"/>
      <w:lvlJc w:val="left"/>
      <w:pPr>
        <w:ind w:left="360" w:hanging="360"/>
      </w:pPr>
      <w:rPr>
        <w:rFonts w:hint="default"/>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7">
    <w:nsid w:val="51282FD2"/>
    <w:multiLevelType w:val="hybridMultilevel"/>
    <w:tmpl w:val="88AA434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1A15AFF"/>
    <w:multiLevelType w:val="hybridMultilevel"/>
    <w:tmpl w:val="017661E4"/>
    <w:lvl w:ilvl="0" w:tplc="E4C2A308">
      <w:start w:val="1"/>
      <w:numFmt w:val="decimal"/>
      <w:lvlText w:val="(%1)"/>
      <w:lvlJc w:val="left"/>
      <w:pPr>
        <w:ind w:left="720" w:hanging="360"/>
      </w:pPr>
      <w:rPr>
        <w:rFonts w:hint="default"/>
        <w:color w:val="00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9">
    <w:nsid w:val="51A7385D"/>
    <w:multiLevelType w:val="hybridMultilevel"/>
    <w:tmpl w:val="B4E0893E"/>
    <w:lvl w:ilvl="0" w:tplc="89225C58">
      <w:start w:val="1"/>
      <w:numFmt w:val="decimal"/>
      <w:lvlText w:val="%1."/>
      <w:lvlJc w:val="left"/>
      <w:pPr>
        <w:ind w:left="540" w:hanging="360"/>
      </w:pPr>
      <w:rPr>
        <w:rFonts w:cs="Times New Roman" w:hint="default"/>
      </w:rPr>
    </w:lvl>
    <w:lvl w:ilvl="1" w:tplc="B73E401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nsid w:val="52E5642F"/>
    <w:multiLevelType w:val="hybridMultilevel"/>
    <w:tmpl w:val="4FBAEA70"/>
    <w:lvl w:ilvl="0" w:tplc="37FE56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3325BB0"/>
    <w:multiLevelType w:val="hybridMultilevel"/>
    <w:tmpl w:val="BECE9500"/>
    <w:lvl w:ilvl="0" w:tplc="3934D924">
      <w:start w:val="1"/>
      <w:numFmt w:val="decimal"/>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nsid w:val="53B1639F"/>
    <w:multiLevelType w:val="hybridMultilevel"/>
    <w:tmpl w:val="07189D90"/>
    <w:lvl w:ilvl="0" w:tplc="6E52C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540A3C94"/>
    <w:multiLevelType w:val="hybridMultilevel"/>
    <w:tmpl w:val="6228025A"/>
    <w:lvl w:ilvl="0" w:tplc="884C56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4">
    <w:nsid w:val="54395AE3"/>
    <w:multiLevelType w:val="hybridMultilevel"/>
    <w:tmpl w:val="1EDA1BA4"/>
    <w:lvl w:ilvl="0" w:tplc="D2A245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5">
    <w:nsid w:val="54797515"/>
    <w:multiLevelType w:val="hybridMultilevel"/>
    <w:tmpl w:val="D02CE1A6"/>
    <w:lvl w:ilvl="0" w:tplc="AB88F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6856B71"/>
    <w:multiLevelType w:val="hybridMultilevel"/>
    <w:tmpl w:val="E73EB52A"/>
    <w:lvl w:ilvl="0" w:tplc="B52C04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5687506C"/>
    <w:multiLevelType w:val="hybridMultilevel"/>
    <w:tmpl w:val="BEA43D48"/>
    <w:lvl w:ilvl="0" w:tplc="134EDF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8C96F68"/>
    <w:multiLevelType w:val="hybridMultilevel"/>
    <w:tmpl w:val="3A58AA1C"/>
    <w:lvl w:ilvl="0" w:tplc="460E042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9">
    <w:nsid w:val="592763CE"/>
    <w:multiLevelType w:val="hybridMultilevel"/>
    <w:tmpl w:val="D3D642AC"/>
    <w:lvl w:ilvl="0" w:tplc="C16E098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0">
    <w:nsid w:val="5C3522A1"/>
    <w:multiLevelType w:val="hybridMultilevel"/>
    <w:tmpl w:val="794A7D30"/>
    <w:lvl w:ilvl="0" w:tplc="2CAC2C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D833373"/>
    <w:multiLevelType w:val="hybridMultilevel"/>
    <w:tmpl w:val="86B2F5FA"/>
    <w:lvl w:ilvl="0" w:tplc="98D80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EDD1108"/>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F410056"/>
    <w:multiLevelType w:val="hybridMultilevel"/>
    <w:tmpl w:val="02224836"/>
    <w:lvl w:ilvl="0" w:tplc="A8ECD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FF32F93"/>
    <w:multiLevelType w:val="hybridMultilevel"/>
    <w:tmpl w:val="F33CF0E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4AC4D99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61937F6E"/>
    <w:multiLevelType w:val="hybridMultilevel"/>
    <w:tmpl w:val="7D523154"/>
    <w:lvl w:ilvl="0" w:tplc="1A686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62AF2260"/>
    <w:multiLevelType w:val="hybridMultilevel"/>
    <w:tmpl w:val="31A4CA5E"/>
    <w:lvl w:ilvl="0" w:tplc="FF201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3656626"/>
    <w:multiLevelType w:val="hybridMultilevel"/>
    <w:tmpl w:val="88AA434C"/>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643F0680"/>
    <w:multiLevelType w:val="hybridMultilevel"/>
    <w:tmpl w:val="0EB2442C"/>
    <w:lvl w:ilvl="0" w:tplc="A47CAE5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9">
    <w:nsid w:val="652E6B58"/>
    <w:multiLevelType w:val="hybridMultilevel"/>
    <w:tmpl w:val="8D6856FA"/>
    <w:lvl w:ilvl="0" w:tplc="D8165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66713AD0"/>
    <w:multiLevelType w:val="hybridMultilevel"/>
    <w:tmpl w:val="2D1A9B62"/>
    <w:lvl w:ilvl="0" w:tplc="70143A1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01">
    <w:nsid w:val="66A5182C"/>
    <w:multiLevelType w:val="hybridMultilevel"/>
    <w:tmpl w:val="D32AA5C8"/>
    <w:lvl w:ilvl="0" w:tplc="404AE2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77A7B86"/>
    <w:multiLevelType w:val="hybridMultilevel"/>
    <w:tmpl w:val="6B94845E"/>
    <w:lvl w:ilvl="0" w:tplc="0E1CC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68E1574E"/>
    <w:multiLevelType w:val="hybridMultilevel"/>
    <w:tmpl w:val="CE0E938C"/>
    <w:lvl w:ilvl="0" w:tplc="9056B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91B0DF2"/>
    <w:multiLevelType w:val="hybridMultilevel"/>
    <w:tmpl w:val="A0D0C734"/>
    <w:lvl w:ilvl="0" w:tplc="A50EA022">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nsid w:val="6A9B023A"/>
    <w:multiLevelType w:val="hybridMultilevel"/>
    <w:tmpl w:val="A3AA1A7A"/>
    <w:lvl w:ilvl="0" w:tplc="E822F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ABC004D"/>
    <w:multiLevelType w:val="hybridMultilevel"/>
    <w:tmpl w:val="1BCA6300"/>
    <w:lvl w:ilvl="0" w:tplc="6EECA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B3523B6"/>
    <w:multiLevelType w:val="hybridMultilevel"/>
    <w:tmpl w:val="12826490"/>
    <w:lvl w:ilvl="0" w:tplc="F0AC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BBD7511"/>
    <w:multiLevelType w:val="hybridMultilevel"/>
    <w:tmpl w:val="F26A8314"/>
    <w:lvl w:ilvl="0" w:tplc="D2E414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9">
    <w:nsid w:val="6C8440CC"/>
    <w:multiLevelType w:val="hybridMultilevel"/>
    <w:tmpl w:val="E48098D8"/>
    <w:lvl w:ilvl="0" w:tplc="E0AE028E">
      <w:start w:val="1"/>
      <w:numFmt w:val="decimal"/>
      <w:lvlText w:val="(%1)"/>
      <w:lvlJc w:val="left"/>
      <w:pPr>
        <w:ind w:left="720" w:hanging="360"/>
      </w:pPr>
      <w:rPr>
        <w:rFonts w:hint="default"/>
      </w:rPr>
    </w:lvl>
    <w:lvl w:ilvl="1" w:tplc="089809E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0">
    <w:nsid w:val="6C861A94"/>
    <w:multiLevelType w:val="hybridMultilevel"/>
    <w:tmpl w:val="3CC00BAE"/>
    <w:lvl w:ilvl="0" w:tplc="75D0320E">
      <w:start w:val="1"/>
      <w:numFmt w:val="decimal"/>
      <w:lvlText w:val="(%1)"/>
      <w:lvlJc w:val="left"/>
      <w:pPr>
        <w:ind w:left="720" w:hanging="360"/>
      </w:pPr>
      <w:rPr>
        <w:rFonts w:hint="default"/>
        <w:color w:val="000000"/>
        <w:u w:val="none"/>
      </w:rPr>
    </w:lvl>
    <w:lvl w:ilvl="1" w:tplc="4DE841AE">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1">
    <w:nsid w:val="6CC165F8"/>
    <w:multiLevelType w:val="hybridMultilevel"/>
    <w:tmpl w:val="A49C5C70"/>
    <w:lvl w:ilvl="0" w:tplc="936CF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6CEA24BE"/>
    <w:multiLevelType w:val="hybridMultilevel"/>
    <w:tmpl w:val="8F681D0E"/>
    <w:lvl w:ilvl="0" w:tplc="1AF0A88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3">
    <w:nsid w:val="6D4D7707"/>
    <w:multiLevelType w:val="hybridMultilevel"/>
    <w:tmpl w:val="BDA87688"/>
    <w:lvl w:ilvl="0" w:tplc="CB32F9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6DF178AB"/>
    <w:multiLevelType w:val="hybridMultilevel"/>
    <w:tmpl w:val="C8C4871A"/>
    <w:lvl w:ilvl="0" w:tplc="38C66028">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F3E5A7D"/>
    <w:multiLevelType w:val="hybridMultilevel"/>
    <w:tmpl w:val="C4125DFC"/>
    <w:lvl w:ilvl="0" w:tplc="EA542E28">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16">
    <w:nsid w:val="70703DB0"/>
    <w:multiLevelType w:val="hybridMultilevel"/>
    <w:tmpl w:val="3DD6AAFE"/>
    <w:lvl w:ilvl="0" w:tplc="7556DDBE">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17">
    <w:nsid w:val="70A12067"/>
    <w:multiLevelType w:val="hybridMultilevel"/>
    <w:tmpl w:val="D00255D0"/>
    <w:lvl w:ilvl="0" w:tplc="44805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71144CC0"/>
    <w:multiLevelType w:val="hybridMultilevel"/>
    <w:tmpl w:val="2CFE5EA8"/>
    <w:lvl w:ilvl="0" w:tplc="D2E0920E">
      <w:start w:val="1"/>
      <w:numFmt w:val="decimal"/>
      <w:lvlText w:val="%1."/>
      <w:lvlJc w:val="left"/>
      <w:pPr>
        <w:tabs>
          <w:tab w:val="num" w:pos="480"/>
        </w:tabs>
        <w:ind w:left="480" w:hanging="480"/>
      </w:pPr>
      <w:rPr>
        <w:rFonts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715D5297"/>
    <w:multiLevelType w:val="hybridMultilevel"/>
    <w:tmpl w:val="71B0F966"/>
    <w:lvl w:ilvl="0" w:tplc="0402043C">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0">
    <w:nsid w:val="72724C72"/>
    <w:multiLevelType w:val="hybridMultilevel"/>
    <w:tmpl w:val="0B52C6B2"/>
    <w:lvl w:ilvl="0" w:tplc="584A9E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73084B72"/>
    <w:multiLevelType w:val="hybridMultilevel"/>
    <w:tmpl w:val="938CF13A"/>
    <w:lvl w:ilvl="0" w:tplc="F7FC2B9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3E570EA"/>
    <w:multiLevelType w:val="hybridMultilevel"/>
    <w:tmpl w:val="7FECE738"/>
    <w:lvl w:ilvl="0" w:tplc="EED8596C">
      <w:start w:val="1"/>
      <w:numFmt w:val="decimal"/>
      <w:lvlText w:val="%1."/>
      <w:lvlJc w:val="left"/>
      <w:pPr>
        <w:ind w:left="361" w:hanging="360"/>
      </w:pPr>
      <w:rPr>
        <w:rFonts w:hint="default"/>
        <w:color w:val="00000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23">
    <w:nsid w:val="752D1AFC"/>
    <w:multiLevelType w:val="hybridMultilevel"/>
    <w:tmpl w:val="1FC6389A"/>
    <w:lvl w:ilvl="0" w:tplc="12746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75B45A30"/>
    <w:multiLevelType w:val="hybridMultilevel"/>
    <w:tmpl w:val="0E4CCF16"/>
    <w:lvl w:ilvl="0" w:tplc="2136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6241B9C"/>
    <w:multiLevelType w:val="hybridMultilevel"/>
    <w:tmpl w:val="E182F082"/>
    <w:lvl w:ilvl="0" w:tplc="F7DEC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76C41433"/>
    <w:multiLevelType w:val="hybridMultilevel"/>
    <w:tmpl w:val="AE92C604"/>
    <w:lvl w:ilvl="0" w:tplc="2BA26B8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77800C8"/>
    <w:multiLevelType w:val="hybridMultilevel"/>
    <w:tmpl w:val="529A3518"/>
    <w:lvl w:ilvl="0" w:tplc="28CC6300">
      <w:start w:val="1"/>
      <w:numFmt w:val="decimal"/>
      <w:lvlText w:val="%1."/>
      <w:lvlJc w:val="left"/>
      <w:pPr>
        <w:ind w:left="1620" w:hanging="480"/>
      </w:pPr>
      <w:rPr>
        <w:rFonts w:ascii="Times New Roman" w:hAnsi="Times New Roman" w:cs="Times New Roman"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28">
    <w:nsid w:val="777C34FD"/>
    <w:multiLevelType w:val="hybridMultilevel"/>
    <w:tmpl w:val="A6186134"/>
    <w:lvl w:ilvl="0" w:tplc="47969904">
      <w:start w:val="1"/>
      <w:numFmt w:val="lowerRoman"/>
      <w:lvlText w:val="(%1)"/>
      <w:lvlJc w:val="left"/>
      <w:pPr>
        <w:ind w:left="1320" w:hanging="720"/>
      </w:pPr>
      <w:rPr>
        <w:rFonts w:eastAsia="新細明體" w:hint="default"/>
      </w:rPr>
    </w:lvl>
    <w:lvl w:ilvl="1" w:tplc="736EB46A">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9">
    <w:nsid w:val="77A008CF"/>
    <w:multiLevelType w:val="hybridMultilevel"/>
    <w:tmpl w:val="10FAA53A"/>
    <w:lvl w:ilvl="0" w:tplc="89E81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820266D"/>
    <w:multiLevelType w:val="hybridMultilevel"/>
    <w:tmpl w:val="6AFA5D9C"/>
    <w:lvl w:ilvl="0" w:tplc="FFFFFFFF">
      <w:start w:val="1"/>
      <w:numFmt w:val="decimal"/>
      <w:lvlText w:val="%1."/>
      <w:lvlJc w:val="left"/>
      <w:pPr>
        <w:tabs>
          <w:tab w:val="num" w:pos="480"/>
        </w:tabs>
        <w:ind w:left="480" w:hanging="480"/>
      </w:pPr>
      <w:rPr>
        <w:rFonts w:cs="Times New Roman"/>
      </w:rPr>
    </w:lvl>
    <w:lvl w:ilvl="1" w:tplc="98383F62">
      <w:start w:val="2"/>
      <w:numFmt w:val="bullet"/>
      <w:lvlText w:val="○"/>
      <w:lvlJc w:val="left"/>
      <w:pPr>
        <w:tabs>
          <w:tab w:val="num" w:pos="840"/>
        </w:tabs>
        <w:ind w:left="840" w:hanging="360"/>
      </w:pPr>
      <w:rPr>
        <w:rFonts w:ascii="標楷體" w:eastAsia="標楷體" w:hAnsi="標楷體"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1">
    <w:nsid w:val="78A05D64"/>
    <w:multiLevelType w:val="hybridMultilevel"/>
    <w:tmpl w:val="0B2E213A"/>
    <w:lvl w:ilvl="0" w:tplc="32740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91A2B28"/>
    <w:multiLevelType w:val="hybridMultilevel"/>
    <w:tmpl w:val="E8349BD2"/>
    <w:lvl w:ilvl="0" w:tplc="BAA61B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93418C5"/>
    <w:multiLevelType w:val="hybridMultilevel"/>
    <w:tmpl w:val="FBA8101C"/>
    <w:lvl w:ilvl="0" w:tplc="8F8C9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A6004C5"/>
    <w:multiLevelType w:val="hybridMultilevel"/>
    <w:tmpl w:val="2B6A1050"/>
    <w:lvl w:ilvl="0" w:tplc="A6F0CEC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5">
    <w:nsid w:val="7ACE06A0"/>
    <w:multiLevelType w:val="hybridMultilevel"/>
    <w:tmpl w:val="C362148E"/>
    <w:lvl w:ilvl="0" w:tplc="E842C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E0302EB"/>
    <w:multiLevelType w:val="hybridMultilevel"/>
    <w:tmpl w:val="F6908F28"/>
    <w:lvl w:ilvl="0" w:tplc="AF4EB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7E3A4320"/>
    <w:multiLevelType w:val="hybridMultilevel"/>
    <w:tmpl w:val="5A806F16"/>
    <w:lvl w:ilvl="0" w:tplc="E7147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6"/>
  </w:num>
  <w:num w:numId="2">
    <w:abstractNumId w:val="100"/>
  </w:num>
  <w:num w:numId="3">
    <w:abstractNumId w:val="11"/>
  </w:num>
  <w:num w:numId="4">
    <w:abstractNumId w:val="112"/>
  </w:num>
  <w:num w:numId="5">
    <w:abstractNumId w:val="14"/>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9"/>
  </w:num>
  <w:num w:numId="10">
    <w:abstractNumId w:val="62"/>
  </w:num>
  <w:num w:numId="11">
    <w:abstractNumId w:val="74"/>
  </w:num>
  <w:num w:numId="12">
    <w:abstractNumId w:val="96"/>
  </w:num>
  <w:num w:numId="13">
    <w:abstractNumId w:val="60"/>
  </w:num>
  <w:num w:numId="14">
    <w:abstractNumId w:val="71"/>
  </w:num>
  <w:num w:numId="15">
    <w:abstractNumId w:val="41"/>
  </w:num>
  <w:num w:numId="16">
    <w:abstractNumId w:val="5"/>
  </w:num>
  <w:num w:numId="17">
    <w:abstractNumId w:val="132"/>
  </w:num>
  <w:num w:numId="18">
    <w:abstractNumId w:val="24"/>
  </w:num>
  <w:num w:numId="19">
    <w:abstractNumId w:val="92"/>
  </w:num>
  <w:num w:numId="20">
    <w:abstractNumId w:val="20"/>
  </w:num>
  <w:num w:numId="21">
    <w:abstractNumId w:val="67"/>
  </w:num>
  <w:num w:numId="22">
    <w:abstractNumId w:val="63"/>
  </w:num>
  <w:num w:numId="23">
    <w:abstractNumId w:val="133"/>
  </w:num>
  <w:num w:numId="24">
    <w:abstractNumId w:val="45"/>
  </w:num>
  <w:num w:numId="25">
    <w:abstractNumId w:val="36"/>
  </w:num>
  <w:num w:numId="26">
    <w:abstractNumId w:val="68"/>
  </w:num>
  <w:num w:numId="27">
    <w:abstractNumId w:val="121"/>
  </w:num>
  <w:num w:numId="28">
    <w:abstractNumId w:val="47"/>
  </w:num>
  <w:num w:numId="29">
    <w:abstractNumId w:val="131"/>
  </w:num>
  <w:num w:numId="30">
    <w:abstractNumId w:val="42"/>
  </w:num>
  <w:num w:numId="31">
    <w:abstractNumId w:val="33"/>
  </w:num>
  <w:num w:numId="32">
    <w:abstractNumId w:val="26"/>
  </w:num>
  <w:num w:numId="33">
    <w:abstractNumId w:val="86"/>
  </w:num>
  <w:num w:numId="34">
    <w:abstractNumId w:val="124"/>
  </w:num>
  <w:num w:numId="35">
    <w:abstractNumId w:val="106"/>
  </w:num>
  <w:num w:numId="36">
    <w:abstractNumId w:val="31"/>
  </w:num>
  <w:num w:numId="37">
    <w:abstractNumId w:val="82"/>
  </w:num>
  <w:num w:numId="38">
    <w:abstractNumId w:val="108"/>
  </w:num>
  <w:num w:numId="39">
    <w:abstractNumId w:val="25"/>
  </w:num>
  <w:num w:numId="40">
    <w:abstractNumId w:val="75"/>
  </w:num>
  <w:num w:numId="41">
    <w:abstractNumId w:val="18"/>
  </w:num>
  <w:num w:numId="42">
    <w:abstractNumId w:val="102"/>
  </w:num>
  <w:num w:numId="43">
    <w:abstractNumId w:val="12"/>
  </w:num>
  <w:num w:numId="44">
    <w:abstractNumId w:val="136"/>
  </w:num>
  <w:num w:numId="45">
    <w:abstractNumId w:val="52"/>
  </w:num>
  <w:num w:numId="46">
    <w:abstractNumId w:val="117"/>
  </w:num>
  <w:num w:numId="47">
    <w:abstractNumId w:val="35"/>
  </w:num>
  <w:num w:numId="48">
    <w:abstractNumId w:val="37"/>
  </w:num>
  <w:num w:numId="49">
    <w:abstractNumId w:val="129"/>
  </w:num>
  <w:num w:numId="50">
    <w:abstractNumId w:val="101"/>
  </w:num>
  <w:num w:numId="51">
    <w:abstractNumId w:val="51"/>
  </w:num>
  <w:num w:numId="52">
    <w:abstractNumId w:val="91"/>
  </w:num>
  <w:num w:numId="53">
    <w:abstractNumId w:val="78"/>
  </w:num>
  <w:num w:numId="54">
    <w:abstractNumId w:val="0"/>
  </w:num>
  <w:num w:numId="55">
    <w:abstractNumId w:val="13"/>
  </w:num>
  <w:num w:numId="56">
    <w:abstractNumId w:val="65"/>
  </w:num>
  <w:num w:numId="57">
    <w:abstractNumId w:val="50"/>
  </w:num>
  <w:num w:numId="58">
    <w:abstractNumId w:val="64"/>
  </w:num>
  <w:num w:numId="59">
    <w:abstractNumId w:val="16"/>
  </w:num>
  <w:num w:numId="60">
    <w:abstractNumId w:val="135"/>
  </w:num>
  <w:num w:numId="61">
    <w:abstractNumId w:val="27"/>
  </w:num>
  <w:num w:numId="62">
    <w:abstractNumId w:val="89"/>
  </w:num>
  <w:num w:numId="63">
    <w:abstractNumId w:val="99"/>
  </w:num>
  <w:num w:numId="64">
    <w:abstractNumId w:val="109"/>
  </w:num>
  <w:num w:numId="65">
    <w:abstractNumId w:val="55"/>
  </w:num>
  <w:num w:numId="66">
    <w:abstractNumId w:val="84"/>
  </w:num>
  <w:num w:numId="67">
    <w:abstractNumId w:val="88"/>
  </w:num>
  <w:num w:numId="68">
    <w:abstractNumId w:val="134"/>
  </w:num>
  <w:num w:numId="69">
    <w:abstractNumId w:val="7"/>
  </w:num>
  <w:num w:numId="70">
    <w:abstractNumId w:val="105"/>
  </w:num>
  <w:num w:numId="71">
    <w:abstractNumId w:val="15"/>
  </w:num>
  <w:num w:numId="72">
    <w:abstractNumId w:val="128"/>
  </w:num>
  <w:num w:numId="73">
    <w:abstractNumId w:val="49"/>
  </w:num>
  <w:num w:numId="74">
    <w:abstractNumId w:val="87"/>
  </w:num>
  <w:num w:numId="75">
    <w:abstractNumId w:val="53"/>
  </w:num>
  <w:num w:numId="76">
    <w:abstractNumId w:val="44"/>
  </w:num>
  <w:num w:numId="77">
    <w:abstractNumId w:val="95"/>
  </w:num>
  <w:num w:numId="78">
    <w:abstractNumId w:val="110"/>
  </w:num>
  <w:num w:numId="79">
    <w:abstractNumId w:val="54"/>
  </w:num>
  <w:num w:numId="80">
    <w:abstractNumId w:val="38"/>
  </w:num>
  <w:num w:numId="81">
    <w:abstractNumId w:val="118"/>
  </w:num>
  <w:num w:numId="82">
    <w:abstractNumId w:val="126"/>
  </w:num>
  <w:num w:numId="83">
    <w:abstractNumId w:val="9"/>
  </w:num>
  <w:num w:numId="84">
    <w:abstractNumId w:val="104"/>
  </w:num>
  <w:num w:numId="85">
    <w:abstractNumId w:val="81"/>
  </w:num>
  <w:num w:numId="86">
    <w:abstractNumId w:val="30"/>
  </w:num>
  <w:num w:numId="87">
    <w:abstractNumId w:val="10"/>
  </w:num>
  <w:num w:numId="88">
    <w:abstractNumId w:val="130"/>
  </w:num>
  <w:num w:numId="89">
    <w:abstractNumId w:val="119"/>
  </w:num>
  <w:num w:numId="90">
    <w:abstractNumId w:val="17"/>
  </w:num>
  <w:num w:numId="91">
    <w:abstractNumId w:val="98"/>
  </w:num>
  <w:num w:numId="92">
    <w:abstractNumId w:val="57"/>
  </w:num>
  <w:num w:numId="93">
    <w:abstractNumId w:val="66"/>
  </w:num>
  <w:num w:numId="94">
    <w:abstractNumId w:val="58"/>
  </w:num>
  <w:num w:numId="95">
    <w:abstractNumId w:val="69"/>
  </w:num>
  <w:num w:numId="96">
    <w:abstractNumId w:val="19"/>
  </w:num>
  <w:num w:numId="97">
    <w:abstractNumId w:val="116"/>
  </w:num>
  <w:num w:numId="98">
    <w:abstractNumId w:val="61"/>
  </w:num>
  <w:num w:numId="99">
    <w:abstractNumId w:val="80"/>
  </w:num>
  <w:num w:numId="100">
    <w:abstractNumId w:val="79"/>
  </w:num>
  <w:num w:numId="101">
    <w:abstractNumId w:val="122"/>
  </w:num>
  <w:num w:numId="102">
    <w:abstractNumId w:val="70"/>
  </w:num>
  <w:num w:numId="103">
    <w:abstractNumId w:val="113"/>
  </w:num>
  <w:num w:numId="104">
    <w:abstractNumId w:val="56"/>
  </w:num>
  <w:num w:numId="105">
    <w:abstractNumId w:val="3"/>
  </w:num>
  <w:num w:numId="106">
    <w:abstractNumId w:val="83"/>
  </w:num>
  <w:num w:numId="107">
    <w:abstractNumId w:val="6"/>
  </w:num>
  <w:num w:numId="108">
    <w:abstractNumId w:val="22"/>
  </w:num>
  <w:num w:numId="109">
    <w:abstractNumId w:val="125"/>
  </w:num>
  <w:num w:numId="110">
    <w:abstractNumId w:val="97"/>
  </w:num>
  <w:num w:numId="111">
    <w:abstractNumId w:val="77"/>
  </w:num>
  <w:num w:numId="112">
    <w:abstractNumId w:val="21"/>
  </w:num>
  <w:num w:numId="113">
    <w:abstractNumId w:val="137"/>
  </w:num>
  <w:num w:numId="114">
    <w:abstractNumId w:val="85"/>
  </w:num>
  <w:num w:numId="115">
    <w:abstractNumId w:val="103"/>
  </w:num>
  <w:num w:numId="116">
    <w:abstractNumId w:val="46"/>
  </w:num>
  <w:num w:numId="117">
    <w:abstractNumId w:val="40"/>
  </w:num>
  <w:num w:numId="118">
    <w:abstractNumId w:val="32"/>
  </w:num>
  <w:num w:numId="119">
    <w:abstractNumId w:val="72"/>
  </w:num>
  <w:num w:numId="120">
    <w:abstractNumId w:val="127"/>
  </w:num>
  <w:num w:numId="121">
    <w:abstractNumId w:val="48"/>
  </w:num>
  <w:num w:numId="122">
    <w:abstractNumId w:val="111"/>
  </w:num>
  <w:num w:numId="123">
    <w:abstractNumId w:val="28"/>
  </w:num>
  <w:num w:numId="124">
    <w:abstractNumId w:val="34"/>
  </w:num>
  <w:num w:numId="125">
    <w:abstractNumId w:val="1"/>
  </w:num>
  <w:num w:numId="126">
    <w:abstractNumId w:val="29"/>
  </w:num>
  <w:num w:numId="127">
    <w:abstractNumId w:val="123"/>
  </w:num>
  <w:num w:numId="128">
    <w:abstractNumId w:val="8"/>
  </w:num>
  <w:num w:numId="129">
    <w:abstractNumId w:val="73"/>
  </w:num>
  <w:num w:numId="130">
    <w:abstractNumId w:val="94"/>
  </w:num>
  <w:num w:numId="131">
    <w:abstractNumId w:val="93"/>
  </w:num>
  <w:num w:numId="132">
    <w:abstractNumId w:val="43"/>
  </w:num>
  <w:num w:numId="133">
    <w:abstractNumId w:val="2"/>
  </w:num>
  <w:num w:numId="134">
    <w:abstractNumId w:val="23"/>
  </w:num>
  <w:num w:numId="135">
    <w:abstractNumId w:val="90"/>
  </w:num>
  <w:num w:numId="136">
    <w:abstractNumId w:val="107"/>
  </w:num>
  <w:num w:numId="137">
    <w:abstractNumId w:val="114"/>
  </w:num>
  <w:num w:numId="138">
    <w:abstractNumId w:val="120"/>
  </w:num>
  <w:num w:numId="139">
    <w:abstractNumId w:val="59"/>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903D1"/>
    <w:rsid w:val="00000155"/>
    <w:rsid w:val="00000475"/>
    <w:rsid w:val="000006AD"/>
    <w:rsid w:val="000007F1"/>
    <w:rsid w:val="0000081E"/>
    <w:rsid w:val="00000AB2"/>
    <w:rsid w:val="00000DB0"/>
    <w:rsid w:val="00000DD1"/>
    <w:rsid w:val="00000DE1"/>
    <w:rsid w:val="00000EDE"/>
    <w:rsid w:val="00001506"/>
    <w:rsid w:val="00001B3B"/>
    <w:rsid w:val="00001FE0"/>
    <w:rsid w:val="000025EB"/>
    <w:rsid w:val="000026F0"/>
    <w:rsid w:val="00003012"/>
    <w:rsid w:val="000035A8"/>
    <w:rsid w:val="00003828"/>
    <w:rsid w:val="00003AD6"/>
    <w:rsid w:val="00003B56"/>
    <w:rsid w:val="00003C70"/>
    <w:rsid w:val="00003E21"/>
    <w:rsid w:val="00003E5A"/>
    <w:rsid w:val="00003F16"/>
    <w:rsid w:val="0000429A"/>
    <w:rsid w:val="000046DE"/>
    <w:rsid w:val="000048E8"/>
    <w:rsid w:val="00004948"/>
    <w:rsid w:val="000049A9"/>
    <w:rsid w:val="00004CED"/>
    <w:rsid w:val="0000503B"/>
    <w:rsid w:val="000052A5"/>
    <w:rsid w:val="00005EC3"/>
    <w:rsid w:val="00006270"/>
    <w:rsid w:val="00006540"/>
    <w:rsid w:val="00006568"/>
    <w:rsid w:val="00006920"/>
    <w:rsid w:val="00006A12"/>
    <w:rsid w:val="00006FEB"/>
    <w:rsid w:val="0000703E"/>
    <w:rsid w:val="000073F2"/>
    <w:rsid w:val="000076F6"/>
    <w:rsid w:val="0001045E"/>
    <w:rsid w:val="00010621"/>
    <w:rsid w:val="0001072E"/>
    <w:rsid w:val="0001159B"/>
    <w:rsid w:val="00011BA0"/>
    <w:rsid w:val="000121AF"/>
    <w:rsid w:val="00012B42"/>
    <w:rsid w:val="00012E81"/>
    <w:rsid w:val="00013499"/>
    <w:rsid w:val="00013D8C"/>
    <w:rsid w:val="00013E87"/>
    <w:rsid w:val="00014009"/>
    <w:rsid w:val="000140CE"/>
    <w:rsid w:val="00014160"/>
    <w:rsid w:val="0001441F"/>
    <w:rsid w:val="00014848"/>
    <w:rsid w:val="0001494C"/>
    <w:rsid w:val="000154C1"/>
    <w:rsid w:val="000154DC"/>
    <w:rsid w:val="00015FE2"/>
    <w:rsid w:val="00016510"/>
    <w:rsid w:val="0001652A"/>
    <w:rsid w:val="00016766"/>
    <w:rsid w:val="000173B0"/>
    <w:rsid w:val="000176B7"/>
    <w:rsid w:val="00020172"/>
    <w:rsid w:val="0002126F"/>
    <w:rsid w:val="0002128C"/>
    <w:rsid w:val="0002138E"/>
    <w:rsid w:val="00021B02"/>
    <w:rsid w:val="00022282"/>
    <w:rsid w:val="0002241B"/>
    <w:rsid w:val="0002284E"/>
    <w:rsid w:val="000228F0"/>
    <w:rsid w:val="00022C2C"/>
    <w:rsid w:val="00023087"/>
    <w:rsid w:val="00023E2A"/>
    <w:rsid w:val="00024932"/>
    <w:rsid w:val="00024959"/>
    <w:rsid w:val="00024DA2"/>
    <w:rsid w:val="00025079"/>
    <w:rsid w:val="00025DA9"/>
    <w:rsid w:val="0002655C"/>
    <w:rsid w:val="00026A3B"/>
    <w:rsid w:val="00030117"/>
    <w:rsid w:val="000303EB"/>
    <w:rsid w:val="0003057A"/>
    <w:rsid w:val="0003134B"/>
    <w:rsid w:val="0003178B"/>
    <w:rsid w:val="000319A1"/>
    <w:rsid w:val="000320CD"/>
    <w:rsid w:val="000323BB"/>
    <w:rsid w:val="00032573"/>
    <w:rsid w:val="00032F18"/>
    <w:rsid w:val="00033932"/>
    <w:rsid w:val="00033CCE"/>
    <w:rsid w:val="00033F78"/>
    <w:rsid w:val="00033FC5"/>
    <w:rsid w:val="00034151"/>
    <w:rsid w:val="000348E4"/>
    <w:rsid w:val="00035039"/>
    <w:rsid w:val="00035266"/>
    <w:rsid w:val="000357CA"/>
    <w:rsid w:val="00035919"/>
    <w:rsid w:val="00035E19"/>
    <w:rsid w:val="000360CF"/>
    <w:rsid w:val="00036632"/>
    <w:rsid w:val="000368E7"/>
    <w:rsid w:val="00036C80"/>
    <w:rsid w:val="00037216"/>
    <w:rsid w:val="00037556"/>
    <w:rsid w:val="00037709"/>
    <w:rsid w:val="00037F82"/>
    <w:rsid w:val="0004032F"/>
    <w:rsid w:val="00040E87"/>
    <w:rsid w:val="00041348"/>
    <w:rsid w:val="00041779"/>
    <w:rsid w:val="00041C81"/>
    <w:rsid w:val="00042D10"/>
    <w:rsid w:val="000430AF"/>
    <w:rsid w:val="00044291"/>
    <w:rsid w:val="000448DB"/>
    <w:rsid w:val="00044A2B"/>
    <w:rsid w:val="00045B9F"/>
    <w:rsid w:val="00045E13"/>
    <w:rsid w:val="000463EA"/>
    <w:rsid w:val="00046411"/>
    <w:rsid w:val="00046F28"/>
    <w:rsid w:val="00047277"/>
    <w:rsid w:val="00051245"/>
    <w:rsid w:val="00051272"/>
    <w:rsid w:val="0005138D"/>
    <w:rsid w:val="0005171F"/>
    <w:rsid w:val="000518B8"/>
    <w:rsid w:val="0005190B"/>
    <w:rsid w:val="0005224D"/>
    <w:rsid w:val="00052628"/>
    <w:rsid w:val="000527F9"/>
    <w:rsid w:val="0005295F"/>
    <w:rsid w:val="00052C84"/>
    <w:rsid w:val="00052FD6"/>
    <w:rsid w:val="00053FD9"/>
    <w:rsid w:val="000541BA"/>
    <w:rsid w:val="00054215"/>
    <w:rsid w:val="00054413"/>
    <w:rsid w:val="0005476F"/>
    <w:rsid w:val="00054ABA"/>
    <w:rsid w:val="00054FBD"/>
    <w:rsid w:val="00055026"/>
    <w:rsid w:val="0005584B"/>
    <w:rsid w:val="0005598A"/>
    <w:rsid w:val="00055A99"/>
    <w:rsid w:val="00055B64"/>
    <w:rsid w:val="00055BEC"/>
    <w:rsid w:val="00056261"/>
    <w:rsid w:val="000562CB"/>
    <w:rsid w:val="0005664F"/>
    <w:rsid w:val="0005672B"/>
    <w:rsid w:val="00056790"/>
    <w:rsid w:val="00056AD7"/>
    <w:rsid w:val="00056C5D"/>
    <w:rsid w:val="00056D2C"/>
    <w:rsid w:val="00057B36"/>
    <w:rsid w:val="00057E4F"/>
    <w:rsid w:val="00057E8D"/>
    <w:rsid w:val="00061050"/>
    <w:rsid w:val="000615D5"/>
    <w:rsid w:val="000617BC"/>
    <w:rsid w:val="00061B0F"/>
    <w:rsid w:val="00061D17"/>
    <w:rsid w:val="00061D4B"/>
    <w:rsid w:val="000631B6"/>
    <w:rsid w:val="0006326A"/>
    <w:rsid w:val="000633EE"/>
    <w:rsid w:val="000636B9"/>
    <w:rsid w:val="00063AED"/>
    <w:rsid w:val="00064341"/>
    <w:rsid w:val="00064577"/>
    <w:rsid w:val="000648C1"/>
    <w:rsid w:val="00064E9F"/>
    <w:rsid w:val="00064FF2"/>
    <w:rsid w:val="00065563"/>
    <w:rsid w:val="00065F9C"/>
    <w:rsid w:val="000668A4"/>
    <w:rsid w:val="00066B91"/>
    <w:rsid w:val="00066DD0"/>
    <w:rsid w:val="000673F6"/>
    <w:rsid w:val="00067CFF"/>
    <w:rsid w:val="00067E2C"/>
    <w:rsid w:val="00067F60"/>
    <w:rsid w:val="000704F8"/>
    <w:rsid w:val="00070707"/>
    <w:rsid w:val="00070FF9"/>
    <w:rsid w:val="000713B6"/>
    <w:rsid w:val="0007151D"/>
    <w:rsid w:val="000717A4"/>
    <w:rsid w:val="00071B7F"/>
    <w:rsid w:val="00072660"/>
    <w:rsid w:val="000739FB"/>
    <w:rsid w:val="0007458D"/>
    <w:rsid w:val="0007489B"/>
    <w:rsid w:val="00074D2C"/>
    <w:rsid w:val="00074E47"/>
    <w:rsid w:val="000751C7"/>
    <w:rsid w:val="000758EA"/>
    <w:rsid w:val="00075A67"/>
    <w:rsid w:val="00075D85"/>
    <w:rsid w:val="00076C43"/>
    <w:rsid w:val="00076C77"/>
    <w:rsid w:val="000775A8"/>
    <w:rsid w:val="0008023D"/>
    <w:rsid w:val="0008083B"/>
    <w:rsid w:val="000808BB"/>
    <w:rsid w:val="00080DEC"/>
    <w:rsid w:val="00081AE3"/>
    <w:rsid w:val="00082351"/>
    <w:rsid w:val="00082820"/>
    <w:rsid w:val="000828FD"/>
    <w:rsid w:val="0008295A"/>
    <w:rsid w:val="00082D89"/>
    <w:rsid w:val="000831D2"/>
    <w:rsid w:val="000831F5"/>
    <w:rsid w:val="000836B7"/>
    <w:rsid w:val="00083707"/>
    <w:rsid w:val="00083C5F"/>
    <w:rsid w:val="00083D5A"/>
    <w:rsid w:val="000844B5"/>
    <w:rsid w:val="00085AC6"/>
    <w:rsid w:val="00086C9E"/>
    <w:rsid w:val="00086CFF"/>
    <w:rsid w:val="000873E0"/>
    <w:rsid w:val="00087571"/>
    <w:rsid w:val="000879D6"/>
    <w:rsid w:val="000903CD"/>
    <w:rsid w:val="000909BD"/>
    <w:rsid w:val="00090E07"/>
    <w:rsid w:val="000916A0"/>
    <w:rsid w:val="00091F9E"/>
    <w:rsid w:val="0009211F"/>
    <w:rsid w:val="00092306"/>
    <w:rsid w:val="0009261F"/>
    <w:rsid w:val="0009297E"/>
    <w:rsid w:val="00092FA1"/>
    <w:rsid w:val="0009399E"/>
    <w:rsid w:val="000939B3"/>
    <w:rsid w:val="00093BE6"/>
    <w:rsid w:val="0009425C"/>
    <w:rsid w:val="00094615"/>
    <w:rsid w:val="000946EE"/>
    <w:rsid w:val="0009480B"/>
    <w:rsid w:val="00095178"/>
    <w:rsid w:val="000956C8"/>
    <w:rsid w:val="00095756"/>
    <w:rsid w:val="00095E45"/>
    <w:rsid w:val="00095E4E"/>
    <w:rsid w:val="000962E2"/>
    <w:rsid w:val="00096A49"/>
    <w:rsid w:val="00096C49"/>
    <w:rsid w:val="00096F01"/>
    <w:rsid w:val="00096F52"/>
    <w:rsid w:val="000978EF"/>
    <w:rsid w:val="00097926"/>
    <w:rsid w:val="00097DA0"/>
    <w:rsid w:val="00097DED"/>
    <w:rsid w:val="00097E6D"/>
    <w:rsid w:val="000A03CB"/>
    <w:rsid w:val="000A05C7"/>
    <w:rsid w:val="000A0BEA"/>
    <w:rsid w:val="000A0F8D"/>
    <w:rsid w:val="000A15EA"/>
    <w:rsid w:val="000A16EB"/>
    <w:rsid w:val="000A1751"/>
    <w:rsid w:val="000A19AE"/>
    <w:rsid w:val="000A261B"/>
    <w:rsid w:val="000A2803"/>
    <w:rsid w:val="000A2883"/>
    <w:rsid w:val="000A374A"/>
    <w:rsid w:val="000A3C91"/>
    <w:rsid w:val="000A4162"/>
    <w:rsid w:val="000A4385"/>
    <w:rsid w:val="000A49C2"/>
    <w:rsid w:val="000A5199"/>
    <w:rsid w:val="000A55DA"/>
    <w:rsid w:val="000A5F7C"/>
    <w:rsid w:val="000A755D"/>
    <w:rsid w:val="000A75F4"/>
    <w:rsid w:val="000A75F7"/>
    <w:rsid w:val="000A7802"/>
    <w:rsid w:val="000A7E8B"/>
    <w:rsid w:val="000A7FA2"/>
    <w:rsid w:val="000B09DE"/>
    <w:rsid w:val="000B13C3"/>
    <w:rsid w:val="000B18F6"/>
    <w:rsid w:val="000B1ACA"/>
    <w:rsid w:val="000B1EE0"/>
    <w:rsid w:val="000B266C"/>
    <w:rsid w:val="000B2945"/>
    <w:rsid w:val="000B2968"/>
    <w:rsid w:val="000B2AED"/>
    <w:rsid w:val="000B2BA0"/>
    <w:rsid w:val="000B3420"/>
    <w:rsid w:val="000B3711"/>
    <w:rsid w:val="000B4EDB"/>
    <w:rsid w:val="000B53C6"/>
    <w:rsid w:val="000B5931"/>
    <w:rsid w:val="000B5DCD"/>
    <w:rsid w:val="000B606F"/>
    <w:rsid w:val="000B61BA"/>
    <w:rsid w:val="000B62BA"/>
    <w:rsid w:val="000B6C8E"/>
    <w:rsid w:val="000B750F"/>
    <w:rsid w:val="000B77CD"/>
    <w:rsid w:val="000B7C4B"/>
    <w:rsid w:val="000C013C"/>
    <w:rsid w:val="000C06B2"/>
    <w:rsid w:val="000C0738"/>
    <w:rsid w:val="000C0D6F"/>
    <w:rsid w:val="000C0FB1"/>
    <w:rsid w:val="000C103E"/>
    <w:rsid w:val="000C1124"/>
    <w:rsid w:val="000C1316"/>
    <w:rsid w:val="000C166E"/>
    <w:rsid w:val="000C1CCD"/>
    <w:rsid w:val="000C2214"/>
    <w:rsid w:val="000C22C4"/>
    <w:rsid w:val="000C2A48"/>
    <w:rsid w:val="000C2F76"/>
    <w:rsid w:val="000C300A"/>
    <w:rsid w:val="000C3B50"/>
    <w:rsid w:val="000C542D"/>
    <w:rsid w:val="000C5568"/>
    <w:rsid w:val="000C5FE7"/>
    <w:rsid w:val="000C6351"/>
    <w:rsid w:val="000C762B"/>
    <w:rsid w:val="000C7DC9"/>
    <w:rsid w:val="000C7EBE"/>
    <w:rsid w:val="000C7F26"/>
    <w:rsid w:val="000C7FB6"/>
    <w:rsid w:val="000D0140"/>
    <w:rsid w:val="000D03A0"/>
    <w:rsid w:val="000D042D"/>
    <w:rsid w:val="000D061B"/>
    <w:rsid w:val="000D077D"/>
    <w:rsid w:val="000D12D9"/>
    <w:rsid w:val="000D1523"/>
    <w:rsid w:val="000D247E"/>
    <w:rsid w:val="000D2D03"/>
    <w:rsid w:val="000D2EC9"/>
    <w:rsid w:val="000D2F56"/>
    <w:rsid w:val="000D32E9"/>
    <w:rsid w:val="000D3399"/>
    <w:rsid w:val="000D3E8B"/>
    <w:rsid w:val="000D459F"/>
    <w:rsid w:val="000D48D3"/>
    <w:rsid w:val="000D497E"/>
    <w:rsid w:val="000D4AD8"/>
    <w:rsid w:val="000D4CB7"/>
    <w:rsid w:val="000D5514"/>
    <w:rsid w:val="000D5DE5"/>
    <w:rsid w:val="000D5ED2"/>
    <w:rsid w:val="000D61AB"/>
    <w:rsid w:val="000D6624"/>
    <w:rsid w:val="000D6D7B"/>
    <w:rsid w:val="000D7407"/>
    <w:rsid w:val="000D7675"/>
    <w:rsid w:val="000D76C8"/>
    <w:rsid w:val="000D7CFB"/>
    <w:rsid w:val="000D7E35"/>
    <w:rsid w:val="000D7EB7"/>
    <w:rsid w:val="000D7FE5"/>
    <w:rsid w:val="000E0036"/>
    <w:rsid w:val="000E036C"/>
    <w:rsid w:val="000E0585"/>
    <w:rsid w:val="000E07F3"/>
    <w:rsid w:val="000E0930"/>
    <w:rsid w:val="000E0BA6"/>
    <w:rsid w:val="000E0EEC"/>
    <w:rsid w:val="000E0F07"/>
    <w:rsid w:val="000E15E6"/>
    <w:rsid w:val="000E15EB"/>
    <w:rsid w:val="000E19C0"/>
    <w:rsid w:val="000E1E22"/>
    <w:rsid w:val="000E23FF"/>
    <w:rsid w:val="000E2E16"/>
    <w:rsid w:val="000E2F03"/>
    <w:rsid w:val="000E3038"/>
    <w:rsid w:val="000E32E3"/>
    <w:rsid w:val="000E3342"/>
    <w:rsid w:val="000E3942"/>
    <w:rsid w:val="000E3C51"/>
    <w:rsid w:val="000E3D16"/>
    <w:rsid w:val="000E440F"/>
    <w:rsid w:val="000E4F70"/>
    <w:rsid w:val="000E5016"/>
    <w:rsid w:val="000E5CCB"/>
    <w:rsid w:val="000E621E"/>
    <w:rsid w:val="000E67C5"/>
    <w:rsid w:val="000E69AE"/>
    <w:rsid w:val="000E6CC8"/>
    <w:rsid w:val="000E7510"/>
    <w:rsid w:val="000E7ABF"/>
    <w:rsid w:val="000E7BBD"/>
    <w:rsid w:val="000F0354"/>
    <w:rsid w:val="000F07D3"/>
    <w:rsid w:val="000F089F"/>
    <w:rsid w:val="000F0ECB"/>
    <w:rsid w:val="000F0F6C"/>
    <w:rsid w:val="000F1221"/>
    <w:rsid w:val="000F13DC"/>
    <w:rsid w:val="000F1894"/>
    <w:rsid w:val="000F1971"/>
    <w:rsid w:val="000F1E78"/>
    <w:rsid w:val="000F20EA"/>
    <w:rsid w:val="000F219D"/>
    <w:rsid w:val="000F23E2"/>
    <w:rsid w:val="000F25FD"/>
    <w:rsid w:val="000F2AD9"/>
    <w:rsid w:val="000F2B86"/>
    <w:rsid w:val="000F2D2D"/>
    <w:rsid w:val="000F31B1"/>
    <w:rsid w:val="000F31E6"/>
    <w:rsid w:val="000F3252"/>
    <w:rsid w:val="000F3781"/>
    <w:rsid w:val="000F3924"/>
    <w:rsid w:val="000F3A3C"/>
    <w:rsid w:val="000F3F0D"/>
    <w:rsid w:val="000F3F26"/>
    <w:rsid w:val="000F405A"/>
    <w:rsid w:val="000F4145"/>
    <w:rsid w:val="000F427D"/>
    <w:rsid w:val="000F45A3"/>
    <w:rsid w:val="000F4956"/>
    <w:rsid w:val="000F4FEA"/>
    <w:rsid w:val="000F5C53"/>
    <w:rsid w:val="000F5D0D"/>
    <w:rsid w:val="000F6032"/>
    <w:rsid w:val="000F6123"/>
    <w:rsid w:val="000F6807"/>
    <w:rsid w:val="000F6AD7"/>
    <w:rsid w:val="000F6B20"/>
    <w:rsid w:val="000F6C81"/>
    <w:rsid w:val="000F7354"/>
    <w:rsid w:val="000F7B2D"/>
    <w:rsid w:val="000F7B34"/>
    <w:rsid w:val="00100729"/>
    <w:rsid w:val="00100862"/>
    <w:rsid w:val="00100A57"/>
    <w:rsid w:val="00100AAE"/>
    <w:rsid w:val="00100B51"/>
    <w:rsid w:val="00100F06"/>
    <w:rsid w:val="001010E1"/>
    <w:rsid w:val="00101635"/>
    <w:rsid w:val="00101671"/>
    <w:rsid w:val="00101735"/>
    <w:rsid w:val="00101950"/>
    <w:rsid w:val="00101AE4"/>
    <w:rsid w:val="00101BDE"/>
    <w:rsid w:val="00101C6A"/>
    <w:rsid w:val="00102101"/>
    <w:rsid w:val="001043BA"/>
    <w:rsid w:val="00104751"/>
    <w:rsid w:val="001049EF"/>
    <w:rsid w:val="00104A90"/>
    <w:rsid w:val="0010514C"/>
    <w:rsid w:val="00105841"/>
    <w:rsid w:val="001060FB"/>
    <w:rsid w:val="001076A6"/>
    <w:rsid w:val="001079BF"/>
    <w:rsid w:val="00107AD3"/>
    <w:rsid w:val="00107E46"/>
    <w:rsid w:val="00107EC2"/>
    <w:rsid w:val="00107F30"/>
    <w:rsid w:val="0011045B"/>
    <w:rsid w:val="001108AB"/>
    <w:rsid w:val="00110AA5"/>
    <w:rsid w:val="00110B61"/>
    <w:rsid w:val="00111304"/>
    <w:rsid w:val="00111597"/>
    <w:rsid w:val="0011165A"/>
    <w:rsid w:val="00111D8B"/>
    <w:rsid w:val="00111E39"/>
    <w:rsid w:val="0011223C"/>
    <w:rsid w:val="00112711"/>
    <w:rsid w:val="001128A2"/>
    <w:rsid w:val="001143F4"/>
    <w:rsid w:val="001147EC"/>
    <w:rsid w:val="001148FF"/>
    <w:rsid w:val="001149A5"/>
    <w:rsid w:val="00114BFB"/>
    <w:rsid w:val="00114C48"/>
    <w:rsid w:val="00114CBE"/>
    <w:rsid w:val="001152C6"/>
    <w:rsid w:val="001156A3"/>
    <w:rsid w:val="00115A28"/>
    <w:rsid w:val="00115B42"/>
    <w:rsid w:val="00116034"/>
    <w:rsid w:val="00116203"/>
    <w:rsid w:val="00116638"/>
    <w:rsid w:val="00116F6D"/>
    <w:rsid w:val="00117055"/>
    <w:rsid w:val="001171B2"/>
    <w:rsid w:val="00117D25"/>
    <w:rsid w:val="00117D58"/>
    <w:rsid w:val="00117DAD"/>
    <w:rsid w:val="00117FA3"/>
    <w:rsid w:val="00117FF1"/>
    <w:rsid w:val="00120296"/>
    <w:rsid w:val="0012038F"/>
    <w:rsid w:val="0012040E"/>
    <w:rsid w:val="00120808"/>
    <w:rsid w:val="00120A79"/>
    <w:rsid w:val="0012142C"/>
    <w:rsid w:val="00121AD0"/>
    <w:rsid w:val="00122003"/>
    <w:rsid w:val="00123054"/>
    <w:rsid w:val="00123182"/>
    <w:rsid w:val="00123396"/>
    <w:rsid w:val="001238B9"/>
    <w:rsid w:val="00123B2A"/>
    <w:rsid w:val="0012406C"/>
    <w:rsid w:val="00124166"/>
    <w:rsid w:val="001248CA"/>
    <w:rsid w:val="00124B5A"/>
    <w:rsid w:val="00125009"/>
    <w:rsid w:val="00125301"/>
    <w:rsid w:val="00125A8A"/>
    <w:rsid w:val="00125C26"/>
    <w:rsid w:val="00125FEE"/>
    <w:rsid w:val="001262D8"/>
    <w:rsid w:val="00126DFD"/>
    <w:rsid w:val="0012722B"/>
    <w:rsid w:val="001277D0"/>
    <w:rsid w:val="001278E9"/>
    <w:rsid w:val="00127DAD"/>
    <w:rsid w:val="00127F7C"/>
    <w:rsid w:val="001300E5"/>
    <w:rsid w:val="00130431"/>
    <w:rsid w:val="0013052F"/>
    <w:rsid w:val="001306BA"/>
    <w:rsid w:val="00130BF1"/>
    <w:rsid w:val="00130C91"/>
    <w:rsid w:val="00130FBC"/>
    <w:rsid w:val="001318B3"/>
    <w:rsid w:val="00131EE5"/>
    <w:rsid w:val="00132634"/>
    <w:rsid w:val="00132929"/>
    <w:rsid w:val="00132F5F"/>
    <w:rsid w:val="001332CC"/>
    <w:rsid w:val="0013363D"/>
    <w:rsid w:val="00133774"/>
    <w:rsid w:val="0013378A"/>
    <w:rsid w:val="00133966"/>
    <w:rsid w:val="00133A06"/>
    <w:rsid w:val="00133AE4"/>
    <w:rsid w:val="00133C5F"/>
    <w:rsid w:val="00133CD3"/>
    <w:rsid w:val="001346AB"/>
    <w:rsid w:val="00134864"/>
    <w:rsid w:val="001349E5"/>
    <w:rsid w:val="00134ACB"/>
    <w:rsid w:val="00134AEA"/>
    <w:rsid w:val="00134C04"/>
    <w:rsid w:val="00134EAF"/>
    <w:rsid w:val="00134FF6"/>
    <w:rsid w:val="001352B0"/>
    <w:rsid w:val="00137311"/>
    <w:rsid w:val="00137778"/>
    <w:rsid w:val="00137B36"/>
    <w:rsid w:val="0014037F"/>
    <w:rsid w:val="001404CD"/>
    <w:rsid w:val="0014054F"/>
    <w:rsid w:val="0014058C"/>
    <w:rsid w:val="00141305"/>
    <w:rsid w:val="00141525"/>
    <w:rsid w:val="00141736"/>
    <w:rsid w:val="00141846"/>
    <w:rsid w:val="00142C81"/>
    <w:rsid w:val="001433F6"/>
    <w:rsid w:val="0014369B"/>
    <w:rsid w:val="00144285"/>
    <w:rsid w:val="001447B1"/>
    <w:rsid w:val="00144854"/>
    <w:rsid w:val="00144AE4"/>
    <w:rsid w:val="00144B28"/>
    <w:rsid w:val="00145514"/>
    <w:rsid w:val="0014568E"/>
    <w:rsid w:val="001456E6"/>
    <w:rsid w:val="0014587F"/>
    <w:rsid w:val="00145959"/>
    <w:rsid w:val="0014597B"/>
    <w:rsid w:val="00145B4D"/>
    <w:rsid w:val="0014640E"/>
    <w:rsid w:val="00146AC9"/>
    <w:rsid w:val="00146BF8"/>
    <w:rsid w:val="00147482"/>
    <w:rsid w:val="00147629"/>
    <w:rsid w:val="001479F6"/>
    <w:rsid w:val="00147DBB"/>
    <w:rsid w:val="0015003B"/>
    <w:rsid w:val="001502CD"/>
    <w:rsid w:val="001502CE"/>
    <w:rsid w:val="001503D5"/>
    <w:rsid w:val="0015061C"/>
    <w:rsid w:val="00150B02"/>
    <w:rsid w:val="00150F64"/>
    <w:rsid w:val="00151CB6"/>
    <w:rsid w:val="0015217A"/>
    <w:rsid w:val="00152B21"/>
    <w:rsid w:val="00152C53"/>
    <w:rsid w:val="00153091"/>
    <w:rsid w:val="00153096"/>
    <w:rsid w:val="0015319F"/>
    <w:rsid w:val="001534D5"/>
    <w:rsid w:val="00153BBB"/>
    <w:rsid w:val="00153D33"/>
    <w:rsid w:val="00153F7F"/>
    <w:rsid w:val="001543D1"/>
    <w:rsid w:val="001548A3"/>
    <w:rsid w:val="00154B26"/>
    <w:rsid w:val="00155984"/>
    <w:rsid w:val="00155D9A"/>
    <w:rsid w:val="00155E85"/>
    <w:rsid w:val="001562E5"/>
    <w:rsid w:val="001566A4"/>
    <w:rsid w:val="00156754"/>
    <w:rsid w:val="001567D2"/>
    <w:rsid w:val="00156CEA"/>
    <w:rsid w:val="00157162"/>
    <w:rsid w:val="001571F2"/>
    <w:rsid w:val="00157243"/>
    <w:rsid w:val="0015733F"/>
    <w:rsid w:val="0015774C"/>
    <w:rsid w:val="00157B5D"/>
    <w:rsid w:val="00157D16"/>
    <w:rsid w:val="00160284"/>
    <w:rsid w:val="001606C8"/>
    <w:rsid w:val="001606D6"/>
    <w:rsid w:val="0016076E"/>
    <w:rsid w:val="0016078C"/>
    <w:rsid w:val="001608C1"/>
    <w:rsid w:val="00161641"/>
    <w:rsid w:val="0016169A"/>
    <w:rsid w:val="00161C64"/>
    <w:rsid w:val="001622E9"/>
    <w:rsid w:val="00163153"/>
    <w:rsid w:val="00163C36"/>
    <w:rsid w:val="00164173"/>
    <w:rsid w:val="001646A6"/>
    <w:rsid w:val="001646F5"/>
    <w:rsid w:val="0016499F"/>
    <w:rsid w:val="00164F04"/>
    <w:rsid w:val="0016519D"/>
    <w:rsid w:val="001651A7"/>
    <w:rsid w:val="00165304"/>
    <w:rsid w:val="001653BC"/>
    <w:rsid w:val="00165D5B"/>
    <w:rsid w:val="00165E05"/>
    <w:rsid w:val="00165E3A"/>
    <w:rsid w:val="0016621C"/>
    <w:rsid w:val="00167AC3"/>
    <w:rsid w:val="00167BF0"/>
    <w:rsid w:val="0017014B"/>
    <w:rsid w:val="00170187"/>
    <w:rsid w:val="001701E1"/>
    <w:rsid w:val="001705BB"/>
    <w:rsid w:val="0017142F"/>
    <w:rsid w:val="001714BD"/>
    <w:rsid w:val="00171C54"/>
    <w:rsid w:val="00171FB4"/>
    <w:rsid w:val="0017250E"/>
    <w:rsid w:val="00173160"/>
    <w:rsid w:val="0017322F"/>
    <w:rsid w:val="00173336"/>
    <w:rsid w:val="00173500"/>
    <w:rsid w:val="001735B8"/>
    <w:rsid w:val="0017375A"/>
    <w:rsid w:val="00173F87"/>
    <w:rsid w:val="0017424C"/>
    <w:rsid w:val="0017446E"/>
    <w:rsid w:val="001746E3"/>
    <w:rsid w:val="00174AAC"/>
    <w:rsid w:val="00174AF3"/>
    <w:rsid w:val="00174CD9"/>
    <w:rsid w:val="00174EEA"/>
    <w:rsid w:val="001754A0"/>
    <w:rsid w:val="0017553B"/>
    <w:rsid w:val="00175737"/>
    <w:rsid w:val="001759AD"/>
    <w:rsid w:val="00175DC2"/>
    <w:rsid w:val="00175E61"/>
    <w:rsid w:val="001765D1"/>
    <w:rsid w:val="00176644"/>
    <w:rsid w:val="00176A5E"/>
    <w:rsid w:val="00177922"/>
    <w:rsid w:val="001779AE"/>
    <w:rsid w:val="00177EDF"/>
    <w:rsid w:val="00180619"/>
    <w:rsid w:val="001807ED"/>
    <w:rsid w:val="0018113A"/>
    <w:rsid w:val="0018171E"/>
    <w:rsid w:val="00181A11"/>
    <w:rsid w:val="00181E97"/>
    <w:rsid w:val="001823C5"/>
    <w:rsid w:val="00182449"/>
    <w:rsid w:val="0018259A"/>
    <w:rsid w:val="00182767"/>
    <w:rsid w:val="001828A0"/>
    <w:rsid w:val="00183412"/>
    <w:rsid w:val="00183465"/>
    <w:rsid w:val="00183A23"/>
    <w:rsid w:val="00183B47"/>
    <w:rsid w:val="001841C4"/>
    <w:rsid w:val="0018449E"/>
    <w:rsid w:val="00184837"/>
    <w:rsid w:val="00184E3F"/>
    <w:rsid w:val="00184EFF"/>
    <w:rsid w:val="001850CE"/>
    <w:rsid w:val="001853E7"/>
    <w:rsid w:val="001855AA"/>
    <w:rsid w:val="00186E82"/>
    <w:rsid w:val="001873F5"/>
    <w:rsid w:val="001874C1"/>
    <w:rsid w:val="001877D7"/>
    <w:rsid w:val="001902BE"/>
    <w:rsid w:val="001903D1"/>
    <w:rsid w:val="00190A09"/>
    <w:rsid w:val="00190A4F"/>
    <w:rsid w:val="00190C5B"/>
    <w:rsid w:val="001913C8"/>
    <w:rsid w:val="00191A7E"/>
    <w:rsid w:val="00191FDA"/>
    <w:rsid w:val="001929D2"/>
    <w:rsid w:val="00192D3F"/>
    <w:rsid w:val="00192FEB"/>
    <w:rsid w:val="001930AA"/>
    <w:rsid w:val="001932E0"/>
    <w:rsid w:val="001934E3"/>
    <w:rsid w:val="00193C22"/>
    <w:rsid w:val="001944E2"/>
    <w:rsid w:val="001947C8"/>
    <w:rsid w:val="00195091"/>
    <w:rsid w:val="00195670"/>
    <w:rsid w:val="00196241"/>
    <w:rsid w:val="00196525"/>
    <w:rsid w:val="001968B8"/>
    <w:rsid w:val="001979A6"/>
    <w:rsid w:val="00197D4C"/>
    <w:rsid w:val="001A00C5"/>
    <w:rsid w:val="001A0384"/>
    <w:rsid w:val="001A03EC"/>
    <w:rsid w:val="001A0B13"/>
    <w:rsid w:val="001A0C7D"/>
    <w:rsid w:val="001A1439"/>
    <w:rsid w:val="001A1B8D"/>
    <w:rsid w:val="001A2107"/>
    <w:rsid w:val="001A2510"/>
    <w:rsid w:val="001A2517"/>
    <w:rsid w:val="001A26FD"/>
    <w:rsid w:val="001A275A"/>
    <w:rsid w:val="001A3293"/>
    <w:rsid w:val="001A33D7"/>
    <w:rsid w:val="001A3B3D"/>
    <w:rsid w:val="001A3C23"/>
    <w:rsid w:val="001A3E7D"/>
    <w:rsid w:val="001A3FEA"/>
    <w:rsid w:val="001A41E0"/>
    <w:rsid w:val="001A4333"/>
    <w:rsid w:val="001A4391"/>
    <w:rsid w:val="001A43E2"/>
    <w:rsid w:val="001A444F"/>
    <w:rsid w:val="001A465E"/>
    <w:rsid w:val="001A4A6B"/>
    <w:rsid w:val="001A4E6E"/>
    <w:rsid w:val="001A5269"/>
    <w:rsid w:val="001A610F"/>
    <w:rsid w:val="001A61D2"/>
    <w:rsid w:val="001A6429"/>
    <w:rsid w:val="001A64F0"/>
    <w:rsid w:val="001A6596"/>
    <w:rsid w:val="001A6722"/>
    <w:rsid w:val="001A6CC4"/>
    <w:rsid w:val="001A6D77"/>
    <w:rsid w:val="001A737D"/>
    <w:rsid w:val="001A7D13"/>
    <w:rsid w:val="001A7D94"/>
    <w:rsid w:val="001B0296"/>
    <w:rsid w:val="001B07F5"/>
    <w:rsid w:val="001B0B33"/>
    <w:rsid w:val="001B0FDF"/>
    <w:rsid w:val="001B18E3"/>
    <w:rsid w:val="001B1F67"/>
    <w:rsid w:val="001B2C98"/>
    <w:rsid w:val="001B2F34"/>
    <w:rsid w:val="001B304B"/>
    <w:rsid w:val="001B362E"/>
    <w:rsid w:val="001B3A21"/>
    <w:rsid w:val="001B3FDE"/>
    <w:rsid w:val="001B42B6"/>
    <w:rsid w:val="001B49B2"/>
    <w:rsid w:val="001B4D29"/>
    <w:rsid w:val="001B4D3F"/>
    <w:rsid w:val="001B4E33"/>
    <w:rsid w:val="001B5305"/>
    <w:rsid w:val="001B5348"/>
    <w:rsid w:val="001B5353"/>
    <w:rsid w:val="001B58D6"/>
    <w:rsid w:val="001B716C"/>
    <w:rsid w:val="001B7A13"/>
    <w:rsid w:val="001B7D6F"/>
    <w:rsid w:val="001C0290"/>
    <w:rsid w:val="001C052A"/>
    <w:rsid w:val="001C0BAC"/>
    <w:rsid w:val="001C0E4B"/>
    <w:rsid w:val="001C1436"/>
    <w:rsid w:val="001C16D0"/>
    <w:rsid w:val="001C17A9"/>
    <w:rsid w:val="001C1D46"/>
    <w:rsid w:val="001C1EE0"/>
    <w:rsid w:val="001C2013"/>
    <w:rsid w:val="001C2133"/>
    <w:rsid w:val="001C24FC"/>
    <w:rsid w:val="001C28AD"/>
    <w:rsid w:val="001C2A71"/>
    <w:rsid w:val="001C30AA"/>
    <w:rsid w:val="001C37C9"/>
    <w:rsid w:val="001C3A83"/>
    <w:rsid w:val="001C3FF5"/>
    <w:rsid w:val="001C489F"/>
    <w:rsid w:val="001C51E8"/>
    <w:rsid w:val="001C52B9"/>
    <w:rsid w:val="001C6051"/>
    <w:rsid w:val="001C63E7"/>
    <w:rsid w:val="001C668C"/>
    <w:rsid w:val="001C683F"/>
    <w:rsid w:val="001C72A5"/>
    <w:rsid w:val="001C787C"/>
    <w:rsid w:val="001C7E90"/>
    <w:rsid w:val="001C7F5F"/>
    <w:rsid w:val="001D0149"/>
    <w:rsid w:val="001D1218"/>
    <w:rsid w:val="001D1384"/>
    <w:rsid w:val="001D14AF"/>
    <w:rsid w:val="001D1671"/>
    <w:rsid w:val="001D1B7A"/>
    <w:rsid w:val="001D2076"/>
    <w:rsid w:val="001D2FEB"/>
    <w:rsid w:val="001D334E"/>
    <w:rsid w:val="001D35CE"/>
    <w:rsid w:val="001D3D5B"/>
    <w:rsid w:val="001D48B9"/>
    <w:rsid w:val="001D4934"/>
    <w:rsid w:val="001D4AA1"/>
    <w:rsid w:val="001D4AFB"/>
    <w:rsid w:val="001D5477"/>
    <w:rsid w:val="001D5485"/>
    <w:rsid w:val="001D56CE"/>
    <w:rsid w:val="001D5A3D"/>
    <w:rsid w:val="001D5EC7"/>
    <w:rsid w:val="001D60E5"/>
    <w:rsid w:val="001D6456"/>
    <w:rsid w:val="001D6566"/>
    <w:rsid w:val="001D679B"/>
    <w:rsid w:val="001D6DE6"/>
    <w:rsid w:val="001D6E00"/>
    <w:rsid w:val="001D6E6F"/>
    <w:rsid w:val="001D761B"/>
    <w:rsid w:val="001D771B"/>
    <w:rsid w:val="001E0114"/>
    <w:rsid w:val="001E04A8"/>
    <w:rsid w:val="001E0574"/>
    <w:rsid w:val="001E07F7"/>
    <w:rsid w:val="001E0D5D"/>
    <w:rsid w:val="001E1367"/>
    <w:rsid w:val="001E1B8F"/>
    <w:rsid w:val="001E2856"/>
    <w:rsid w:val="001E2DD0"/>
    <w:rsid w:val="001E3DB8"/>
    <w:rsid w:val="001E40CB"/>
    <w:rsid w:val="001E4232"/>
    <w:rsid w:val="001E565E"/>
    <w:rsid w:val="001E6075"/>
    <w:rsid w:val="001E6C09"/>
    <w:rsid w:val="001E767B"/>
    <w:rsid w:val="001E7776"/>
    <w:rsid w:val="001E7F75"/>
    <w:rsid w:val="001F0F7E"/>
    <w:rsid w:val="001F1162"/>
    <w:rsid w:val="001F14AF"/>
    <w:rsid w:val="001F1960"/>
    <w:rsid w:val="001F1E4B"/>
    <w:rsid w:val="001F23FE"/>
    <w:rsid w:val="001F240C"/>
    <w:rsid w:val="001F26C5"/>
    <w:rsid w:val="001F2F16"/>
    <w:rsid w:val="001F2FFF"/>
    <w:rsid w:val="001F3B8A"/>
    <w:rsid w:val="001F4215"/>
    <w:rsid w:val="001F4251"/>
    <w:rsid w:val="001F469A"/>
    <w:rsid w:val="001F4BB4"/>
    <w:rsid w:val="001F4C02"/>
    <w:rsid w:val="001F50AE"/>
    <w:rsid w:val="001F5722"/>
    <w:rsid w:val="001F586B"/>
    <w:rsid w:val="001F5A22"/>
    <w:rsid w:val="001F5D35"/>
    <w:rsid w:val="001F5EF6"/>
    <w:rsid w:val="001F5FF0"/>
    <w:rsid w:val="001F67E6"/>
    <w:rsid w:val="001F6A60"/>
    <w:rsid w:val="001F6C80"/>
    <w:rsid w:val="001F7381"/>
    <w:rsid w:val="001F79A9"/>
    <w:rsid w:val="001F7A49"/>
    <w:rsid w:val="0020017F"/>
    <w:rsid w:val="00200350"/>
    <w:rsid w:val="002006E8"/>
    <w:rsid w:val="002007E5"/>
    <w:rsid w:val="00200891"/>
    <w:rsid w:val="00200B74"/>
    <w:rsid w:val="00200C2D"/>
    <w:rsid w:val="00201166"/>
    <w:rsid w:val="002015F1"/>
    <w:rsid w:val="00201D9C"/>
    <w:rsid w:val="002022FF"/>
    <w:rsid w:val="00202375"/>
    <w:rsid w:val="00202CEF"/>
    <w:rsid w:val="00202DD8"/>
    <w:rsid w:val="00203209"/>
    <w:rsid w:val="002033B8"/>
    <w:rsid w:val="00203B0C"/>
    <w:rsid w:val="00204204"/>
    <w:rsid w:val="0020471E"/>
    <w:rsid w:val="00204DCB"/>
    <w:rsid w:val="00204FF0"/>
    <w:rsid w:val="00205381"/>
    <w:rsid w:val="00205E5D"/>
    <w:rsid w:val="00206A74"/>
    <w:rsid w:val="00206C66"/>
    <w:rsid w:val="00206CCF"/>
    <w:rsid w:val="00207117"/>
    <w:rsid w:val="0020745B"/>
    <w:rsid w:val="002079CD"/>
    <w:rsid w:val="002100AD"/>
    <w:rsid w:val="002100BD"/>
    <w:rsid w:val="002107C8"/>
    <w:rsid w:val="0021087E"/>
    <w:rsid w:val="0021092B"/>
    <w:rsid w:val="00210BEC"/>
    <w:rsid w:val="00211A98"/>
    <w:rsid w:val="00211F1F"/>
    <w:rsid w:val="00212265"/>
    <w:rsid w:val="002126A9"/>
    <w:rsid w:val="00213083"/>
    <w:rsid w:val="002132C1"/>
    <w:rsid w:val="00213759"/>
    <w:rsid w:val="00213C45"/>
    <w:rsid w:val="0021405C"/>
    <w:rsid w:val="00214278"/>
    <w:rsid w:val="0021480B"/>
    <w:rsid w:val="0021493D"/>
    <w:rsid w:val="002149B9"/>
    <w:rsid w:val="00214C2A"/>
    <w:rsid w:val="00214D88"/>
    <w:rsid w:val="00215E59"/>
    <w:rsid w:val="00215FD4"/>
    <w:rsid w:val="002166DC"/>
    <w:rsid w:val="00216A02"/>
    <w:rsid w:val="00216F7F"/>
    <w:rsid w:val="0021783E"/>
    <w:rsid w:val="002179CA"/>
    <w:rsid w:val="00217F18"/>
    <w:rsid w:val="00220222"/>
    <w:rsid w:val="0022063A"/>
    <w:rsid w:val="00220768"/>
    <w:rsid w:val="002208B7"/>
    <w:rsid w:val="002208E9"/>
    <w:rsid w:val="00220A74"/>
    <w:rsid w:val="00220F43"/>
    <w:rsid w:val="00221111"/>
    <w:rsid w:val="00221122"/>
    <w:rsid w:val="002211FD"/>
    <w:rsid w:val="0022165D"/>
    <w:rsid w:val="00221936"/>
    <w:rsid w:val="00221CBF"/>
    <w:rsid w:val="00221D8C"/>
    <w:rsid w:val="00223506"/>
    <w:rsid w:val="002237E1"/>
    <w:rsid w:val="00224170"/>
    <w:rsid w:val="002242C6"/>
    <w:rsid w:val="0022485A"/>
    <w:rsid w:val="00224BF4"/>
    <w:rsid w:val="0022555E"/>
    <w:rsid w:val="00225593"/>
    <w:rsid w:val="00225B78"/>
    <w:rsid w:val="002260B3"/>
    <w:rsid w:val="002272EF"/>
    <w:rsid w:val="00227991"/>
    <w:rsid w:val="00227B2A"/>
    <w:rsid w:val="00227E66"/>
    <w:rsid w:val="0023050D"/>
    <w:rsid w:val="0023065B"/>
    <w:rsid w:val="00230789"/>
    <w:rsid w:val="00230D7B"/>
    <w:rsid w:val="00231037"/>
    <w:rsid w:val="00231A06"/>
    <w:rsid w:val="00231D90"/>
    <w:rsid w:val="00231DCD"/>
    <w:rsid w:val="002320B3"/>
    <w:rsid w:val="00232280"/>
    <w:rsid w:val="00232787"/>
    <w:rsid w:val="002329B7"/>
    <w:rsid w:val="00233129"/>
    <w:rsid w:val="002332A1"/>
    <w:rsid w:val="0023340A"/>
    <w:rsid w:val="00233AC0"/>
    <w:rsid w:val="002341AB"/>
    <w:rsid w:val="002343F5"/>
    <w:rsid w:val="00234673"/>
    <w:rsid w:val="002347C0"/>
    <w:rsid w:val="00234E38"/>
    <w:rsid w:val="00235979"/>
    <w:rsid w:val="00236123"/>
    <w:rsid w:val="00236702"/>
    <w:rsid w:val="00236C5E"/>
    <w:rsid w:val="00236CFE"/>
    <w:rsid w:val="00236E09"/>
    <w:rsid w:val="0023752D"/>
    <w:rsid w:val="00237725"/>
    <w:rsid w:val="002377E5"/>
    <w:rsid w:val="00237843"/>
    <w:rsid w:val="00237A20"/>
    <w:rsid w:val="00237C98"/>
    <w:rsid w:val="00237C99"/>
    <w:rsid w:val="00237D07"/>
    <w:rsid w:val="00240002"/>
    <w:rsid w:val="00240418"/>
    <w:rsid w:val="0024054B"/>
    <w:rsid w:val="00241B18"/>
    <w:rsid w:val="00241F14"/>
    <w:rsid w:val="00241FC4"/>
    <w:rsid w:val="00242223"/>
    <w:rsid w:val="002427D7"/>
    <w:rsid w:val="00243529"/>
    <w:rsid w:val="00243A00"/>
    <w:rsid w:val="00243ADA"/>
    <w:rsid w:val="00244065"/>
    <w:rsid w:val="00244995"/>
    <w:rsid w:val="0024500D"/>
    <w:rsid w:val="00245148"/>
    <w:rsid w:val="00245470"/>
    <w:rsid w:val="0024575C"/>
    <w:rsid w:val="00245AF3"/>
    <w:rsid w:val="0024671C"/>
    <w:rsid w:val="00246DA3"/>
    <w:rsid w:val="00246F0C"/>
    <w:rsid w:val="0024739E"/>
    <w:rsid w:val="00247580"/>
    <w:rsid w:val="002478B4"/>
    <w:rsid w:val="00247E10"/>
    <w:rsid w:val="002510CC"/>
    <w:rsid w:val="00251456"/>
    <w:rsid w:val="00251480"/>
    <w:rsid w:val="0025185D"/>
    <w:rsid w:val="00251C61"/>
    <w:rsid w:val="00251DF9"/>
    <w:rsid w:val="0025288A"/>
    <w:rsid w:val="002530A1"/>
    <w:rsid w:val="00253A38"/>
    <w:rsid w:val="00253D3B"/>
    <w:rsid w:val="00253D89"/>
    <w:rsid w:val="002544EB"/>
    <w:rsid w:val="00254A8F"/>
    <w:rsid w:val="00254E54"/>
    <w:rsid w:val="002550A6"/>
    <w:rsid w:val="00255294"/>
    <w:rsid w:val="00255438"/>
    <w:rsid w:val="002555E6"/>
    <w:rsid w:val="00255B2C"/>
    <w:rsid w:val="00256733"/>
    <w:rsid w:val="0025699F"/>
    <w:rsid w:val="00256A0D"/>
    <w:rsid w:val="00256A30"/>
    <w:rsid w:val="00257177"/>
    <w:rsid w:val="002601C8"/>
    <w:rsid w:val="00260FC3"/>
    <w:rsid w:val="00261233"/>
    <w:rsid w:val="00261981"/>
    <w:rsid w:val="0026205D"/>
    <w:rsid w:val="0026229F"/>
    <w:rsid w:val="0026293D"/>
    <w:rsid w:val="0026316A"/>
    <w:rsid w:val="0026333D"/>
    <w:rsid w:val="00263570"/>
    <w:rsid w:val="002639F8"/>
    <w:rsid w:val="00263BD1"/>
    <w:rsid w:val="00263C46"/>
    <w:rsid w:val="00264381"/>
    <w:rsid w:val="002644B3"/>
    <w:rsid w:val="00264532"/>
    <w:rsid w:val="00264B27"/>
    <w:rsid w:val="00264EC5"/>
    <w:rsid w:val="00265548"/>
    <w:rsid w:val="002657CA"/>
    <w:rsid w:val="002659F8"/>
    <w:rsid w:val="00265A7A"/>
    <w:rsid w:val="00265D94"/>
    <w:rsid w:val="00265EA1"/>
    <w:rsid w:val="00266E17"/>
    <w:rsid w:val="002670AA"/>
    <w:rsid w:val="00267102"/>
    <w:rsid w:val="0026725B"/>
    <w:rsid w:val="002674A4"/>
    <w:rsid w:val="00267765"/>
    <w:rsid w:val="002700F0"/>
    <w:rsid w:val="002705EE"/>
    <w:rsid w:val="002706B9"/>
    <w:rsid w:val="00270CE9"/>
    <w:rsid w:val="00271054"/>
    <w:rsid w:val="002720C7"/>
    <w:rsid w:val="002726EA"/>
    <w:rsid w:val="002728F1"/>
    <w:rsid w:val="00272935"/>
    <w:rsid w:val="0027295E"/>
    <w:rsid w:val="00272AF0"/>
    <w:rsid w:val="00272B54"/>
    <w:rsid w:val="00272D32"/>
    <w:rsid w:val="002739DE"/>
    <w:rsid w:val="00274520"/>
    <w:rsid w:val="00274A4F"/>
    <w:rsid w:val="0027539A"/>
    <w:rsid w:val="00275BA3"/>
    <w:rsid w:val="00275F04"/>
    <w:rsid w:val="00276074"/>
    <w:rsid w:val="00276EEE"/>
    <w:rsid w:val="00280218"/>
    <w:rsid w:val="002806A1"/>
    <w:rsid w:val="002807E9"/>
    <w:rsid w:val="00280825"/>
    <w:rsid w:val="002808E0"/>
    <w:rsid w:val="00280A23"/>
    <w:rsid w:val="00280E09"/>
    <w:rsid w:val="00280EFC"/>
    <w:rsid w:val="002812B5"/>
    <w:rsid w:val="00281646"/>
    <w:rsid w:val="00281AF6"/>
    <w:rsid w:val="00281F50"/>
    <w:rsid w:val="00282FAD"/>
    <w:rsid w:val="00283340"/>
    <w:rsid w:val="00283663"/>
    <w:rsid w:val="00283CD0"/>
    <w:rsid w:val="00285C40"/>
    <w:rsid w:val="00286407"/>
    <w:rsid w:val="00286522"/>
    <w:rsid w:val="00286866"/>
    <w:rsid w:val="00286891"/>
    <w:rsid w:val="00286BE1"/>
    <w:rsid w:val="0028710F"/>
    <w:rsid w:val="0028737B"/>
    <w:rsid w:val="00287663"/>
    <w:rsid w:val="00287A36"/>
    <w:rsid w:val="00287AE0"/>
    <w:rsid w:val="00287C41"/>
    <w:rsid w:val="00287DC6"/>
    <w:rsid w:val="002909AC"/>
    <w:rsid w:val="00290B11"/>
    <w:rsid w:val="00290BCE"/>
    <w:rsid w:val="00291F48"/>
    <w:rsid w:val="00292CF6"/>
    <w:rsid w:val="00292D5A"/>
    <w:rsid w:val="00293792"/>
    <w:rsid w:val="00293B23"/>
    <w:rsid w:val="00293B69"/>
    <w:rsid w:val="00294093"/>
    <w:rsid w:val="0029432F"/>
    <w:rsid w:val="00294D45"/>
    <w:rsid w:val="00295254"/>
    <w:rsid w:val="0029593F"/>
    <w:rsid w:val="00295994"/>
    <w:rsid w:val="0029624F"/>
    <w:rsid w:val="00296DCB"/>
    <w:rsid w:val="0029751C"/>
    <w:rsid w:val="00297626"/>
    <w:rsid w:val="00297BC3"/>
    <w:rsid w:val="00297D55"/>
    <w:rsid w:val="00297D72"/>
    <w:rsid w:val="00297EEA"/>
    <w:rsid w:val="002A0131"/>
    <w:rsid w:val="002A0272"/>
    <w:rsid w:val="002A03A6"/>
    <w:rsid w:val="002A0694"/>
    <w:rsid w:val="002A10F0"/>
    <w:rsid w:val="002A19BE"/>
    <w:rsid w:val="002A23B8"/>
    <w:rsid w:val="002A25CB"/>
    <w:rsid w:val="002A2A33"/>
    <w:rsid w:val="002A2D9F"/>
    <w:rsid w:val="002A37ED"/>
    <w:rsid w:val="002A3B11"/>
    <w:rsid w:val="002A405B"/>
    <w:rsid w:val="002A41FE"/>
    <w:rsid w:val="002A455B"/>
    <w:rsid w:val="002A45CB"/>
    <w:rsid w:val="002A5CA9"/>
    <w:rsid w:val="002A6117"/>
    <w:rsid w:val="002A6945"/>
    <w:rsid w:val="002A6CB3"/>
    <w:rsid w:val="002A6E45"/>
    <w:rsid w:val="002A6F5D"/>
    <w:rsid w:val="002A7302"/>
    <w:rsid w:val="002A75FE"/>
    <w:rsid w:val="002A768E"/>
    <w:rsid w:val="002A794E"/>
    <w:rsid w:val="002A7BB6"/>
    <w:rsid w:val="002B01F6"/>
    <w:rsid w:val="002B0BAE"/>
    <w:rsid w:val="002B1160"/>
    <w:rsid w:val="002B19E9"/>
    <w:rsid w:val="002B1A53"/>
    <w:rsid w:val="002B1B73"/>
    <w:rsid w:val="002B1C75"/>
    <w:rsid w:val="002B2344"/>
    <w:rsid w:val="002B242E"/>
    <w:rsid w:val="002B29E7"/>
    <w:rsid w:val="002B2D51"/>
    <w:rsid w:val="002B2E98"/>
    <w:rsid w:val="002B30C5"/>
    <w:rsid w:val="002B322C"/>
    <w:rsid w:val="002B3616"/>
    <w:rsid w:val="002B3DEE"/>
    <w:rsid w:val="002B3EB8"/>
    <w:rsid w:val="002B4879"/>
    <w:rsid w:val="002B4C1F"/>
    <w:rsid w:val="002B514D"/>
    <w:rsid w:val="002B546E"/>
    <w:rsid w:val="002B5AE6"/>
    <w:rsid w:val="002B663A"/>
    <w:rsid w:val="002B686F"/>
    <w:rsid w:val="002B6CE7"/>
    <w:rsid w:val="002C0079"/>
    <w:rsid w:val="002C008D"/>
    <w:rsid w:val="002C0099"/>
    <w:rsid w:val="002C011E"/>
    <w:rsid w:val="002C03FA"/>
    <w:rsid w:val="002C0653"/>
    <w:rsid w:val="002C0699"/>
    <w:rsid w:val="002C0766"/>
    <w:rsid w:val="002C0FA9"/>
    <w:rsid w:val="002C1158"/>
    <w:rsid w:val="002C126A"/>
    <w:rsid w:val="002C12B2"/>
    <w:rsid w:val="002C14D4"/>
    <w:rsid w:val="002C1511"/>
    <w:rsid w:val="002C1547"/>
    <w:rsid w:val="002C177D"/>
    <w:rsid w:val="002C18BD"/>
    <w:rsid w:val="002C190D"/>
    <w:rsid w:val="002C1B48"/>
    <w:rsid w:val="002C22AB"/>
    <w:rsid w:val="002C26B7"/>
    <w:rsid w:val="002C27BD"/>
    <w:rsid w:val="002C27F5"/>
    <w:rsid w:val="002C28D5"/>
    <w:rsid w:val="002C2CAD"/>
    <w:rsid w:val="002C2CCC"/>
    <w:rsid w:val="002C2D4F"/>
    <w:rsid w:val="002C31B3"/>
    <w:rsid w:val="002C3A8E"/>
    <w:rsid w:val="002C3ACA"/>
    <w:rsid w:val="002C3BF0"/>
    <w:rsid w:val="002C3DC1"/>
    <w:rsid w:val="002C3E50"/>
    <w:rsid w:val="002C3E92"/>
    <w:rsid w:val="002C4156"/>
    <w:rsid w:val="002C4211"/>
    <w:rsid w:val="002C4FC3"/>
    <w:rsid w:val="002C531C"/>
    <w:rsid w:val="002C5664"/>
    <w:rsid w:val="002C59AF"/>
    <w:rsid w:val="002C6936"/>
    <w:rsid w:val="002C7627"/>
    <w:rsid w:val="002C7733"/>
    <w:rsid w:val="002D085A"/>
    <w:rsid w:val="002D0A2D"/>
    <w:rsid w:val="002D0B44"/>
    <w:rsid w:val="002D0CCC"/>
    <w:rsid w:val="002D0FA5"/>
    <w:rsid w:val="002D13A6"/>
    <w:rsid w:val="002D13F9"/>
    <w:rsid w:val="002D169E"/>
    <w:rsid w:val="002D18D5"/>
    <w:rsid w:val="002D1EF5"/>
    <w:rsid w:val="002D22F6"/>
    <w:rsid w:val="002D25C2"/>
    <w:rsid w:val="002D2645"/>
    <w:rsid w:val="002D27E1"/>
    <w:rsid w:val="002D27E5"/>
    <w:rsid w:val="002D29CA"/>
    <w:rsid w:val="002D336E"/>
    <w:rsid w:val="002D3AD0"/>
    <w:rsid w:val="002D3BB2"/>
    <w:rsid w:val="002D437F"/>
    <w:rsid w:val="002D4435"/>
    <w:rsid w:val="002D448D"/>
    <w:rsid w:val="002D4595"/>
    <w:rsid w:val="002D47EE"/>
    <w:rsid w:val="002D493A"/>
    <w:rsid w:val="002D4ECA"/>
    <w:rsid w:val="002D4F6A"/>
    <w:rsid w:val="002D552E"/>
    <w:rsid w:val="002D6F63"/>
    <w:rsid w:val="002D73E7"/>
    <w:rsid w:val="002D7990"/>
    <w:rsid w:val="002D7CB9"/>
    <w:rsid w:val="002E05A9"/>
    <w:rsid w:val="002E0E13"/>
    <w:rsid w:val="002E129A"/>
    <w:rsid w:val="002E1B36"/>
    <w:rsid w:val="002E1B93"/>
    <w:rsid w:val="002E1CA6"/>
    <w:rsid w:val="002E25DC"/>
    <w:rsid w:val="002E2620"/>
    <w:rsid w:val="002E2876"/>
    <w:rsid w:val="002E2A2C"/>
    <w:rsid w:val="002E2B2F"/>
    <w:rsid w:val="002E30CE"/>
    <w:rsid w:val="002E3B67"/>
    <w:rsid w:val="002E3F54"/>
    <w:rsid w:val="002E4245"/>
    <w:rsid w:val="002E44D5"/>
    <w:rsid w:val="002E4803"/>
    <w:rsid w:val="002E4C24"/>
    <w:rsid w:val="002E4CAF"/>
    <w:rsid w:val="002E4D3A"/>
    <w:rsid w:val="002E558A"/>
    <w:rsid w:val="002E593D"/>
    <w:rsid w:val="002E5B1B"/>
    <w:rsid w:val="002E5F80"/>
    <w:rsid w:val="002E63B1"/>
    <w:rsid w:val="002E6965"/>
    <w:rsid w:val="002E75DD"/>
    <w:rsid w:val="002E772F"/>
    <w:rsid w:val="002E77D3"/>
    <w:rsid w:val="002E7834"/>
    <w:rsid w:val="002F0032"/>
    <w:rsid w:val="002F0095"/>
    <w:rsid w:val="002F0422"/>
    <w:rsid w:val="002F0747"/>
    <w:rsid w:val="002F09CB"/>
    <w:rsid w:val="002F09EC"/>
    <w:rsid w:val="002F11C2"/>
    <w:rsid w:val="002F1313"/>
    <w:rsid w:val="002F155E"/>
    <w:rsid w:val="002F1AD5"/>
    <w:rsid w:val="002F1B54"/>
    <w:rsid w:val="002F1E2D"/>
    <w:rsid w:val="002F1E88"/>
    <w:rsid w:val="002F1F5E"/>
    <w:rsid w:val="002F20F3"/>
    <w:rsid w:val="002F2238"/>
    <w:rsid w:val="002F22F1"/>
    <w:rsid w:val="002F2784"/>
    <w:rsid w:val="002F27D7"/>
    <w:rsid w:val="002F27F4"/>
    <w:rsid w:val="002F2B1D"/>
    <w:rsid w:val="002F2D61"/>
    <w:rsid w:val="002F330C"/>
    <w:rsid w:val="002F37C8"/>
    <w:rsid w:val="002F3CCD"/>
    <w:rsid w:val="002F3FBF"/>
    <w:rsid w:val="002F44A2"/>
    <w:rsid w:val="002F45FD"/>
    <w:rsid w:val="002F46C1"/>
    <w:rsid w:val="002F4868"/>
    <w:rsid w:val="002F4C0D"/>
    <w:rsid w:val="002F51A5"/>
    <w:rsid w:val="002F52F4"/>
    <w:rsid w:val="002F5C69"/>
    <w:rsid w:val="002F5CDD"/>
    <w:rsid w:val="002F5DBE"/>
    <w:rsid w:val="002F6317"/>
    <w:rsid w:val="002F7181"/>
    <w:rsid w:val="002F72BE"/>
    <w:rsid w:val="002F7521"/>
    <w:rsid w:val="002F786C"/>
    <w:rsid w:val="002F7FA5"/>
    <w:rsid w:val="00300168"/>
    <w:rsid w:val="003005E1"/>
    <w:rsid w:val="0030083A"/>
    <w:rsid w:val="00300B9D"/>
    <w:rsid w:val="00300EFE"/>
    <w:rsid w:val="0030122A"/>
    <w:rsid w:val="00301816"/>
    <w:rsid w:val="00301D92"/>
    <w:rsid w:val="00301EF1"/>
    <w:rsid w:val="003021A1"/>
    <w:rsid w:val="00302567"/>
    <w:rsid w:val="003027D9"/>
    <w:rsid w:val="00303CD8"/>
    <w:rsid w:val="00303D5C"/>
    <w:rsid w:val="00303DF7"/>
    <w:rsid w:val="00304487"/>
    <w:rsid w:val="0030481E"/>
    <w:rsid w:val="00304A63"/>
    <w:rsid w:val="00304B86"/>
    <w:rsid w:val="00304CB0"/>
    <w:rsid w:val="003059B8"/>
    <w:rsid w:val="00306220"/>
    <w:rsid w:val="00306AAB"/>
    <w:rsid w:val="00306DBD"/>
    <w:rsid w:val="00307962"/>
    <w:rsid w:val="00307D7D"/>
    <w:rsid w:val="00307F52"/>
    <w:rsid w:val="00310DFB"/>
    <w:rsid w:val="00311A12"/>
    <w:rsid w:val="00311B1D"/>
    <w:rsid w:val="00312080"/>
    <w:rsid w:val="003122E2"/>
    <w:rsid w:val="0031230D"/>
    <w:rsid w:val="003124E9"/>
    <w:rsid w:val="0031262F"/>
    <w:rsid w:val="00312EC3"/>
    <w:rsid w:val="00313ACC"/>
    <w:rsid w:val="00313AF9"/>
    <w:rsid w:val="00313BD4"/>
    <w:rsid w:val="00313D5C"/>
    <w:rsid w:val="00313FEE"/>
    <w:rsid w:val="00314075"/>
    <w:rsid w:val="0031428C"/>
    <w:rsid w:val="00314838"/>
    <w:rsid w:val="00315A70"/>
    <w:rsid w:val="00316189"/>
    <w:rsid w:val="00316BB3"/>
    <w:rsid w:val="003174B4"/>
    <w:rsid w:val="0031778F"/>
    <w:rsid w:val="00317CDF"/>
    <w:rsid w:val="00317D7B"/>
    <w:rsid w:val="00317E55"/>
    <w:rsid w:val="0032001A"/>
    <w:rsid w:val="00320656"/>
    <w:rsid w:val="00320A07"/>
    <w:rsid w:val="00320A76"/>
    <w:rsid w:val="00320C6A"/>
    <w:rsid w:val="003213D8"/>
    <w:rsid w:val="00321560"/>
    <w:rsid w:val="003216B5"/>
    <w:rsid w:val="00321F64"/>
    <w:rsid w:val="003227B0"/>
    <w:rsid w:val="00322874"/>
    <w:rsid w:val="00322D43"/>
    <w:rsid w:val="00322F94"/>
    <w:rsid w:val="00323559"/>
    <w:rsid w:val="00323795"/>
    <w:rsid w:val="00323801"/>
    <w:rsid w:val="003238CC"/>
    <w:rsid w:val="003240C7"/>
    <w:rsid w:val="0032440B"/>
    <w:rsid w:val="00324491"/>
    <w:rsid w:val="00324E1C"/>
    <w:rsid w:val="00324E49"/>
    <w:rsid w:val="00325003"/>
    <w:rsid w:val="0032533D"/>
    <w:rsid w:val="003254EF"/>
    <w:rsid w:val="00325F60"/>
    <w:rsid w:val="0032604C"/>
    <w:rsid w:val="00326274"/>
    <w:rsid w:val="003263A0"/>
    <w:rsid w:val="00326708"/>
    <w:rsid w:val="00326824"/>
    <w:rsid w:val="00326BD5"/>
    <w:rsid w:val="003273E5"/>
    <w:rsid w:val="00327505"/>
    <w:rsid w:val="003279DE"/>
    <w:rsid w:val="00327E74"/>
    <w:rsid w:val="00330326"/>
    <w:rsid w:val="003306CE"/>
    <w:rsid w:val="00330C83"/>
    <w:rsid w:val="003318A5"/>
    <w:rsid w:val="00332616"/>
    <w:rsid w:val="00332662"/>
    <w:rsid w:val="00332B62"/>
    <w:rsid w:val="00332D08"/>
    <w:rsid w:val="00332F08"/>
    <w:rsid w:val="003335B2"/>
    <w:rsid w:val="003335F5"/>
    <w:rsid w:val="00333C90"/>
    <w:rsid w:val="0033467D"/>
    <w:rsid w:val="0033471C"/>
    <w:rsid w:val="0033525D"/>
    <w:rsid w:val="00335292"/>
    <w:rsid w:val="003353DC"/>
    <w:rsid w:val="00335927"/>
    <w:rsid w:val="003359A9"/>
    <w:rsid w:val="00335EFD"/>
    <w:rsid w:val="00336387"/>
    <w:rsid w:val="003365E9"/>
    <w:rsid w:val="00336666"/>
    <w:rsid w:val="00336A10"/>
    <w:rsid w:val="00336BC0"/>
    <w:rsid w:val="00336D24"/>
    <w:rsid w:val="00337D63"/>
    <w:rsid w:val="00337D83"/>
    <w:rsid w:val="00337E76"/>
    <w:rsid w:val="00340F27"/>
    <w:rsid w:val="00341109"/>
    <w:rsid w:val="00341A1D"/>
    <w:rsid w:val="00341C02"/>
    <w:rsid w:val="00341E53"/>
    <w:rsid w:val="00341EC7"/>
    <w:rsid w:val="003424AA"/>
    <w:rsid w:val="003424C2"/>
    <w:rsid w:val="00343C3D"/>
    <w:rsid w:val="00343C50"/>
    <w:rsid w:val="00343E2E"/>
    <w:rsid w:val="003442F7"/>
    <w:rsid w:val="00344366"/>
    <w:rsid w:val="0034436A"/>
    <w:rsid w:val="00344723"/>
    <w:rsid w:val="003447A9"/>
    <w:rsid w:val="00344A8C"/>
    <w:rsid w:val="00344BF7"/>
    <w:rsid w:val="00345012"/>
    <w:rsid w:val="00345071"/>
    <w:rsid w:val="003457B8"/>
    <w:rsid w:val="00345E1B"/>
    <w:rsid w:val="003460D4"/>
    <w:rsid w:val="00346AA9"/>
    <w:rsid w:val="00346B40"/>
    <w:rsid w:val="00346E7E"/>
    <w:rsid w:val="00346FCF"/>
    <w:rsid w:val="003471A0"/>
    <w:rsid w:val="00347758"/>
    <w:rsid w:val="0034787C"/>
    <w:rsid w:val="00347BA5"/>
    <w:rsid w:val="00350050"/>
    <w:rsid w:val="003500EA"/>
    <w:rsid w:val="00350BA5"/>
    <w:rsid w:val="0035175A"/>
    <w:rsid w:val="00351B94"/>
    <w:rsid w:val="003522D8"/>
    <w:rsid w:val="003529AE"/>
    <w:rsid w:val="00352C2A"/>
    <w:rsid w:val="00352EF9"/>
    <w:rsid w:val="00353C96"/>
    <w:rsid w:val="00354601"/>
    <w:rsid w:val="003549D2"/>
    <w:rsid w:val="00355126"/>
    <w:rsid w:val="003553F7"/>
    <w:rsid w:val="0035557A"/>
    <w:rsid w:val="00355B49"/>
    <w:rsid w:val="00355E3B"/>
    <w:rsid w:val="003566F2"/>
    <w:rsid w:val="00356A13"/>
    <w:rsid w:val="00356A4D"/>
    <w:rsid w:val="00357216"/>
    <w:rsid w:val="003572CC"/>
    <w:rsid w:val="00357522"/>
    <w:rsid w:val="00357897"/>
    <w:rsid w:val="00357910"/>
    <w:rsid w:val="00357F7F"/>
    <w:rsid w:val="00360125"/>
    <w:rsid w:val="003604E1"/>
    <w:rsid w:val="00360BF1"/>
    <w:rsid w:val="00360E6F"/>
    <w:rsid w:val="003613C9"/>
    <w:rsid w:val="00361647"/>
    <w:rsid w:val="00361B2A"/>
    <w:rsid w:val="00361B2F"/>
    <w:rsid w:val="00361DF1"/>
    <w:rsid w:val="00362066"/>
    <w:rsid w:val="00362668"/>
    <w:rsid w:val="00362839"/>
    <w:rsid w:val="00362AF9"/>
    <w:rsid w:val="00364678"/>
    <w:rsid w:val="003647B3"/>
    <w:rsid w:val="00364833"/>
    <w:rsid w:val="003649A9"/>
    <w:rsid w:val="003650B5"/>
    <w:rsid w:val="0036515E"/>
    <w:rsid w:val="003653F0"/>
    <w:rsid w:val="00365EAB"/>
    <w:rsid w:val="00366B6C"/>
    <w:rsid w:val="00366E08"/>
    <w:rsid w:val="00367279"/>
    <w:rsid w:val="0036744F"/>
    <w:rsid w:val="0036775D"/>
    <w:rsid w:val="00370442"/>
    <w:rsid w:val="003706E8"/>
    <w:rsid w:val="003707A4"/>
    <w:rsid w:val="003708FA"/>
    <w:rsid w:val="00370991"/>
    <w:rsid w:val="00370A1A"/>
    <w:rsid w:val="00371254"/>
    <w:rsid w:val="0037164B"/>
    <w:rsid w:val="00371B93"/>
    <w:rsid w:val="0037299D"/>
    <w:rsid w:val="00372AA3"/>
    <w:rsid w:val="00373175"/>
    <w:rsid w:val="00373341"/>
    <w:rsid w:val="00373807"/>
    <w:rsid w:val="00373E1B"/>
    <w:rsid w:val="00374088"/>
    <w:rsid w:val="003741FB"/>
    <w:rsid w:val="0037490E"/>
    <w:rsid w:val="0037490F"/>
    <w:rsid w:val="00374F45"/>
    <w:rsid w:val="00375133"/>
    <w:rsid w:val="003752B3"/>
    <w:rsid w:val="003755FE"/>
    <w:rsid w:val="0037588D"/>
    <w:rsid w:val="00375AC0"/>
    <w:rsid w:val="00375ADC"/>
    <w:rsid w:val="00375DB6"/>
    <w:rsid w:val="00376033"/>
    <w:rsid w:val="003761B8"/>
    <w:rsid w:val="003762FF"/>
    <w:rsid w:val="00376386"/>
    <w:rsid w:val="0037654C"/>
    <w:rsid w:val="003767AB"/>
    <w:rsid w:val="003769AF"/>
    <w:rsid w:val="00376B9A"/>
    <w:rsid w:val="00377BF0"/>
    <w:rsid w:val="00377E23"/>
    <w:rsid w:val="00377E79"/>
    <w:rsid w:val="00377F93"/>
    <w:rsid w:val="00377FCD"/>
    <w:rsid w:val="003808B8"/>
    <w:rsid w:val="00380C3C"/>
    <w:rsid w:val="00380E85"/>
    <w:rsid w:val="0038103F"/>
    <w:rsid w:val="00381203"/>
    <w:rsid w:val="00381C4F"/>
    <w:rsid w:val="00381C51"/>
    <w:rsid w:val="00381C7E"/>
    <w:rsid w:val="00381DF9"/>
    <w:rsid w:val="0038263B"/>
    <w:rsid w:val="003836E4"/>
    <w:rsid w:val="00383810"/>
    <w:rsid w:val="00384381"/>
    <w:rsid w:val="00384470"/>
    <w:rsid w:val="0038503E"/>
    <w:rsid w:val="003850C7"/>
    <w:rsid w:val="003850DC"/>
    <w:rsid w:val="00385583"/>
    <w:rsid w:val="00385736"/>
    <w:rsid w:val="0038585A"/>
    <w:rsid w:val="00385AB3"/>
    <w:rsid w:val="00385B4E"/>
    <w:rsid w:val="00385D35"/>
    <w:rsid w:val="00385D68"/>
    <w:rsid w:val="0038630C"/>
    <w:rsid w:val="003866FE"/>
    <w:rsid w:val="00386980"/>
    <w:rsid w:val="00386B49"/>
    <w:rsid w:val="00386C39"/>
    <w:rsid w:val="00386C74"/>
    <w:rsid w:val="00387590"/>
    <w:rsid w:val="00387A0D"/>
    <w:rsid w:val="00387A23"/>
    <w:rsid w:val="00387BED"/>
    <w:rsid w:val="00390197"/>
    <w:rsid w:val="00390212"/>
    <w:rsid w:val="00390CB5"/>
    <w:rsid w:val="00390F5D"/>
    <w:rsid w:val="003910A7"/>
    <w:rsid w:val="003910F6"/>
    <w:rsid w:val="003915AC"/>
    <w:rsid w:val="00391659"/>
    <w:rsid w:val="00391CE7"/>
    <w:rsid w:val="00392013"/>
    <w:rsid w:val="00392154"/>
    <w:rsid w:val="00392A02"/>
    <w:rsid w:val="00392A76"/>
    <w:rsid w:val="00392B26"/>
    <w:rsid w:val="003938DD"/>
    <w:rsid w:val="00393B8D"/>
    <w:rsid w:val="00393E33"/>
    <w:rsid w:val="003944DC"/>
    <w:rsid w:val="00394F7D"/>
    <w:rsid w:val="0039554E"/>
    <w:rsid w:val="00395ABF"/>
    <w:rsid w:val="003961C3"/>
    <w:rsid w:val="00396552"/>
    <w:rsid w:val="00396617"/>
    <w:rsid w:val="003966BF"/>
    <w:rsid w:val="0039688F"/>
    <w:rsid w:val="0039690F"/>
    <w:rsid w:val="003973D5"/>
    <w:rsid w:val="00397CA6"/>
    <w:rsid w:val="003A0380"/>
    <w:rsid w:val="003A0415"/>
    <w:rsid w:val="003A04F1"/>
    <w:rsid w:val="003A0F5B"/>
    <w:rsid w:val="003A14A3"/>
    <w:rsid w:val="003A1A8C"/>
    <w:rsid w:val="003A1BDF"/>
    <w:rsid w:val="003A202E"/>
    <w:rsid w:val="003A21D1"/>
    <w:rsid w:val="003A272F"/>
    <w:rsid w:val="003A2CAE"/>
    <w:rsid w:val="003A3275"/>
    <w:rsid w:val="003A369E"/>
    <w:rsid w:val="003A37D1"/>
    <w:rsid w:val="003A37D9"/>
    <w:rsid w:val="003A3EDE"/>
    <w:rsid w:val="003A4CF6"/>
    <w:rsid w:val="003A4DC5"/>
    <w:rsid w:val="003A56C8"/>
    <w:rsid w:val="003A5A53"/>
    <w:rsid w:val="003A5CC4"/>
    <w:rsid w:val="003A5D8E"/>
    <w:rsid w:val="003A6052"/>
    <w:rsid w:val="003A709A"/>
    <w:rsid w:val="003A733A"/>
    <w:rsid w:val="003A7F94"/>
    <w:rsid w:val="003B019D"/>
    <w:rsid w:val="003B0C5D"/>
    <w:rsid w:val="003B0D43"/>
    <w:rsid w:val="003B0DBB"/>
    <w:rsid w:val="003B1E22"/>
    <w:rsid w:val="003B2390"/>
    <w:rsid w:val="003B2633"/>
    <w:rsid w:val="003B27EC"/>
    <w:rsid w:val="003B2842"/>
    <w:rsid w:val="003B28E7"/>
    <w:rsid w:val="003B29A5"/>
    <w:rsid w:val="003B3051"/>
    <w:rsid w:val="003B330B"/>
    <w:rsid w:val="003B3AF8"/>
    <w:rsid w:val="003B42D0"/>
    <w:rsid w:val="003B432F"/>
    <w:rsid w:val="003B4ECC"/>
    <w:rsid w:val="003B53A8"/>
    <w:rsid w:val="003B54FA"/>
    <w:rsid w:val="003B5F9F"/>
    <w:rsid w:val="003B637D"/>
    <w:rsid w:val="003B6604"/>
    <w:rsid w:val="003B694A"/>
    <w:rsid w:val="003B76C1"/>
    <w:rsid w:val="003C0195"/>
    <w:rsid w:val="003C0BB4"/>
    <w:rsid w:val="003C0C0F"/>
    <w:rsid w:val="003C0CF0"/>
    <w:rsid w:val="003C170D"/>
    <w:rsid w:val="003C1830"/>
    <w:rsid w:val="003C2382"/>
    <w:rsid w:val="003C2ADD"/>
    <w:rsid w:val="003C2FF1"/>
    <w:rsid w:val="003C31EC"/>
    <w:rsid w:val="003C373F"/>
    <w:rsid w:val="003C3C0F"/>
    <w:rsid w:val="003C3C12"/>
    <w:rsid w:val="003C3DA9"/>
    <w:rsid w:val="003C3F3F"/>
    <w:rsid w:val="003C464F"/>
    <w:rsid w:val="003C4C19"/>
    <w:rsid w:val="003C536A"/>
    <w:rsid w:val="003C597D"/>
    <w:rsid w:val="003C5A02"/>
    <w:rsid w:val="003C5C30"/>
    <w:rsid w:val="003C5C82"/>
    <w:rsid w:val="003C6A9D"/>
    <w:rsid w:val="003C6DAE"/>
    <w:rsid w:val="003C6DC2"/>
    <w:rsid w:val="003C6E52"/>
    <w:rsid w:val="003C6F40"/>
    <w:rsid w:val="003C6FE2"/>
    <w:rsid w:val="003C79CE"/>
    <w:rsid w:val="003D026E"/>
    <w:rsid w:val="003D041A"/>
    <w:rsid w:val="003D10CE"/>
    <w:rsid w:val="003D17AC"/>
    <w:rsid w:val="003D2106"/>
    <w:rsid w:val="003D22DD"/>
    <w:rsid w:val="003D23CF"/>
    <w:rsid w:val="003D2578"/>
    <w:rsid w:val="003D286C"/>
    <w:rsid w:val="003D2A3C"/>
    <w:rsid w:val="003D2D68"/>
    <w:rsid w:val="003D2F58"/>
    <w:rsid w:val="003D333F"/>
    <w:rsid w:val="003D3500"/>
    <w:rsid w:val="003D3876"/>
    <w:rsid w:val="003D3E31"/>
    <w:rsid w:val="003D451F"/>
    <w:rsid w:val="003D45A4"/>
    <w:rsid w:val="003D503D"/>
    <w:rsid w:val="003D55E0"/>
    <w:rsid w:val="003D5A63"/>
    <w:rsid w:val="003D6008"/>
    <w:rsid w:val="003D65C5"/>
    <w:rsid w:val="003D6C69"/>
    <w:rsid w:val="003D7536"/>
    <w:rsid w:val="003D77FF"/>
    <w:rsid w:val="003D7D46"/>
    <w:rsid w:val="003E0009"/>
    <w:rsid w:val="003E038D"/>
    <w:rsid w:val="003E1356"/>
    <w:rsid w:val="003E1E5C"/>
    <w:rsid w:val="003E1EFB"/>
    <w:rsid w:val="003E20A0"/>
    <w:rsid w:val="003E2470"/>
    <w:rsid w:val="003E24EE"/>
    <w:rsid w:val="003E25B5"/>
    <w:rsid w:val="003E2841"/>
    <w:rsid w:val="003E2BD0"/>
    <w:rsid w:val="003E2C80"/>
    <w:rsid w:val="003E3169"/>
    <w:rsid w:val="003E37BB"/>
    <w:rsid w:val="003E39C2"/>
    <w:rsid w:val="003E3C24"/>
    <w:rsid w:val="003E40BE"/>
    <w:rsid w:val="003E430E"/>
    <w:rsid w:val="003E549B"/>
    <w:rsid w:val="003E54D0"/>
    <w:rsid w:val="003E58C9"/>
    <w:rsid w:val="003E5BB4"/>
    <w:rsid w:val="003E60A9"/>
    <w:rsid w:val="003E60C9"/>
    <w:rsid w:val="003E665A"/>
    <w:rsid w:val="003E66C3"/>
    <w:rsid w:val="003E6BB4"/>
    <w:rsid w:val="003E7083"/>
    <w:rsid w:val="003E76E8"/>
    <w:rsid w:val="003E7B3A"/>
    <w:rsid w:val="003E7D59"/>
    <w:rsid w:val="003E7F22"/>
    <w:rsid w:val="003E7F43"/>
    <w:rsid w:val="003F12B0"/>
    <w:rsid w:val="003F13F1"/>
    <w:rsid w:val="003F1754"/>
    <w:rsid w:val="003F1794"/>
    <w:rsid w:val="003F1A70"/>
    <w:rsid w:val="003F1BF1"/>
    <w:rsid w:val="003F1F7F"/>
    <w:rsid w:val="003F23E8"/>
    <w:rsid w:val="003F2883"/>
    <w:rsid w:val="003F32A0"/>
    <w:rsid w:val="003F411A"/>
    <w:rsid w:val="003F4199"/>
    <w:rsid w:val="003F4206"/>
    <w:rsid w:val="003F4407"/>
    <w:rsid w:val="003F503B"/>
    <w:rsid w:val="003F52DC"/>
    <w:rsid w:val="003F538E"/>
    <w:rsid w:val="003F561A"/>
    <w:rsid w:val="003F60B9"/>
    <w:rsid w:val="003F617E"/>
    <w:rsid w:val="003F6A55"/>
    <w:rsid w:val="003F72EA"/>
    <w:rsid w:val="003F77D5"/>
    <w:rsid w:val="003F78AF"/>
    <w:rsid w:val="003F7BBB"/>
    <w:rsid w:val="003F7D74"/>
    <w:rsid w:val="003F7DD4"/>
    <w:rsid w:val="0040006B"/>
    <w:rsid w:val="00400938"/>
    <w:rsid w:val="00400AC2"/>
    <w:rsid w:val="00400CB2"/>
    <w:rsid w:val="00400D6C"/>
    <w:rsid w:val="0040148D"/>
    <w:rsid w:val="00401773"/>
    <w:rsid w:val="0040180C"/>
    <w:rsid w:val="00401F63"/>
    <w:rsid w:val="00401F94"/>
    <w:rsid w:val="00402337"/>
    <w:rsid w:val="00402AF2"/>
    <w:rsid w:val="00402E0D"/>
    <w:rsid w:val="0040369D"/>
    <w:rsid w:val="00403A96"/>
    <w:rsid w:val="00403E4C"/>
    <w:rsid w:val="004047A6"/>
    <w:rsid w:val="00404CD4"/>
    <w:rsid w:val="00405A40"/>
    <w:rsid w:val="00405E75"/>
    <w:rsid w:val="0040637A"/>
    <w:rsid w:val="0040707F"/>
    <w:rsid w:val="004073AA"/>
    <w:rsid w:val="004073B7"/>
    <w:rsid w:val="00407850"/>
    <w:rsid w:val="004078F7"/>
    <w:rsid w:val="004108BF"/>
    <w:rsid w:val="00410CBE"/>
    <w:rsid w:val="00410E2E"/>
    <w:rsid w:val="0041146D"/>
    <w:rsid w:val="004118C6"/>
    <w:rsid w:val="00411C27"/>
    <w:rsid w:val="00411EF6"/>
    <w:rsid w:val="00411F4F"/>
    <w:rsid w:val="004122C9"/>
    <w:rsid w:val="0041268A"/>
    <w:rsid w:val="00412D83"/>
    <w:rsid w:val="004131D8"/>
    <w:rsid w:val="0041339F"/>
    <w:rsid w:val="0041340E"/>
    <w:rsid w:val="0041343B"/>
    <w:rsid w:val="004136B9"/>
    <w:rsid w:val="00413856"/>
    <w:rsid w:val="00413864"/>
    <w:rsid w:val="00413A91"/>
    <w:rsid w:val="00413F8E"/>
    <w:rsid w:val="00414023"/>
    <w:rsid w:val="00414038"/>
    <w:rsid w:val="00414B94"/>
    <w:rsid w:val="00414F41"/>
    <w:rsid w:val="004150DC"/>
    <w:rsid w:val="00415241"/>
    <w:rsid w:val="00415526"/>
    <w:rsid w:val="00415BD2"/>
    <w:rsid w:val="00415CC8"/>
    <w:rsid w:val="00415DA7"/>
    <w:rsid w:val="00415E66"/>
    <w:rsid w:val="00415F75"/>
    <w:rsid w:val="0041654A"/>
    <w:rsid w:val="004168DF"/>
    <w:rsid w:val="0041740F"/>
    <w:rsid w:val="00417989"/>
    <w:rsid w:val="00417BED"/>
    <w:rsid w:val="00417DBB"/>
    <w:rsid w:val="0042029E"/>
    <w:rsid w:val="004203A7"/>
    <w:rsid w:val="0042085A"/>
    <w:rsid w:val="004209A8"/>
    <w:rsid w:val="00420A1B"/>
    <w:rsid w:val="00421167"/>
    <w:rsid w:val="004211BD"/>
    <w:rsid w:val="004223A8"/>
    <w:rsid w:val="004223AC"/>
    <w:rsid w:val="004227A4"/>
    <w:rsid w:val="00422808"/>
    <w:rsid w:val="00422CA0"/>
    <w:rsid w:val="00422D51"/>
    <w:rsid w:val="004232CC"/>
    <w:rsid w:val="004239A1"/>
    <w:rsid w:val="00423B10"/>
    <w:rsid w:val="00423E5B"/>
    <w:rsid w:val="004245A6"/>
    <w:rsid w:val="00424AD9"/>
    <w:rsid w:val="004252F3"/>
    <w:rsid w:val="004258A5"/>
    <w:rsid w:val="00425A63"/>
    <w:rsid w:val="004262F3"/>
    <w:rsid w:val="0042666D"/>
    <w:rsid w:val="004266BF"/>
    <w:rsid w:val="00426C52"/>
    <w:rsid w:val="00426D0C"/>
    <w:rsid w:val="0042728C"/>
    <w:rsid w:val="004273A4"/>
    <w:rsid w:val="00427584"/>
    <w:rsid w:val="00427836"/>
    <w:rsid w:val="00427F10"/>
    <w:rsid w:val="00427FD4"/>
    <w:rsid w:val="00430298"/>
    <w:rsid w:val="00430317"/>
    <w:rsid w:val="00430C99"/>
    <w:rsid w:val="00430E85"/>
    <w:rsid w:val="00431926"/>
    <w:rsid w:val="00432B92"/>
    <w:rsid w:val="00432CC2"/>
    <w:rsid w:val="00432E20"/>
    <w:rsid w:val="00433090"/>
    <w:rsid w:val="00433251"/>
    <w:rsid w:val="00434203"/>
    <w:rsid w:val="00434402"/>
    <w:rsid w:val="00434620"/>
    <w:rsid w:val="00434735"/>
    <w:rsid w:val="00434AEA"/>
    <w:rsid w:val="00434DBC"/>
    <w:rsid w:val="004350B8"/>
    <w:rsid w:val="004354C6"/>
    <w:rsid w:val="004361DD"/>
    <w:rsid w:val="00436721"/>
    <w:rsid w:val="004367C8"/>
    <w:rsid w:val="00437199"/>
    <w:rsid w:val="004374DB"/>
    <w:rsid w:val="00437CDC"/>
    <w:rsid w:val="00437D0E"/>
    <w:rsid w:val="00437DD5"/>
    <w:rsid w:val="00437F76"/>
    <w:rsid w:val="0044076E"/>
    <w:rsid w:val="00440861"/>
    <w:rsid w:val="00441791"/>
    <w:rsid w:val="004418B7"/>
    <w:rsid w:val="00441B1A"/>
    <w:rsid w:val="00441B20"/>
    <w:rsid w:val="00442330"/>
    <w:rsid w:val="004424A8"/>
    <w:rsid w:val="00442763"/>
    <w:rsid w:val="00442A17"/>
    <w:rsid w:val="00442F65"/>
    <w:rsid w:val="00443188"/>
    <w:rsid w:val="00443FC9"/>
    <w:rsid w:val="004440C2"/>
    <w:rsid w:val="00444EC1"/>
    <w:rsid w:val="00444ED1"/>
    <w:rsid w:val="00444F15"/>
    <w:rsid w:val="00444F22"/>
    <w:rsid w:val="004453CD"/>
    <w:rsid w:val="004454A4"/>
    <w:rsid w:val="004463A5"/>
    <w:rsid w:val="004463E9"/>
    <w:rsid w:val="00446777"/>
    <w:rsid w:val="004475BF"/>
    <w:rsid w:val="0044773B"/>
    <w:rsid w:val="00447D0A"/>
    <w:rsid w:val="00447E0D"/>
    <w:rsid w:val="00450452"/>
    <w:rsid w:val="00450F7E"/>
    <w:rsid w:val="00451587"/>
    <w:rsid w:val="00451C53"/>
    <w:rsid w:val="00452C44"/>
    <w:rsid w:val="00452F0B"/>
    <w:rsid w:val="00453692"/>
    <w:rsid w:val="00453FA2"/>
    <w:rsid w:val="0045410A"/>
    <w:rsid w:val="0045476D"/>
    <w:rsid w:val="004548B6"/>
    <w:rsid w:val="004549B9"/>
    <w:rsid w:val="00454A9E"/>
    <w:rsid w:val="00455216"/>
    <w:rsid w:val="00455414"/>
    <w:rsid w:val="0045591B"/>
    <w:rsid w:val="00455926"/>
    <w:rsid w:val="00455E60"/>
    <w:rsid w:val="00455E71"/>
    <w:rsid w:val="004563BE"/>
    <w:rsid w:val="00456575"/>
    <w:rsid w:val="0045660A"/>
    <w:rsid w:val="00456647"/>
    <w:rsid w:val="00456A97"/>
    <w:rsid w:val="00456EAD"/>
    <w:rsid w:val="004573D0"/>
    <w:rsid w:val="00457C71"/>
    <w:rsid w:val="004609FA"/>
    <w:rsid w:val="00460A20"/>
    <w:rsid w:val="00460E21"/>
    <w:rsid w:val="0046128C"/>
    <w:rsid w:val="0046137F"/>
    <w:rsid w:val="004614CB"/>
    <w:rsid w:val="00461565"/>
    <w:rsid w:val="00461CF3"/>
    <w:rsid w:val="004625A8"/>
    <w:rsid w:val="00462690"/>
    <w:rsid w:val="00462BE2"/>
    <w:rsid w:val="004630C1"/>
    <w:rsid w:val="00463201"/>
    <w:rsid w:val="00463A73"/>
    <w:rsid w:val="00463EA9"/>
    <w:rsid w:val="00464696"/>
    <w:rsid w:val="00464738"/>
    <w:rsid w:val="00465100"/>
    <w:rsid w:val="004655D8"/>
    <w:rsid w:val="004656BD"/>
    <w:rsid w:val="004663EA"/>
    <w:rsid w:val="0046648B"/>
    <w:rsid w:val="004669C7"/>
    <w:rsid w:val="00466BC5"/>
    <w:rsid w:val="00466C22"/>
    <w:rsid w:val="00466EB4"/>
    <w:rsid w:val="004670A8"/>
    <w:rsid w:val="00467161"/>
    <w:rsid w:val="0046732F"/>
    <w:rsid w:val="004675B0"/>
    <w:rsid w:val="00467F11"/>
    <w:rsid w:val="00470946"/>
    <w:rsid w:val="00470E8A"/>
    <w:rsid w:val="00470F25"/>
    <w:rsid w:val="0047136E"/>
    <w:rsid w:val="0047170C"/>
    <w:rsid w:val="004727F0"/>
    <w:rsid w:val="00472CA9"/>
    <w:rsid w:val="0047342A"/>
    <w:rsid w:val="00473A7C"/>
    <w:rsid w:val="00473F92"/>
    <w:rsid w:val="004748E9"/>
    <w:rsid w:val="00474E28"/>
    <w:rsid w:val="00475589"/>
    <w:rsid w:val="0047563E"/>
    <w:rsid w:val="00475E71"/>
    <w:rsid w:val="0047657C"/>
    <w:rsid w:val="0047660C"/>
    <w:rsid w:val="00476645"/>
    <w:rsid w:val="00476925"/>
    <w:rsid w:val="00477162"/>
    <w:rsid w:val="00477242"/>
    <w:rsid w:val="0047734F"/>
    <w:rsid w:val="004773AF"/>
    <w:rsid w:val="00477413"/>
    <w:rsid w:val="00477B09"/>
    <w:rsid w:val="00477F20"/>
    <w:rsid w:val="004800BC"/>
    <w:rsid w:val="00480688"/>
    <w:rsid w:val="00480CD8"/>
    <w:rsid w:val="00481946"/>
    <w:rsid w:val="00481FCF"/>
    <w:rsid w:val="004822D2"/>
    <w:rsid w:val="00482487"/>
    <w:rsid w:val="00482731"/>
    <w:rsid w:val="0048282D"/>
    <w:rsid w:val="00482A60"/>
    <w:rsid w:val="00482E54"/>
    <w:rsid w:val="004836DB"/>
    <w:rsid w:val="00483A92"/>
    <w:rsid w:val="00483D08"/>
    <w:rsid w:val="0048404E"/>
    <w:rsid w:val="00484D6F"/>
    <w:rsid w:val="004855DA"/>
    <w:rsid w:val="00485959"/>
    <w:rsid w:val="00486692"/>
    <w:rsid w:val="0048696A"/>
    <w:rsid w:val="00486AB4"/>
    <w:rsid w:val="00486E51"/>
    <w:rsid w:val="00487101"/>
    <w:rsid w:val="00487185"/>
    <w:rsid w:val="00487596"/>
    <w:rsid w:val="00487F76"/>
    <w:rsid w:val="00490013"/>
    <w:rsid w:val="0049034C"/>
    <w:rsid w:val="00490773"/>
    <w:rsid w:val="00490853"/>
    <w:rsid w:val="00490B18"/>
    <w:rsid w:val="00490CD3"/>
    <w:rsid w:val="00490EF4"/>
    <w:rsid w:val="00491179"/>
    <w:rsid w:val="004912C3"/>
    <w:rsid w:val="004916E5"/>
    <w:rsid w:val="004916F7"/>
    <w:rsid w:val="0049194E"/>
    <w:rsid w:val="004921BB"/>
    <w:rsid w:val="0049231B"/>
    <w:rsid w:val="00493204"/>
    <w:rsid w:val="0049397F"/>
    <w:rsid w:val="00493B77"/>
    <w:rsid w:val="00494CF8"/>
    <w:rsid w:val="00494D9F"/>
    <w:rsid w:val="00494DCA"/>
    <w:rsid w:val="00495381"/>
    <w:rsid w:val="00495CE4"/>
    <w:rsid w:val="00496413"/>
    <w:rsid w:val="00496A94"/>
    <w:rsid w:val="00496C79"/>
    <w:rsid w:val="00496EB4"/>
    <w:rsid w:val="00497045"/>
    <w:rsid w:val="004970D7"/>
    <w:rsid w:val="004974E7"/>
    <w:rsid w:val="00497675"/>
    <w:rsid w:val="004977A1"/>
    <w:rsid w:val="004977C7"/>
    <w:rsid w:val="00497BD0"/>
    <w:rsid w:val="00497CF3"/>
    <w:rsid w:val="004A0BE7"/>
    <w:rsid w:val="004A0E87"/>
    <w:rsid w:val="004A125C"/>
    <w:rsid w:val="004A1541"/>
    <w:rsid w:val="004A1BEB"/>
    <w:rsid w:val="004A1CF9"/>
    <w:rsid w:val="004A1DFE"/>
    <w:rsid w:val="004A2491"/>
    <w:rsid w:val="004A26BD"/>
    <w:rsid w:val="004A278E"/>
    <w:rsid w:val="004A2DAE"/>
    <w:rsid w:val="004A2EA9"/>
    <w:rsid w:val="004A34A9"/>
    <w:rsid w:val="004A350E"/>
    <w:rsid w:val="004A3519"/>
    <w:rsid w:val="004A39F5"/>
    <w:rsid w:val="004A3E8A"/>
    <w:rsid w:val="004A49CE"/>
    <w:rsid w:val="004A50B5"/>
    <w:rsid w:val="004A5224"/>
    <w:rsid w:val="004A5645"/>
    <w:rsid w:val="004A59DC"/>
    <w:rsid w:val="004A5B44"/>
    <w:rsid w:val="004A5E03"/>
    <w:rsid w:val="004A5E79"/>
    <w:rsid w:val="004A5EF2"/>
    <w:rsid w:val="004A770D"/>
    <w:rsid w:val="004A78A9"/>
    <w:rsid w:val="004A7E4B"/>
    <w:rsid w:val="004B014D"/>
    <w:rsid w:val="004B0517"/>
    <w:rsid w:val="004B05D3"/>
    <w:rsid w:val="004B0684"/>
    <w:rsid w:val="004B0E55"/>
    <w:rsid w:val="004B1224"/>
    <w:rsid w:val="004B1386"/>
    <w:rsid w:val="004B1C8A"/>
    <w:rsid w:val="004B1CB4"/>
    <w:rsid w:val="004B1F07"/>
    <w:rsid w:val="004B1F8C"/>
    <w:rsid w:val="004B2A09"/>
    <w:rsid w:val="004B2D51"/>
    <w:rsid w:val="004B33C0"/>
    <w:rsid w:val="004B3DCB"/>
    <w:rsid w:val="004B41E4"/>
    <w:rsid w:val="004B42C5"/>
    <w:rsid w:val="004B4595"/>
    <w:rsid w:val="004B4B42"/>
    <w:rsid w:val="004B4E02"/>
    <w:rsid w:val="004B520F"/>
    <w:rsid w:val="004B59FF"/>
    <w:rsid w:val="004B6154"/>
    <w:rsid w:val="004B65CE"/>
    <w:rsid w:val="004B674F"/>
    <w:rsid w:val="004B6D0F"/>
    <w:rsid w:val="004B6D64"/>
    <w:rsid w:val="004B759C"/>
    <w:rsid w:val="004B75EF"/>
    <w:rsid w:val="004B795D"/>
    <w:rsid w:val="004B7BA9"/>
    <w:rsid w:val="004C0065"/>
    <w:rsid w:val="004C033F"/>
    <w:rsid w:val="004C047B"/>
    <w:rsid w:val="004C0A21"/>
    <w:rsid w:val="004C0D85"/>
    <w:rsid w:val="004C16F7"/>
    <w:rsid w:val="004C20F6"/>
    <w:rsid w:val="004C27EE"/>
    <w:rsid w:val="004C2D65"/>
    <w:rsid w:val="004C2F65"/>
    <w:rsid w:val="004C30C8"/>
    <w:rsid w:val="004C3337"/>
    <w:rsid w:val="004C3AFC"/>
    <w:rsid w:val="004C404A"/>
    <w:rsid w:val="004C40B7"/>
    <w:rsid w:val="004C470F"/>
    <w:rsid w:val="004C4B39"/>
    <w:rsid w:val="004C4DF4"/>
    <w:rsid w:val="004C5452"/>
    <w:rsid w:val="004C5DA1"/>
    <w:rsid w:val="004C610E"/>
    <w:rsid w:val="004C7185"/>
    <w:rsid w:val="004C7411"/>
    <w:rsid w:val="004C759A"/>
    <w:rsid w:val="004C7651"/>
    <w:rsid w:val="004C77AE"/>
    <w:rsid w:val="004C780D"/>
    <w:rsid w:val="004D0246"/>
    <w:rsid w:val="004D0B05"/>
    <w:rsid w:val="004D0F0B"/>
    <w:rsid w:val="004D1184"/>
    <w:rsid w:val="004D11BE"/>
    <w:rsid w:val="004D129A"/>
    <w:rsid w:val="004D1F71"/>
    <w:rsid w:val="004D2377"/>
    <w:rsid w:val="004D24B5"/>
    <w:rsid w:val="004D27CB"/>
    <w:rsid w:val="004D2EF0"/>
    <w:rsid w:val="004D350D"/>
    <w:rsid w:val="004D353D"/>
    <w:rsid w:val="004D38E5"/>
    <w:rsid w:val="004D431B"/>
    <w:rsid w:val="004D451D"/>
    <w:rsid w:val="004D4CFE"/>
    <w:rsid w:val="004D575A"/>
    <w:rsid w:val="004D6078"/>
    <w:rsid w:val="004D6490"/>
    <w:rsid w:val="004D6F49"/>
    <w:rsid w:val="004D7DC6"/>
    <w:rsid w:val="004E0074"/>
    <w:rsid w:val="004E0331"/>
    <w:rsid w:val="004E0345"/>
    <w:rsid w:val="004E03D3"/>
    <w:rsid w:val="004E0710"/>
    <w:rsid w:val="004E0B64"/>
    <w:rsid w:val="004E0FB9"/>
    <w:rsid w:val="004E10BF"/>
    <w:rsid w:val="004E1443"/>
    <w:rsid w:val="004E14D4"/>
    <w:rsid w:val="004E1675"/>
    <w:rsid w:val="004E1ADD"/>
    <w:rsid w:val="004E1BE6"/>
    <w:rsid w:val="004E210B"/>
    <w:rsid w:val="004E211B"/>
    <w:rsid w:val="004E2631"/>
    <w:rsid w:val="004E2BE4"/>
    <w:rsid w:val="004E3418"/>
    <w:rsid w:val="004E37CF"/>
    <w:rsid w:val="004E3985"/>
    <w:rsid w:val="004E3C7F"/>
    <w:rsid w:val="004E3D92"/>
    <w:rsid w:val="004E4352"/>
    <w:rsid w:val="004E4B38"/>
    <w:rsid w:val="004E4B91"/>
    <w:rsid w:val="004E4F78"/>
    <w:rsid w:val="004E5004"/>
    <w:rsid w:val="004E504A"/>
    <w:rsid w:val="004E51B6"/>
    <w:rsid w:val="004E53C4"/>
    <w:rsid w:val="004E5519"/>
    <w:rsid w:val="004E6C79"/>
    <w:rsid w:val="004E6F8F"/>
    <w:rsid w:val="004E7189"/>
    <w:rsid w:val="004F046E"/>
    <w:rsid w:val="004F050D"/>
    <w:rsid w:val="004F0528"/>
    <w:rsid w:val="004F0762"/>
    <w:rsid w:val="004F09CB"/>
    <w:rsid w:val="004F133C"/>
    <w:rsid w:val="004F195C"/>
    <w:rsid w:val="004F1B5C"/>
    <w:rsid w:val="004F1D76"/>
    <w:rsid w:val="004F24F9"/>
    <w:rsid w:val="004F298E"/>
    <w:rsid w:val="004F2AAF"/>
    <w:rsid w:val="004F2B15"/>
    <w:rsid w:val="004F2E8D"/>
    <w:rsid w:val="004F397D"/>
    <w:rsid w:val="004F424D"/>
    <w:rsid w:val="004F458D"/>
    <w:rsid w:val="004F4665"/>
    <w:rsid w:val="004F4746"/>
    <w:rsid w:val="004F4BFA"/>
    <w:rsid w:val="004F4DC5"/>
    <w:rsid w:val="004F5026"/>
    <w:rsid w:val="004F5226"/>
    <w:rsid w:val="004F5A25"/>
    <w:rsid w:val="004F6568"/>
    <w:rsid w:val="004F6663"/>
    <w:rsid w:val="004F6717"/>
    <w:rsid w:val="004F673B"/>
    <w:rsid w:val="004F67D5"/>
    <w:rsid w:val="004F7705"/>
    <w:rsid w:val="004F77A2"/>
    <w:rsid w:val="0050081A"/>
    <w:rsid w:val="00501194"/>
    <w:rsid w:val="005015D1"/>
    <w:rsid w:val="00501ABD"/>
    <w:rsid w:val="00502094"/>
    <w:rsid w:val="0050275D"/>
    <w:rsid w:val="00502F69"/>
    <w:rsid w:val="00503839"/>
    <w:rsid w:val="00503CA7"/>
    <w:rsid w:val="005049C0"/>
    <w:rsid w:val="00504AF2"/>
    <w:rsid w:val="00504EF4"/>
    <w:rsid w:val="005050B6"/>
    <w:rsid w:val="00505F7D"/>
    <w:rsid w:val="00506A6D"/>
    <w:rsid w:val="00506BAD"/>
    <w:rsid w:val="005102B8"/>
    <w:rsid w:val="00510380"/>
    <w:rsid w:val="005106CB"/>
    <w:rsid w:val="00510BAF"/>
    <w:rsid w:val="0051118F"/>
    <w:rsid w:val="00511BC4"/>
    <w:rsid w:val="00511F58"/>
    <w:rsid w:val="005120C8"/>
    <w:rsid w:val="00512346"/>
    <w:rsid w:val="0051256A"/>
    <w:rsid w:val="00512576"/>
    <w:rsid w:val="00512BE9"/>
    <w:rsid w:val="00512C0B"/>
    <w:rsid w:val="00512ED9"/>
    <w:rsid w:val="00512FB3"/>
    <w:rsid w:val="00513105"/>
    <w:rsid w:val="00513196"/>
    <w:rsid w:val="0051330C"/>
    <w:rsid w:val="00513335"/>
    <w:rsid w:val="005133EE"/>
    <w:rsid w:val="00513741"/>
    <w:rsid w:val="005139F0"/>
    <w:rsid w:val="005141D2"/>
    <w:rsid w:val="00514447"/>
    <w:rsid w:val="00514629"/>
    <w:rsid w:val="00514B21"/>
    <w:rsid w:val="00514BAC"/>
    <w:rsid w:val="00514F3D"/>
    <w:rsid w:val="0051534A"/>
    <w:rsid w:val="00515520"/>
    <w:rsid w:val="00515869"/>
    <w:rsid w:val="00515B4E"/>
    <w:rsid w:val="00515BDD"/>
    <w:rsid w:val="00515F72"/>
    <w:rsid w:val="00516778"/>
    <w:rsid w:val="005176A6"/>
    <w:rsid w:val="00517C76"/>
    <w:rsid w:val="005202BB"/>
    <w:rsid w:val="00520AEE"/>
    <w:rsid w:val="005215D1"/>
    <w:rsid w:val="00522913"/>
    <w:rsid w:val="00522D2F"/>
    <w:rsid w:val="0052366C"/>
    <w:rsid w:val="0052367B"/>
    <w:rsid w:val="00523AEF"/>
    <w:rsid w:val="00524360"/>
    <w:rsid w:val="00524FC3"/>
    <w:rsid w:val="0052536F"/>
    <w:rsid w:val="005254A1"/>
    <w:rsid w:val="005256BC"/>
    <w:rsid w:val="00526928"/>
    <w:rsid w:val="00526A85"/>
    <w:rsid w:val="00526D31"/>
    <w:rsid w:val="00527AEC"/>
    <w:rsid w:val="00527BD4"/>
    <w:rsid w:val="005302D4"/>
    <w:rsid w:val="0053058C"/>
    <w:rsid w:val="00530A41"/>
    <w:rsid w:val="00530AA1"/>
    <w:rsid w:val="00530C63"/>
    <w:rsid w:val="00530C6B"/>
    <w:rsid w:val="00530DE1"/>
    <w:rsid w:val="005313F8"/>
    <w:rsid w:val="0053167D"/>
    <w:rsid w:val="00531C88"/>
    <w:rsid w:val="00532410"/>
    <w:rsid w:val="005325AD"/>
    <w:rsid w:val="00532849"/>
    <w:rsid w:val="0053284A"/>
    <w:rsid w:val="00532B10"/>
    <w:rsid w:val="005341B7"/>
    <w:rsid w:val="0053460C"/>
    <w:rsid w:val="00534B25"/>
    <w:rsid w:val="005352F8"/>
    <w:rsid w:val="0053579C"/>
    <w:rsid w:val="00535A31"/>
    <w:rsid w:val="00535A99"/>
    <w:rsid w:val="00535B6C"/>
    <w:rsid w:val="00536010"/>
    <w:rsid w:val="00536216"/>
    <w:rsid w:val="00536457"/>
    <w:rsid w:val="005366A9"/>
    <w:rsid w:val="00537A68"/>
    <w:rsid w:val="00537B52"/>
    <w:rsid w:val="00537CE0"/>
    <w:rsid w:val="0054019B"/>
    <w:rsid w:val="00540B96"/>
    <w:rsid w:val="0054112E"/>
    <w:rsid w:val="0054130F"/>
    <w:rsid w:val="0054132E"/>
    <w:rsid w:val="0054169C"/>
    <w:rsid w:val="00541BB8"/>
    <w:rsid w:val="00541D04"/>
    <w:rsid w:val="00542BAE"/>
    <w:rsid w:val="00542DF3"/>
    <w:rsid w:val="00543023"/>
    <w:rsid w:val="00543033"/>
    <w:rsid w:val="00543203"/>
    <w:rsid w:val="005433A7"/>
    <w:rsid w:val="005439D6"/>
    <w:rsid w:val="00543ABA"/>
    <w:rsid w:val="0054492D"/>
    <w:rsid w:val="00544978"/>
    <w:rsid w:val="00545509"/>
    <w:rsid w:val="005459DE"/>
    <w:rsid w:val="005464EF"/>
    <w:rsid w:val="0054677E"/>
    <w:rsid w:val="00546B16"/>
    <w:rsid w:val="00546C0D"/>
    <w:rsid w:val="00546C90"/>
    <w:rsid w:val="0054729E"/>
    <w:rsid w:val="00547324"/>
    <w:rsid w:val="00550302"/>
    <w:rsid w:val="00550D72"/>
    <w:rsid w:val="00550E4E"/>
    <w:rsid w:val="00550F87"/>
    <w:rsid w:val="00551BF1"/>
    <w:rsid w:val="0055209B"/>
    <w:rsid w:val="005521B6"/>
    <w:rsid w:val="005522A8"/>
    <w:rsid w:val="00552606"/>
    <w:rsid w:val="00552D1B"/>
    <w:rsid w:val="00552DBC"/>
    <w:rsid w:val="00552DCF"/>
    <w:rsid w:val="00553268"/>
    <w:rsid w:val="0055364B"/>
    <w:rsid w:val="0055376E"/>
    <w:rsid w:val="005542E3"/>
    <w:rsid w:val="0055435E"/>
    <w:rsid w:val="00554571"/>
    <w:rsid w:val="005545A5"/>
    <w:rsid w:val="0055468B"/>
    <w:rsid w:val="005546DB"/>
    <w:rsid w:val="005548FC"/>
    <w:rsid w:val="005549AD"/>
    <w:rsid w:val="0055546F"/>
    <w:rsid w:val="00555606"/>
    <w:rsid w:val="005556D8"/>
    <w:rsid w:val="005556E1"/>
    <w:rsid w:val="00556392"/>
    <w:rsid w:val="005566DA"/>
    <w:rsid w:val="00556C92"/>
    <w:rsid w:val="00556E49"/>
    <w:rsid w:val="005572F1"/>
    <w:rsid w:val="00557A23"/>
    <w:rsid w:val="00557E46"/>
    <w:rsid w:val="00557FFB"/>
    <w:rsid w:val="0056021A"/>
    <w:rsid w:val="005603C4"/>
    <w:rsid w:val="00560426"/>
    <w:rsid w:val="00560B58"/>
    <w:rsid w:val="00560F17"/>
    <w:rsid w:val="00561429"/>
    <w:rsid w:val="0056157D"/>
    <w:rsid w:val="00561988"/>
    <w:rsid w:val="00561F8F"/>
    <w:rsid w:val="00561FEA"/>
    <w:rsid w:val="00562663"/>
    <w:rsid w:val="005628C4"/>
    <w:rsid w:val="00563027"/>
    <w:rsid w:val="005636C0"/>
    <w:rsid w:val="00563939"/>
    <w:rsid w:val="00563C4E"/>
    <w:rsid w:val="00563E4E"/>
    <w:rsid w:val="00563EAB"/>
    <w:rsid w:val="00564939"/>
    <w:rsid w:val="00564A5C"/>
    <w:rsid w:val="00564D3B"/>
    <w:rsid w:val="005652FC"/>
    <w:rsid w:val="00565332"/>
    <w:rsid w:val="00565823"/>
    <w:rsid w:val="00565C32"/>
    <w:rsid w:val="00565CCA"/>
    <w:rsid w:val="00565ED2"/>
    <w:rsid w:val="00565F4C"/>
    <w:rsid w:val="005667FF"/>
    <w:rsid w:val="005669E2"/>
    <w:rsid w:val="00566A6A"/>
    <w:rsid w:val="00566E4B"/>
    <w:rsid w:val="0056715F"/>
    <w:rsid w:val="00567202"/>
    <w:rsid w:val="0056744F"/>
    <w:rsid w:val="005679AE"/>
    <w:rsid w:val="00567A35"/>
    <w:rsid w:val="005700A1"/>
    <w:rsid w:val="005702CC"/>
    <w:rsid w:val="0057096E"/>
    <w:rsid w:val="00570C5F"/>
    <w:rsid w:val="00570FD6"/>
    <w:rsid w:val="0057123F"/>
    <w:rsid w:val="00571EB9"/>
    <w:rsid w:val="00573156"/>
    <w:rsid w:val="0057340F"/>
    <w:rsid w:val="00573A7A"/>
    <w:rsid w:val="00574714"/>
    <w:rsid w:val="00574947"/>
    <w:rsid w:val="00576384"/>
    <w:rsid w:val="00576B60"/>
    <w:rsid w:val="00577938"/>
    <w:rsid w:val="00577A96"/>
    <w:rsid w:val="00577BA2"/>
    <w:rsid w:val="005804A5"/>
    <w:rsid w:val="00580573"/>
    <w:rsid w:val="00580C09"/>
    <w:rsid w:val="00580E0C"/>
    <w:rsid w:val="00580E3E"/>
    <w:rsid w:val="00581F8F"/>
    <w:rsid w:val="00582D56"/>
    <w:rsid w:val="0058323E"/>
    <w:rsid w:val="0058354F"/>
    <w:rsid w:val="00583C53"/>
    <w:rsid w:val="00583DF4"/>
    <w:rsid w:val="0058492F"/>
    <w:rsid w:val="00584AFA"/>
    <w:rsid w:val="00584B3F"/>
    <w:rsid w:val="00584F95"/>
    <w:rsid w:val="00585402"/>
    <w:rsid w:val="0058574D"/>
    <w:rsid w:val="00585899"/>
    <w:rsid w:val="00585C2E"/>
    <w:rsid w:val="00585DE8"/>
    <w:rsid w:val="005860EA"/>
    <w:rsid w:val="005861E1"/>
    <w:rsid w:val="0058651B"/>
    <w:rsid w:val="005865DB"/>
    <w:rsid w:val="00586EAD"/>
    <w:rsid w:val="0058747F"/>
    <w:rsid w:val="005875EE"/>
    <w:rsid w:val="00587737"/>
    <w:rsid w:val="005878ED"/>
    <w:rsid w:val="0058799E"/>
    <w:rsid w:val="00590462"/>
    <w:rsid w:val="00590B47"/>
    <w:rsid w:val="00590FE4"/>
    <w:rsid w:val="0059141F"/>
    <w:rsid w:val="005915E3"/>
    <w:rsid w:val="005917D3"/>
    <w:rsid w:val="00591E3D"/>
    <w:rsid w:val="00592542"/>
    <w:rsid w:val="0059272D"/>
    <w:rsid w:val="0059295E"/>
    <w:rsid w:val="00592D34"/>
    <w:rsid w:val="00593014"/>
    <w:rsid w:val="00593801"/>
    <w:rsid w:val="00593A61"/>
    <w:rsid w:val="00593AD5"/>
    <w:rsid w:val="00593DC8"/>
    <w:rsid w:val="005947E3"/>
    <w:rsid w:val="00595590"/>
    <w:rsid w:val="005958D4"/>
    <w:rsid w:val="00595DF0"/>
    <w:rsid w:val="00596726"/>
    <w:rsid w:val="00596DDC"/>
    <w:rsid w:val="0059707C"/>
    <w:rsid w:val="00597895"/>
    <w:rsid w:val="005979DD"/>
    <w:rsid w:val="005A00CB"/>
    <w:rsid w:val="005A05E3"/>
    <w:rsid w:val="005A0768"/>
    <w:rsid w:val="005A07DC"/>
    <w:rsid w:val="005A1127"/>
    <w:rsid w:val="005A1EC8"/>
    <w:rsid w:val="005A203E"/>
    <w:rsid w:val="005A2655"/>
    <w:rsid w:val="005A3048"/>
    <w:rsid w:val="005A32B4"/>
    <w:rsid w:val="005A35F5"/>
    <w:rsid w:val="005A38DE"/>
    <w:rsid w:val="005A3A7D"/>
    <w:rsid w:val="005A3C9F"/>
    <w:rsid w:val="005A3D89"/>
    <w:rsid w:val="005A4135"/>
    <w:rsid w:val="005A4726"/>
    <w:rsid w:val="005A4772"/>
    <w:rsid w:val="005A4D11"/>
    <w:rsid w:val="005A5394"/>
    <w:rsid w:val="005A56FB"/>
    <w:rsid w:val="005A6310"/>
    <w:rsid w:val="005A6387"/>
    <w:rsid w:val="005A6986"/>
    <w:rsid w:val="005A6DDB"/>
    <w:rsid w:val="005A7006"/>
    <w:rsid w:val="005A738B"/>
    <w:rsid w:val="005A78C6"/>
    <w:rsid w:val="005A7A29"/>
    <w:rsid w:val="005A7FD0"/>
    <w:rsid w:val="005B04F5"/>
    <w:rsid w:val="005B08EC"/>
    <w:rsid w:val="005B0CAD"/>
    <w:rsid w:val="005B0D16"/>
    <w:rsid w:val="005B0D9C"/>
    <w:rsid w:val="005B122B"/>
    <w:rsid w:val="005B1408"/>
    <w:rsid w:val="005B1886"/>
    <w:rsid w:val="005B1C5D"/>
    <w:rsid w:val="005B2196"/>
    <w:rsid w:val="005B25B6"/>
    <w:rsid w:val="005B2D10"/>
    <w:rsid w:val="005B300E"/>
    <w:rsid w:val="005B3225"/>
    <w:rsid w:val="005B3276"/>
    <w:rsid w:val="005B32D6"/>
    <w:rsid w:val="005B3465"/>
    <w:rsid w:val="005B390A"/>
    <w:rsid w:val="005B3D57"/>
    <w:rsid w:val="005B3F02"/>
    <w:rsid w:val="005B4081"/>
    <w:rsid w:val="005B408B"/>
    <w:rsid w:val="005B4586"/>
    <w:rsid w:val="005B5484"/>
    <w:rsid w:val="005B6605"/>
    <w:rsid w:val="005B6633"/>
    <w:rsid w:val="005B67E3"/>
    <w:rsid w:val="005B6D00"/>
    <w:rsid w:val="005B6F21"/>
    <w:rsid w:val="005B6F5D"/>
    <w:rsid w:val="005B715A"/>
    <w:rsid w:val="005B74C9"/>
    <w:rsid w:val="005B7F52"/>
    <w:rsid w:val="005C0214"/>
    <w:rsid w:val="005C05A9"/>
    <w:rsid w:val="005C0663"/>
    <w:rsid w:val="005C130D"/>
    <w:rsid w:val="005C1654"/>
    <w:rsid w:val="005C180B"/>
    <w:rsid w:val="005C1EE9"/>
    <w:rsid w:val="005C25D7"/>
    <w:rsid w:val="005C276E"/>
    <w:rsid w:val="005C280B"/>
    <w:rsid w:val="005C2A71"/>
    <w:rsid w:val="005C2D46"/>
    <w:rsid w:val="005C3CFF"/>
    <w:rsid w:val="005C3E72"/>
    <w:rsid w:val="005C40A3"/>
    <w:rsid w:val="005C42C1"/>
    <w:rsid w:val="005C431F"/>
    <w:rsid w:val="005C4AEC"/>
    <w:rsid w:val="005C4B12"/>
    <w:rsid w:val="005C4DBD"/>
    <w:rsid w:val="005C516B"/>
    <w:rsid w:val="005C53A5"/>
    <w:rsid w:val="005C56CD"/>
    <w:rsid w:val="005C5704"/>
    <w:rsid w:val="005C5778"/>
    <w:rsid w:val="005C57BB"/>
    <w:rsid w:val="005C5C0D"/>
    <w:rsid w:val="005C600A"/>
    <w:rsid w:val="005C63BF"/>
    <w:rsid w:val="005C65F5"/>
    <w:rsid w:val="005C6749"/>
    <w:rsid w:val="005C67C8"/>
    <w:rsid w:val="005C6971"/>
    <w:rsid w:val="005C6BDA"/>
    <w:rsid w:val="005C707C"/>
    <w:rsid w:val="005C7165"/>
    <w:rsid w:val="005C71B9"/>
    <w:rsid w:val="005C7340"/>
    <w:rsid w:val="005C73A3"/>
    <w:rsid w:val="005C7CE3"/>
    <w:rsid w:val="005C7E9C"/>
    <w:rsid w:val="005D00E9"/>
    <w:rsid w:val="005D036B"/>
    <w:rsid w:val="005D0C07"/>
    <w:rsid w:val="005D103A"/>
    <w:rsid w:val="005D1048"/>
    <w:rsid w:val="005D153B"/>
    <w:rsid w:val="005D1D45"/>
    <w:rsid w:val="005D1EED"/>
    <w:rsid w:val="005D2083"/>
    <w:rsid w:val="005D24D7"/>
    <w:rsid w:val="005D28E4"/>
    <w:rsid w:val="005D2A21"/>
    <w:rsid w:val="005D2A50"/>
    <w:rsid w:val="005D2B57"/>
    <w:rsid w:val="005D30EB"/>
    <w:rsid w:val="005D31D8"/>
    <w:rsid w:val="005D362B"/>
    <w:rsid w:val="005D3C01"/>
    <w:rsid w:val="005D4085"/>
    <w:rsid w:val="005D4660"/>
    <w:rsid w:val="005D4670"/>
    <w:rsid w:val="005D4A8C"/>
    <w:rsid w:val="005D4E80"/>
    <w:rsid w:val="005D5D80"/>
    <w:rsid w:val="005D5DCA"/>
    <w:rsid w:val="005D5F36"/>
    <w:rsid w:val="005D6526"/>
    <w:rsid w:val="005D652C"/>
    <w:rsid w:val="005D7512"/>
    <w:rsid w:val="005D7B0D"/>
    <w:rsid w:val="005E017F"/>
    <w:rsid w:val="005E01B8"/>
    <w:rsid w:val="005E0A29"/>
    <w:rsid w:val="005E0E72"/>
    <w:rsid w:val="005E0F79"/>
    <w:rsid w:val="005E1991"/>
    <w:rsid w:val="005E1B55"/>
    <w:rsid w:val="005E1D5F"/>
    <w:rsid w:val="005E1D95"/>
    <w:rsid w:val="005E23F0"/>
    <w:rsid w:val="005E27A7"/>
    <w:rsid w:val="005E2807"/>
    <w:rsid w:val="005E282A"/>
    <w:rsid w:val="005E2F86"/>
    <w:rsid w:val="005E34BA"/>
    <w:rsid w:val="005E38F1"/>
    <w:rsid w:val="005E414C"/>
    <w:rsid w:val="005E4490"/>
    <w:rsid w:val="005E47DE"/>
    <w:rsid w:val="005E4C16"/>
    <w:rsid w:val="005E57B1"/>
    <w:rsid w:val="005E5EAA"/>
    <w:rsid w:val="005E67EA"/>
    <w:rsid w:val="005E6B63"/>
    <w:rsid w:val="005E75DC"/>
    <w:rsid w:val="005E7791"/>
    <w:rsid w:val="005E77C4"/>
    <w:rsid w:val="005F004C"/>
    <w:rsid w:val="005F0149"/>
    <w:rsid w:val="005F016A"/>
    <w:rsid w:val="005F041F"/>
    <w:rsid w:val="005F1289"/>
    <w:rsid w:val="005F1B23"/>
    <w:rsid w:val="005F2D74"/>
    <w:rsid w:val="005F361B"/>
    <w:rsid w:val="005F3BC9"/>
    <w:rsid w:val="005F3C0C"/>
    <w:rsid w:val="005F3FC1"/>
    <w:rsid w:val="005F44F4"/>
    <w:rsid w:val="005F49BD"/>
    <w:rsid w:val="005F5354"/>
    <w:rsid w:val="005F5366"/>
    <w:rsid w:val="005F557A"/>
    <w:rsid w:val="005F584E"/>
    <w:rsid w:val="005F5964"/>
    <w:rsid w:val="005F61C4"/>
    <w:rsid w:val="005F6861"/>
    <w:rsid w:val="005F69A6"/>
    <w:rsid w:val="005F6C43"/>
    <w:rsid w:val="005F6D76"/>
    <w:rsid w:val="005F6FFA"/>
    <w:rsid w:val="005F72A2"/>
    <w:rsid w:val="005F773C"/>
    <w:rsid w:val="005F7CDE"/>
    <w:rsid w:val="0060031F"/>
    <w:rsid w:val="00600739"/>
    <w:rsid w:val="00600B09"/>
    <w:rsid w:val="00600CB5"/>
    <w:rsid w:val="00601607"/>
    <w:rsid w:val="00602E17"/>
    <w:rsid w:val="00602E8E"/>
    <w:rsid w:val="006030DF"/>
    <w:rsid w:val="006037CF"/>
    <w:rsid w:val="0060382F"/>
    <w:rsid w:val="00603A88"/>
    <w:rsid w:val="0060438F"/>
    <w:rsid w:val="006043B7"/>
    <w:rsid w:val="00604757"/>
    <w:rsid w:val="00604CE8"/>
    <w:rsid w:val="006052B7"/>
    <w:rsid w:val="006056E3"/>
    <w:rsid w:val="00605D83"/>
    <w:rsid w:val="00605F89"/>
    <w:rsid w:val="006063B4"/>
    <w:rsid w:val="00606470"/>
    <w:rsid w:val="0060670B"/>
    <w:rsid w:val="0060724E"/>
    <w:rsid w:val="00607A84"/>
    <w:rsid w:val="00610489"/>
    <w:rsid w:val="006104D5"/>
    <w:rsid w:val="006104E7"/>
    <w:rsid w:val="006105BC"/>
    <w:rsid w:val="00610815"/>
    <w:rsid w:val="00610923"/>
    <w:rsid w:val="00610E38"/>
    <w:rsid w:val="00610EBF"/>
    <w:rsid w:val="00611BAC"/>
    <w:rsid w:val="006122F7"/>
    <w:rsid w:val="00612305"/>
    <w:rsid w:val="00612A44"/>
    <w:rsid w:val="00612D22"/>
    <w:rsid w:val="00612E67"/>
    <w:rsid w:val="0061421C"/>
    <w:rsid w:val="00614C07"/>
    <w:rsid w:val="006150CB"/>
    <w:rsid w:val="006153A5"/>
    <w:rsid w:val="0061572E"/>
    <w:rsid w:val="0061578E"/>
    <w:rsid w:val="00615A83"/>
    <w:rsid w:val="00615B86"/>
    <w:rsid w:val="00615CC6"/>
    <w:rsid w:val="00615E29"/>
    <w:rsid w:val="00616188"/>
    <w:rsid w:val="006164D2"/>
    <w:rsid w:val="006167D1"/>
    <w:rsid w:val="00616E25"/>
    <w:rsid w:val="006172AE"/>
    <w:rsid w:val="00617D67"/>
    <w:rsid w:val="00617DDD"/>
    <w:rsid w:val="00617FFD"/>
    <w:rsid w:val="00620136"/>
    <w:rsid w:val="006201C7"/>
    <w:rsid w:val="00620450"/>
    <w:rsid w:val="00620D03"/>
    <w:rsid w:val="00620DD7"/>
    <w:rsid w:val="006211C1"/>
    <w:rsid w:val="00621214"/>
    <w:rsid w:val="0062177F"/>
    <w:rsid w:val="00621959"/>
    <w:rsid w:val="00621AB9"/>
    <w:rsid w:val="00621BE4"/>
    <w:rsid w:val="00621D3E"/>
    <w:rsid w:val="00622375"/>
    <w:rsid w:val="00622AA6"/>
    <w:rsid w:val="00622D1D"/>
    <w:rsid w:val="00624005"/>
    <w:rsid w:val="00624144"/>
    <w:rsid w:val="006246D2"/>
    <w:rsid w:val="006248BB"/>
    <w:rsid w:val="00625A22"/>
    <w:rsid w:val="00625F09"/>
    <w:rsid w:val="00626CD8"/>
    <w:rsid w:val="00626CE6"/>
    <w:rsid w:val="00626D8F"/>
    <w:rsid w:val="0062709D"/>
    <w:rsid w:val="006272F9"/>
    <w:rsid w:val="00627DCF"/>
    <w:rsid w:val="00630113"/>
    <w:rsid w:val="00631183"/>
    <w:rsid w:val="00631415"/>
    <w:rsid w:val="00631695"/>
    <w:rsid w:val="00631778"/>
    <w:rsid w:val="00631F73"/>
    <w:rsid w:val="006329E3"/>
    <w:rsid w:val="00632EC5"/>
    <w:rsid w:val="00632EC8"/>
    <w:rsid w:val="006331D0"/>
    <w:rsid w:val="006332DF"/>
    <w:rsid w:val="00634326"/>
    <w:rsid w:val="00634384"/>
    <w:rsid w:val="00634614"/>
    <w:rsid w:val="00634693"/>
    <w:rsid w:val="0063475A"/>
    <w:rsid w:val="00634B3B"/>
    <w:rsid w:val="006351D6"/>
    <w:rsid w:val="00635787"/>
    <w:rsid w:val="0063596E"/>
    <w:rsid w:val="00635996"/>
    <w:rsid w:val="0063682D"/>
    <w:rsid w:val="0063743E"/>
    <w:rsid w:val="006374B7"/>
    <w:rsid w:val="0063759D"/>
    <w:rsid w:val="00637817"/>
    <w:rsid w:val="00637CC4"/>
    <w:rsid w:val="00640129"/>
    <w:rsid w:val="0064044F"/>
    <w:rsid w:val="00640644"/>
    <w:rsid w:val="00640C3B"/>
    <w:rsid w:val="0064101D"/>
    <w:rsid w:val="00641357"/>
    <w:rsid w:val="0064194E"/>
    <w:rsid w:val="00641B8A"/>
    <w:rsid w:val="00641EFA"/>
    <w:rsid w:val="006421A7"/>
    <w:rsid w:val="00642600"/>
    <w:rsid w:val="00642CA1"/>
    <w:rsid w:val="00642CB9"/>
    <w:rsid w:val="00642DA1"/>
    <w:rsid w:val="006430ED"/>
    <w:rsid w:val="0064366F"/>
    <w:rsid w:val="006436F6"/>
    <w:rsid w:val="00643A23"/>
    <w:rsid w:val="00643A49"/>
    <w:rsid w:val="00643CD3"/>
    <w:rsid w:val="00643EE1"/>
    <w:rsid w:val="006440FD"/>
    <w:rsid w:val="00644104"/>
    <w:rsid w:val="0064419D"/>
    <w:rsid w:val="00644828"/>
    <w:rsid w:val="0064512C"/>
    <w:rsid w:val="006454DE"/>
    <w:rsid w:val="00645D6C"/>
    <w:rsid w:val="006464DA"/>
    <w:rsid w:val="006469A4"/>
    <w:rsid w:val="00647C79"/>
    <w:rsid w:val="00650622"/>
    <w:rsid w:val="00650C28"/>
    <w:rsid w:val="00650C7F"/>
    <w:rsid w:val="00650EC7"/>
    <w:rsid w:val="00651736"/>
    <w:rsid w:val="00651A35"/>
    <w:rsid w:val="00651D6F"/>
    <w:rsid w:val="00651EBA"/>
    <w:rsid w:val="006525A8"/>
    <w:rsid w:val="0065356E"/>
    <w:rsid w:val="006536E7"/>
    <w:rsid w:val="00653C35"/>
    <w:rsid w:val="0065489F"/>
    <w:rsid w:val="006549DF"/>
    <w:rsid w:val="00654A11"/>
    <w:rsid w:val="00654A75"/>
    <w:rsid w:val="00654AE2"/>
    <w:rsid w:val="0065532B"/>
    <w:rsid w:val="00655483"/>
    <w:rsid w:val="00655B97"/>
    <w:rsid w:val="00656308"/>
    <w:rsid w:val="00656B3A"/>
    <w:rsid w:val="00656CAB"/>
    <w:rsid w:val="00657CC3"/>
    <w:rsid w:val="00657D29"/>
    <w:rsid w:val="00657DC0"/>
    <w:rsid w:val="00657EBF"/>
    <w:rsid w:val="0066037E"/>
    <w:rsid w:val="00660AA8"/>
    <w:rsid w:val="00660CAE"/>
    <w:rsid w:val="006619D3"/>
    <w:rsid w:val="006626ED"/>
    <w:rsid w:val="00662972"/>
    <w:rsid w:val="00662ACB"/>
    <w:rsid w:val="00663245"/>
    <w:rsid w:val="006637DF"/>
    <w:rsid w:val="006639E7"/>
    <w:rsid w:val="00663D18"/>
    <w:rsid w:val="00663D7F"/>
    <w:rsid w:val="00663FEC"/>
    <w:rsid w:val="00664326"/>
    <w:rsid w:val="006647EB"/>
    <w:rsid w:val="00666240"/>
    <w:rsid w:val="00666388"/>
    <w:rsid w:val="00666434"/>
    <w:rsid w:val="006664D9"/>
    <w:rsid w:val="00666E5B"/>
    <w:rsid w:val="00666F21"/>
    <w:rsid w:val="00666F84"/>
    <w:rsid w:val="00666F91"/>
    <w:rsid w:val="00667066"/>
    <w:rsid w:val="0066785A"/>
    <w:rsid w:val="006678DF"/>
    <w:rsid w:val="00671520"/>
    <w:rsid w:val="00671BBE"/>
    <w:rsid w:val="00672588"/>
    <w:rsid w:val="00672717"/>
    <w:rsid w:val="00672B05"/>
    <w:rsid w:val="0067327F"/>
    <w:rsid w:val="00673582"/>
    <w:rsid w:val="0067390D"/>
    <w:rsid w:val="00673F6F"/>
    <w:rsid w:val="006740FC"/>
    <w:rsid w:val="0067410A"/>
    <w:rsid w:val="006742E9"/>
    <w:rsid w:val="0067440B"/>
    <w:rsid w:val="00674735"/>
    <w:rsid w:val="00674EFD"/>
    <w:rsid w:val="00674FCF"/>
    <w:rsid w:val="00674FE5"/>
    <w:rsid w:val="0067554D"/>
    <w:rsid w:val="006756B7"/>
    <w:rsid w:val="00675775"/>
    <w:rsid w:val="00675FC9"/>
    <w:rsid w:val="006770B5"/>
    <w:rsid w:val="006775A5"/>
    <w:rsid w:val="006775C5"/>
    <w:rsid w:val="00677B6E"/>
    <w:rsid w:val="00677D31"/>
    <w:rsid w:val="00677E3D"/>
    <w:rsid w:val="00680F77"/>
    <w:rsid w:val="006815BD"/>
    <w:rsid w:val="006818A4"/>
    <w:rsid w:val="006827F8"/>
    <w:rsid w:val="00683D98"/>
    <w:rsid w:val="00683FD3"/>
    <w:rsid w:val="00684EF8"/>
    <w:rsid w:val="00685148"/>
    <w:rsid w:val="006851F0"/>
    <w:rsid w:val="0068550E"/>
    <w:rsid w:val="006857AB"/>
    <w:rsid w:val="00686075"/>
    <w:rsid w:val="006861F1"/>
    <w:rsid w:val="00686643"/>
    <w:rsid w:val="00686902"/>
    <w:rsid w:val="00687161"/>
    <w:rsid w:val="00687225"/>
    <w:rsid w:val="006874AF"/>
    <w:rsid w:val="006902E2"/>
    <w:rsid w:val="00690470"/>
    <w:rsid w:val="006905D5"/>
    <w:rsid w:val="0069081F"/>
    <w:rsid w:val="00690BDD"/>
    <w:rsid w:val="00690CB8"/>
    <w:rsid w:val="00690F65"/>
    <w:rsid w:val="0069150A"/>
    <w:rsid w:val="00691704"/>
    <w:rsid w:val="00691F24"/>
    <w:rsid w:val="006921C9"/>
    <w:rsid w:val="0069220B"/>
    <w:rsid w:val="006924E2"/>
    <w:rsid w:val="00692655"/>
    <w:rsid w:val="006931D6"/>
    <w:rsid w:val="00693508"/>
    <w:rsid w:val="00693671"/>
    <w:rsid w:val="006938F3"/>
    <w:rsid w:val="00693D81"/>
    <w:rsid w:val="0069447C"/>
    <w:rsid w:val="00694694"/>
    <w:rsid w:val="006948F8"/>
    <w:rsid w:val="00694A9A"/>
    <w:rsid w:val="0069515E"/>
    <w:rsid w:val="00695784"/>
    <w:rsid w:val="00695D52"/>
    <w:rsid w:val="00696323"/>
    <w:rsid w:val="006966A3"/>
    <w:rsid w:val="0069676A"/>
    <w:rsid w:val="00696856"/>
    <w:rsid w:val="00697126"/>
    <w:rsid w:val="006977CB"/>
    <w:rsid w:val="006977FB"/>
    <w:rsid w:val="0069781E"/>
    <w:rsid w:val="00697C3C"/>
    <w:rsid w:val="00697DB0"/>
    <w:rsid w:val="006A037C"/>
    <w:rsid w:val="006A0511"/>
    <w:rsid w:val="006A0B65"/>
    <w:rsid w:val="006A14A8"/>
    <w:rsid w:val="006A14F9"/>
    <w:rsid w:val="006A1548"/>
    <w:rsid w:val="006A17AB"/>
    <w:rsid w:val="006A18B8"/>
    <w:rsid w:val="006A1AE9"/>
    <w:rsid w:val="006A220B"/>
    <w:rsid w:val="006A228D"/>
    <w:rsid w:val="006A2480"/>
    <w:rsid w:val="006A26AC"/>
    <w:rsid w:val="006A2B33"/>
    <w:rsid w:val="006A2D4B"/>
    <w:rsid w:val="006A2DD6"/>
    <w:rsid w:val="006A2E62"/>
    <w:rsid w:val="006A2EAC"/>
    <w:rsid w:val="006A2EB6"/>
    <w:rsid w:val="006A31F8"/>
    <w:rsid w:val="006A3224"/>
    <w:rsid w:val="006A353F"/>
    <w:rsid w:val="006A356E"/>
    <w:rsid w:val="006A3921"/>
    <w:rsid w:val="006A3963"/>
    <w:rsid w:val="006A3E12"/>
    <w:rsid w:val="006A4002"/>
    <w:rsid w:val="006A4363"/>
    <w:rsid w:val="006A47EA"/>
    <w:rsid w:val="006A49D4"/>
    <w:rsid w:val="006A4A07"/>
    <w:rsid w:val="006A52F0"/>
    <w:rsid w:val="006A5357"/>
    <w:rsid w:val="006A5359"/>
    <w:rsid w:val="006A5401"/>
    <w:rsid w:val="006A5572"/>
    <w:rsid w:val="006A6609"/>
    <w:rsid w:val="006A6740"/>
    <w:rsid w:val="006A69BA"/>
    <w:rsid w:val="006A6A7F"/>
    <w:rsid w:val="006A7711"/>
    <w:rsid w:val="006A7CB0"/>
    <w:rsid w:val="006B03C5"/>
    <w:rsid w:val="006B046D"/>
    <w:rsid w:val="006B070A"/>
    <w:rsid w:val="006B16D3"/>
    <w:rsid w:val="006B1AC2"/>
    <w:rsid w:val="006B1B6C"/>
    <w:rsid w:val="006B1E5B"/>
    <w:rsid w:val="006B1EC9"/>
    <w:rsid w:val="006B1F07"/>
    <w:rsid w:val="006B1F69"/>
    <w:rsid w:val="006B21CA"/>
    <w:rsid w:val="006B2391"/>
    <w:rsid w:val="006B2B90"/>
    <w:rsid w:val="006B2D24"/>
    <w:rsid w:val="006B2E60"/>
    <w:rsid w:val="006B2EC3"/>
    <w:rsid w:val="006B2F94"/>
    <w:rsid w:val="006B337C"/>
    <w:rsid w:val="006B3465"/>
    <w:rsid w:val="006B36D4"/>
    <w:rsid w:val="006B3736"/>
    <w:rsid w:val="006B3742"/>
    <w:rsid w:val="006B3DFF"/>
    <w:rsid w:val="006B4948"/>
    <w:rsid w:val="006B4A77"/>
    <w:rsid w:val="006B52BE"/>
    <w:rsid w:val="006B56F8"/>
    <w:rsid w:val="006B5D49"/>
    <w:rsid w:val="006B5D80"/>
    <w:rsid w:val="006B60F6"/>
    <w:rsid w:val="006B62E1"/>
    <w:rsid w:val="006B6523"/>
    <w:rsid w:val="006B66EC"/>
    <w:rsid w:val="006B6988"/>
    <w:rsid w:val="006B6F43"/>
    <w:rsid w:val="006B70A0"/>
    <w:rsid w:val="006B7120"/>
    <w:rsid w:val="006B7C87"/>
    <w:rsid w:val="006B7DF3"/>
    <w:rsid w:val="006B7FCC"/>
    <w:rsid w:val="006C000F"/>
    <w:rsid w:val="006C0147"/>
    <w:rsid w:val="006C0732"/>
    <w:rsid w:val="006C115F"/>
    <w:rsid w:val="006C1DD8"/>
    <w:rsid w:val="006C1E12"/>
    <w:rsid w:val="006C2388"/>
    <w:rsid w:val="006C2521"/>
    <w:rsid w:val="006C25D5"/>
    <w:rsid w:val="006C2683"/>
    <w:rsid w:val="006C2AC2"/>
    <w:rsid w:val="006C2E77"/>
    <w:rsid w:val="006C330B"/>
    <w:rsid w:val="006C3656"/>
    <w:rsid w:val="006C3B0D"/>
    <w:rsid w:val="006C3ED4"/>
    <w:rsid w:val="006C3EDF"/>
    <w:rsid w:val="006C4157"/>
    <w:rsid w:val="006C42B0"/>
    <w:rsid w:val="006C4332"/>
    <w:rsid w:val="006C436E"/>
    <w:rsid w:val="006C4825"/>
    <w:rsid w:val="006C49A1"/>
    <w:rsid w:val="006C4B1E"/>
    <w:rsid w:val="006C4B32"/>
    <w:rsid w:val="006C4CC7"/>
    <w:rsid w:val="006C4FD2"/>
    <w:rsid w:val="006C503D"/>
    <w:rsid w:val="006C528A"/>
    <w:rsid w:val="006C54BA"/>
    <w:rsid w:val="006C55B5"/>
    <w:rsid w:val="006C5693"/>
    <w:rsid w:val="006C577B"/>
    <w:rsid w:val="006C5C0C"/>
    <w:rsid w:val="006C5F47"/>
    <w:rsid w:val="006C680F"/>
    <w:rsid w:val="006C7943"/>
    <w:rsid w:val="006C7960"/>
    <w:rsid w:val="006C7E34"/>
    <w:rsid w:val="006D0556"/>
    <w:rsid w:val="006D15F4"/>
    <w:rsid w:val="006D17A6"/>
    <w:rsid w:val="006D194F"/>
    <w:rsid w:val="006D1CAA"/>
    <w:rsid w:val="006D21C8"/>
    <w:rsid w:val="006D2231"/>
    <w:rsid w:val="006D243E"/>
    <w:rsid w:val="006D24CD"/>
    <w:rsid w:val="006D2512"/>
    <w:rsid w:val="006D2800"/>
    <w:rsid w:val="006D32EA"/>
    <w:rsid w:val="006D3890"/>
    <w:rsid w:val="006D398C"/>
    <w:rsid w:val="006D3C82"/>
    <w:rsid w:val="006D42DF"/>
    <w:rsid w:val="006D4DAD"/>
    <w:rsid w:val="006D4EA9"/>
    <w:rsid w:val="006D52D7"/>
    <w:rsid w:val="006D5AB1"/>
    <w:rsid w:val="006D5AEA"/>
    <w:rsid w:val="006D5B2E"/>
    <w:rsid w:val="006D61B5"/>
    <w:rsid w:val="006D7656"/>
    <w:rsid w:val="006D7707"/>
    <w:rsid w:val="006D7C75"/>
    <w:rsid w:val="006D7C87"/>
    <w:rsid w:val="006D7D38"/>
    <w:rsid w:val="006E0C38"/>
    <w:rsid w:val="006E0FE3"/>
    <w:rsid w:val="006E189D"/>
    <w:rsid w:val="006E27D2"/>
    <w:rsid w:val="006E2BAD"/>
    <w:rsid w:val="006E2CBD"/>
    <w:rsid w:val="006E3106"/>
    <w:rsid w:val="006E362F"/>
    <w:rsid w:val="006E373A"/>
    <w:rsid w:val="006E3A01"/>
    <w:rsid w:val="006E3B0E"/>
    <w:rsid w:val="006E3C50"/>
    <w:rsid w:val="006E3D97"/>
    <w:rsid w:val="006E5020"/>
    <w:rsid w:val="006E5287"/>
    <w:rsid w:val="006E57E7"/>
    <w:rsid w:val="006E5918"/>
    <w:rsid w:val="006E5E8D"/>
    <w:rsid w:val="006E640E"/>
    <w:rsid w:val="006E68DF"/>
    <w:rsid w:val="006E68E5"/>
    <w:rsid w:val="006E70BD"/>
    <w:rsid w:val="006E77DE"/>
    <w:rsid w:val="006E7DA5"/>
    <w:rsid w:val="006E7F13"/>
    <w:rsid w:val="006E7F38"/>
    <w:rsid w:val="006F0000"/>
    <w:rsid w:val="006F0199"/>
    <w:rsid w:val="006F0244"/>
    <w:rsid w:val="006F0ACE"/>
    <w:rsid w:val="006F0DC2"/>
    <w:rsid w:val="006F10C1"/>
    <w:rsid w:val="006F126C"/>
    <w:rsid w:val="006F14C5"/>
    <w:rsid w:val="006F18D1"/>
    <w:rsid w:val="006F19D4"/>
    <w:rsid w:val="006F1E23"/>
    <w:rsid w:val="006F2679"/>
    <w:rsid w:val="006F26F9"/>
    <w:rsid w:val="006F2832"/>
    <w:rsid w:val="006F320E"/>
    <w:rsid w:val="006F369C"/>
    <w:rsid w:val="006F37A8"/>
    <w:rsid w:val="006F3B39"/>
    <w:rsid w:val="006F554A"/>
    <w:rsid w:val="006F5FC7"/>
    <w:rsid w:val="006F6735"/>
    <w:rsid w:val="006F6CD8"/>
    <w:rsid w:val="006F71DB"/>
    <w:rsid w:val="006F79E8"/>
    <w:rsid w:val="006F79ED"/>
    <w:rsid w:val="006F7CE9"/>
    <w:rsid w:val="006F7FA6"/>
    <w:rsid w:val="00700541"/>
    <w:rsid w:val="0070061E"/>
    <w:rsid w:val="00700708"/>
    <w:rsid w:val="007007C3"/>
    <w:rsid w:val="00700F2C"/>
    <w:rsid w:val="007019B6"/>
    <w:rsid w:val="00702975"/>
    <w:rsid w:val="0070312D"/>
    <w:rsid w:val="007032B6"/>
    <w:rsid w:val="0070330A"/>
    <w:rsid w:val="00703714"/>
    <w:rsid w:val="00703CEF"/>
    <w:rsid w:val="007041C4"/>
    <w:rsid w:val="00704514"/>
    <w:rsid w:val="00704940"/>
    <w:rsid w:val="00704A74"/>
    <w:rsid w:val="00704D7D"/>
    <w:rsid w:val="00704FC8"/>
    <w:rsid w:val="00707023"/>
    <w:rsid w:val="00707885"/>
    <w:rsid w:val="007102A5"/>
    <w:rsid w:val="00710B1D"/>
    <w:rsid w:val="00710BB6"/>
    <w:rsid w:val="00711A1B"/>
    <w:rsid w:val="00711A52"/>
    <w:rsid w:val="007129B3"/>
    <w:rsid w:val="00712DB4"/>
    <w:rsid w:val="0071327A"/>
    <w:rsid w:val="00713473"/>
    <w:rsid w:val="00714283"/>
    <w:rsid w:val="0071481C"/>
    <w:rsid w:val="00714B9D"/>
    <w:rsid w:val="00714F6D"/>
    <w:rsid w:val="007150C1"/>
    <w:rsid w:val="007154E8"/>
    <w:rsid w:val="007157C0"/>
    <w:rsid w:val="007157E1"/>
    <w:rsid w:val="00717970"/>
    <w:rsid w:val="00717D83"/>
    <w:rsid w:val="00717EC3"/>
    <w:rsid w:val="00720307"/>
    <w:rsid w:val="007212BA"/>
    <w:rsid w:val="007212ED"/>
    <w:rsid w:val="00721412"/>
    <w:rsid w:val="00721497"/>
    <w:rsid w:val="00721B3C"/>
    <w:rsid w:val="00721C0F"/>
    <w:rsid w:val="00721CB8"/>
    <w:rsid w:val="00722120"/>
    <w:rsid w:val="007228B9"/>
    <w:rsid w:val="00722C1D"/>
    <w:rsid w:val="00722C31"/>
    <w:rsid w:val="00723020"/>
    <w:rsid w:val="0072346B"/>
    <w:rsid w:val="0072376D"/>
    <w:rsid w:val="00723BF3"/>
    <w:rsid w:val="00723C61"/>
    <w:rsid w:val="00723E31"/>
    <w:rsid w:val="00724FE8"/>
    <w:rsid w:val="00725245"/>
    <w:rsid w:val="0072558C"/>
    <w:rsid w:val="00725A15"/>
    <w:rsid w:val="00725CA4"/>
    <w:rsid w:val="00725FBD"/>
    <w:rsid w:val="0072677A"/>
    <w:rsid w:val="00726F07"/>
    <w:rsid w:val="00726FAE"/>
    <w:rsid w:val="007272AB"/>
    <w:rsid w:val="00730017"/>
    <w:rsid w:val="0073013F"/>
    <w:rsid w:val="007301DD"/>
    <w:rsid w:val="00730253"/>
    <w:rsid w:val="00730AB9"/>
    <w:rsid w:val="00730CC5"/>
    <w:rsid w:val="00730D77"/>
    <w:rsid w:val="00730F9F"/>
    <w:rsid w:val="00732208"/>
    <w:rsid w:val="007322FB"/>
    <w:rsid w:val="00732376"/>
    <w:rsid w:val="007323D8"/>
    <w:rsid w:val="00732644"/>
    <w:rsid w:val="00732AA7"/>
    <w:rsid w:val="00732D95"/>
    <w:rsid w:val="00733194"/>
    <w:rsid w:val="0073331D"/>
    <w:rsid w:val="00734255"/>
    <w:rsid w:val="007351A4"/>
    <w:rsid w:val="00735865"/>
    <w:rsid w:val="00735A84"/>
    <w:rsid w:val="00735F3E"/>
    <w:rsid w:val="00737A6B"/>
    <w:rsid w:val="00737A6E"/>
    <w:rsid w:val="00740007"/>
    <w:rsid w:val="00740BEF"/>
    <w:rsid w:val="00740C45"/>
    <w:rsid w:val="00740F90"/>
    <w:rsid w:val="007410F8"/>
    <w:rsid w:val="00741701"/>
    <w:rsid w:val="00741727"/>
    <w:rsid w:val="0074200F"/>
    <w:rsid w:val="007429FD"/>
    <w:rsid w:val="00743793"/>
    <w:rsid w:val="00743E91"/>
    <w:rsid w:val="007444B5"/>
    <w:rsid w:val="00744569"/>
    <w:rsid w:val="00744B16"/>
    <w:rsid w:val="00744B97"/>
    <w:rsid w:val="00744DCE"/>
    <w:rsid w:val="007450F6"/>
    <w:rsid w:val="007451B7"/>
    <w:rsid w:val="0074565D"/>
    <w:rsid w:val="007456D0"/>
    <w:rsid w:val="007457E5"/>
    <w:rsid w:val="007461C4"/>
    <w:rsid w:val="00746FD7"/>
    <w:rsid w:val="0074743A"/>
    <w:rsid w:val="007474A4"/>
    <w:rsid w:val="0074758A"/>
    <w:rsid w:val="007479F6"/>
    <w:rsid w:val="00747BD3"/>
    <w:rsid w:val="00750079"/>
    <w:rsid w:val="00750214"/>
    <w:rsid w:val="007504FC"/>
    <w:rsid w:val="00750996"/>
    <w:rsid w:val="00751310"/>
    <w:rsid w:val="00752206"/>
    <w:rsid w:val="007528AE"/>
    <w:rsid w:val="007532F5"/>
    <w:rsid w:val="00753789"/>
    <w:rsid w:val="00753C7B"/>
    <w:rsid w:val="00753DA8"/>
    <w:rsid w:val="00753F76"/>
    <w:rsid w:val="00754598"/>
    <w:rsid w:val="00754904"/>
    <w:rsid w:val="00754907"/>
    <w:rsid w:val="00754A2E"/>
    <w:rsid w:val="00754A74"/>
    <w:rsid w:val="00755829"/>
    <w:rsid w:val="007560A6"/>
    <w:rsid w:val="007561C6"/>
    <w:rsid w:val="00756697"/>
    <w:rsid w:val="0075679D"/>
    <w:rsid w:val="0075692F"/>
    <w:rsid w:val="00756DB0"/>
    <w:rsid w:val="007575B1"/>
    <w:rsid w:val="00757636"/>
    <w:rsid w:val="007578C1"/>
    <w:rsid w:val="00757C6C"/>
    <w:rsid w:val="00757CC0"/>
    <w:rsid w:val="0076003C"/>
    <w:rsid w:val="0076065E"/>
    <w:rsid w:val="00760EF0"/>
    <w:rsid w:val="0076181D"/>
    <w:rsid w:val="00761A08"/>
    <w:rsid w:val="00761A86"/>
    <w:rsid w:val="00761E2B"/>
    <w:rsid w:val="0076248C"/>
    <w:rsid w:val="0076249E"/>
    <w:rsid w:val="007628E1"/>
    <w:rsid w:val="00762AAB"/>
    <w:rsid w:val="00762E66"/>
    <w:rsid w:val="007639E1"/>
    <w:rsid w:val="00763C41"/>
    <w:rsid w:val="00763C89"/>
    <w:rsid w:val="00763D68"/>
    <w:rsid w:val="007642A7"/>
    <w:rsid w:val="007649CB"/>
    <w:rsid w:val="00764A97"/>
    <w:rsid w:val="00764AD5"/>
    <w:rsid w:val="00764D24"/>
    <w:rsid w:val="00764E2E"/>
    <w:rsid w:val="0076549B"/>
    <w:rsid w:val="00765782"/>
    <w:rsid w:val="00765E0A"/>
    <w:rsid w:val="007662BB"/>
    <w:rsid w:val="00767477"/>
    <w:rsid w:val="00767866"/>
    <w:rsid w:val="00767945"/>
    <w:rsid w:val="00767AEE"/>
    <w:rsid w:val="00770BCE"/>
    <w:rsid w:val="00770CCA"/>
    <w:rsid w:val="00770FCE"/>
    <w:rsid w:val="00771442"/>
    <w:rsid w:val="007717E7"/>
    <w:rsid w:val="00771C35"/>
    <w:rsid w:val="00771C60"/>
    <w:rsid w:val="00771D4B"/>
    <w:rsid w:val="00771DE4"/>
    <w:rsid w:val="00772D2C"/>
    <w:rsid w:val="00773CCB"/>
    <w:rsid w:val="00773DA5"/>
    <w:rsid w:val="007740AF"/>
    <w:rsid w:val="007742AF"/>
    <w:rsid w:val="007744E4"/>
    <w:rsid w:val="00775413"/>
    <w:rsid w:val="007754CF"/>
    <w:rsid w:val="0077567D"/>
    <w:rsid w:val="007757BA"/>
    <w:rsid w:val="00776C16"/>
    <w:rsid w:val="0078017E"/>
    <w:rsid w:val="00780555"/>
    <w:rsid w:val="007809B4"/>
    <w:rsid w:val="007810BE"/>
    <w:rsid w:val="007811CB"/>
    <w:rsid w:val="00781666"/>
    <w:rsid w:val="0078192A"/>
    <w:rsid w:val="00781E17"/>
    <w:rsid w:val="007821F8"/>
    <w:rsid w:val="0078239F"/>
    <w:rsid w:val="00782713"/>
    <w:rsid w:val="00782951"/>
    <w:rsid w:val="00782B55"/>
    <w:rsid w:val="00783C1D"/>
    <w:rsid w:val="00783C4B"/>
    <w:rsid w:val="007841D3"/>
    <w:rsid w:val="007849F0"/>
    <w:rsid w:val="00784DDA"/>
    <w:rsid w:val="00785224"/>
    <w:rsid w:val="007855E2"/>
    <w:rsid w:val="00785A81"/>
    <w:rsid w:val="0078747C"/>
    <w:rsid w:val="00787927"/>
    <w:rsid w:val="00787C2B"/>
    <w:rsid w:val="00787E69"/>
    <w:rsid w:val="0079046B"/>
    <w:rsid w:val="00790ACA"/>
    <w:rsid w:val="0079146D"/>
    <w:rsid w:val="00791B39"/>
    <w:rsid w:val="00791DD7"/>
    <w:rsid w:val="00794325"/>
    <w:rsid w:val="00794504"/>
    <w:rsid w:val="00795458"/>
    <w:rsid w:val="00795681"/>
    <w:rsid w:val="00795885"/>
    <w:rsid w:val="00795A5B"/>
    <w:rsid w:val="00795CF9"/>
    <w:rsid w:val="0079615E"/>
    <w:rsid w:val="00797076"/>
    <w:rsid w:val="007974F0"/>
    <w:rsid w:val="0079766A"/>
    <w:rsid w:val="00797991"/>
    <w:rsid w:val="007A0698"/>
    <w:rsid w:val="007A085B"/>
    <w:rsid w:val="007A09A9"/>
    <w:rsid w:val="007A0B9B"/>
    <w:rsid w:val="007A1A4F"/>
    <w:rsid w:val="007A1BB3"/>
    <w:rsid w:val="007A2023"/>
    <w:rsid w:val="007A209D"/>
    <w:rsid w:val="007A274B"/>
    <w:rsid w:val="007A2EDD"/>
    <w:rsid w:val="007A36F0"/>
    <w:rsid w:val="007A3864"/>
    <w:rsid w:val="007A39BD"/>
    <w:rsid w:val="007A3C68"/>
    <w:rsid w:val="007A3DE7"/>
    <w:rsid w:val="007A40BB"/>
    <w:rsid w:val="007A44AF"/>
    <w:rsid w:val="007A46C7"/>
    <w:rsid w:val="007A5162"/>
    <w:rsid w:val="007A5239"/>
    <w:rsid w:val="007A549C"/>
    <w:rsid w:val="007A5720"/>
    <w:rsid w:val="007A5D12"/>
    <w:rsid w:val="007A6269"/>
    <w:rsid w:val="007A67AB"/>
    <w:rsid w:val="007A714F"/>
    <w:rsid w:val="007A7585"/>
    <w:rsid w:val="007A76CE"/>
    <w:rsid w:val="007B020C"/>
    <w:rsid w:val="007B0231"/>
    <w:rsid w:val="007B03CE"/>
    <w:rsid w:val="007B0ABE"/>
    <w:rsid w:val="007B0DA6"/>
    <w:rsid w:val="007B1AD4"/>
    <w:rsid w:val="007B1F99"/>
    <w:rsid w:val="007B2535"/>
    <w:rsid w:val="007B27BA"/>
    <w:rsid w:val="007B2B07"/>
    <w:rsid w:val="007B307E"/>
    <w:rsid w:val="007B3736"/>
    <w:rsid w:val="007B3A4F"/>
    <w:rsid w:val="007B3A6C"/>
    <w:rsid w:val="007B3D91"/>
    <w:rsid w:val="007B5C6B"/>
    <w:rsid w:val="007B5D82"/>
    <w:rsid w:val="007B5EE1"/>
    <w:rsid w:val="007B689C"/>
    <w:rsid w:val="007B68CC"/>
    <w:rsid w:val="007B6F7D"/>
    <w:rsid w:val="007B70F3"/>
    <w:rsid w:val="007B7E4D"/>
    <w:rsid w:val="007C034B"/>
    <w:rsid w:val="007C0E43"/>
    <w:rsid w:val="007C0F55"/>
    <w:rsid w:val="007C1674"/>
    <w:rsid w:val="007C19D2"/>
    <w:rsid w:val="007C25D6"/>
    <w:rsid w:val="007C286D"/>
    <w:rsid w:val="007C2D7B"/>
    <w:rsid w:val="007C305B"/>
    <w:rsid w:val="007C3337"/>
    <w:rsid w:val="007C3496"/>
    <w:rsid w:val="007C389C"/>
    <w:rsid w:val="007C3B68"/>
    <w:rsid w:val="007C3CB5"/>
    <w:rsid w:val="007C3EFE"/>
    <w:rsid w:val="007C4153"/>
    <w:rsid w:val="007C44C0"/>
    <w:rsid w:val="007C44D8"/>
    <w:rsid w:val="007C4546"/>
    <w:rsid w:val="007C485B"/>
    <w:rsid w:val="007C48BD"/>
    <w:rsid w:val="007C4A93"/>
    <w:rsid w:val="007C4DE1"/>
    <w:rsid w:val="007C4DE6"/>
    <w:rsid w:val="007C4E51"/>
    <w:rsid w:val="007C4F39"/>
    <w:rsid w:val="007C5776"/>
    <w:rsid w:val="007C5DB0"/>
    <w:rsid w:val="007C629F"/>
    <w:rsid w:val="007C6771"/>
    <w:rsid w:val="007C6825"/>
    <w:rsid w:val="007C6F3F"/>
    <w:rsid w:val="007C6FB2"/>
    <w:rsid w:val="007C7416"/>
    <w:rsid w:val="007C7D0F"/>
    <w:rsid w:val="007D027C"/>
    <w:rsid w:val="007D07CF"/>
    <w:rsid w:val="007D08D9"/>
    <w:rsid w:val="007D150A"/>
    <w:rsid w:val="007D1A9C"/>
    <w:rsid w:val="007D1D69"/>
    <w:rsid w:val="007D1F0D"/>
    <w:rsid w:val="007D2518"/>
    <w:rsid w:val="007D2EBF"/>
    <w:rsid w:val="007D370C"/>
    <w:rsid w:val="007D3737"/>
    <w:rsid w:val="007D3CE5"/>
    <w:rsid w:val="007D4E38"/>
    <w:rsid w:val="007D4FC1"/>
    <w:rsid w:val="007D5208"/>
    <w:rsid w:val="007D5AB5"/>
    <w:rsid w:val="007D65BA"/>
    <w:rsid w:val="007D68DF"/>
    <w:rsid w:val="007D68F2"/>
    <w:rsid w:val="007D6E31"/>
    <w:rsid w:val="007D70D2"/>
    <w:rsid w:val="007D7920"/>
    <w:rsid w:val="007D7C36"/>
    <w:rsid w:val="007E04A4"/>
    <w:rsid w:val="007E0635"/>
    <w:rsid w:val="007E0AD5"/>
    <w:rsid w:val="007E0B55"/>
    <w:rsid w:val="007E192A"/>
    <w:rsid w:val="007E2904"/>
    <w:rsid w:val="007E2EE4"/>
    <w:rsid w:val="007E34DB"/>
    <w:rsid w:val="007E36C6"/>
    <w:rsid w:val="007E3875"/>
    <w:rsid w:val="007E3DD4"/>
    <w:rsid w:val="007E48F0"/>
    <w:rsid w:val="007E4A3F"/>
    <w:rsid w:val="007E4B2C"/>
    <w:rsid w:val="007E4F62"/>
    <w:rsid w:val="007E50B4"/>
    <w:rsid w:val="007E51ED"/>
    <w:rsid w:val="007E5288"/>
    <w:rsid w:val="007E568B"/>
    <w:rsid w:val="007E5A2A"/>
    <w:rsid w:val="007E5CC6"/>
    <w:rsid w:val="007E6824"/>
    <w:rsid w:val="007E6883"/>
    <w:rsid w:val="007E6999"/>
    <w:rsid w:val="007E751A"/>
    <w:rsid w:val="007E7DA8"/>
    <w:rsid w:val="007F04BF"/>
    <w:rsid w:val="007F0B97"/>
    <w:rsid w:val="007F0C35"/>
    <w:rsid w:val="007F0C92"/>
    <w:rsid w:val="007F10F8"/>
    <w:rsid w:val="007F2807"/>
    <w:rsid w:val="007F28AD"/>
    <w:rsid w:val="007F291B"/>
    <w:rsid w:val="007F2E53"/>
    <w:rsid w:val="007F2F90"/>
    <w:rsid w:val="007F2F9C"/>
    <w:rsid w:val="007F3339"/>
    <w:rsid w:val="007F34B6"/>
    <w:rsid w:val="007F365B"/>
    <w:rsid w:val="007F3827"/>
    <w:rsid w:val="007F3ED1"/>
    <w:rsid w:val="007F4EEC"/>
    <w:rsid w:val="007F5135"/>
    <w:rsid w:val="007F6AB8"/>
    <w:rsid w:val="007F6B9B"/>
    <w:rsid w:val="007F6F6F"/>
    <w:rsid w:val="007F739C"/>
    <w:rsid w:val="007F785F"/>
    <w:rsid w:val="00802259"/>
    <w:rsid w:val="008029AD"/>
    <w:rsid w:val="00802A27"/>
    <w:rsid w:val="00802C1F"/>
    <w:rsid w:val="00802EF2"/>
    <w:rsid w:val="008032E7"/>
    <w:rsid w:val="00803525"/>
    <w:rsid w:val="008038AC"/>
    <w:rsid w:val="0080396C"/>
    <w:rsid w:val="008039D2"/>
    <w:rsid w:val="00803B13"/>
    <w:rsid w:val="00803E2C"/>
    <w:rsid w:val="00804030"/>
    <w:rsid w:val="008042DF"/>
    <w:rsid w:val="00804624"/>
    <w:rsid w:val="00804DBD"/>
    <w:rsid w:val="008055DB"/>
    <w:rsid w:val="00805B7F"/>
    <w:rsid w:val="00805E47"/>
    <w:rsid w:val="00805E52"/>
    <w:rsid w:val="00806BF4"/>
    <w:rsid w:val="00807083"/>
    <w:rsid w:val="00807368"/>
    <w:rsid w:val="008074CB"/>
    <w:rsid w:val="0080755D"/>
    <w:rsid w:val="00807F52"/>
    <w:rsid w:val="008103FF"/>
    <w:rsid w:val="00810C98"/>
    <w:rsid w:val="00810EB7"/>
    <w:rsid w:val="00811327"/>
    <w:rsid w:val="00811A08"/>
    <w:rsid w:val="00811D5D"/>
    <w:rsid w:val="00811E46"/>
    <w:rsid w:val="00811FE8"/>
    <w:rsid w:val="008129F1"/>
    <w:rsid w:val="0081395E"/>
    <w:rsid w:val="00813AC9"/>
    <w:rsid w:val="00813AFD"/>
    <w:rsid w:val="00813B59"/>
    <w:rsid w:val="00813EAC"/>
    <w:rsid w:val="008143BF"/>
    <w:rsid w:val="008145E1"/>
    <w:rsid w:val="008149B6"/>
    <w:rsid w:val="00814D0F"/>
    <w:rsid w:val="00814D6A"/>
    <w:rsid w:val="00814D8E"/>
    <w:rsid w:val="00814DF0"/>
    <w:rsid w:val="00815C8B"/>
    <w:rsid w:val="008160AF"/>
    <w:rsid w:val="008160E2"/>
    <w:rsid w:val="008161EB"/>
    <w:rsid w:val="00816CD7"/>
    <w:rsid w:val="008172BD"/>
    <w:rsid w:val="0081739B"/>
    <w:rsid w:val="0081744F"/>
    <w:rsid w:val="00817C86"/>
    <w:rsid w:val="00820CC5"/>
    <w:rsid w:val="008219BB"/>
    <w:rsid w:val="00821BA6"/>
    <w:rsid w:val="00821CE5"/>
    <w:rsid w:val="00821FA2"/>
    <w:rsid w:val="008220F4"/>
    <w:rsid w:val="00822129"/>
    <w:rsid w:val="008226CA"/>
    <w:rsid w:val="008233B7"/>
    <w:rsid w:val="00823FAF"/>
    <w:rsid w:val="0082468B"/>
    <w:rsid w:val="0082565B"/>
    <w:rsid w:val="00825B04"/>
    <w:rsid w:val="00825DFE"/>
    <w:rsid w:val="00825E6E"/>
    <w:rsid w:val="00825FDA"/>
    <w:rsid w:val="00826390"/>
    <w:rsid w:val="008265FE"/>
    <w:rsid w:val="008267DC"/>
    <w:rsid w:val="00826ABA"/>
    <w:rsid w:val="00826C29"/>
    <w:rsid w:val="008271B3"/>
    <w:rsid w:val="0082774F"/>
    <w:rsid w:val="008277A6"/>
    <w:rsid w:val="008305FF"/>
    <w:rsid w:val="0083066D"/>
    <w:rsid w:val="008307FF"/>
    <w:rsid w:val="008308AA"/>
    <w:rsid w:val="0083102F"/>
    <w:rsid w:val="008319AD"/>
    <w:rsid w:val="00831E10"/>
    <w:rsid w:val="00831E4F"/>
    <w:rsid w:val="00832148"/>
    <w:rsid w:val="008329DB"/>
    <w:rsid w:val="00832B08"/>
    <w:rsid w:val="00833180"/>
    <w:rsid w:val="008336E2"/>
    <w:rsid w:val="0083393E"/>
    <w:rsid w:val="008339C1"/>
    <w:rsid w:val="00833B5D"/>
    <w:rsid w:val="00833CF1"/>
    <w:rsid w:val="00833E56"/>
    <w:rsid w:val="0083435A"/>
    <w:rsid w:val="008343F1"/>
    <w:rsid w:val="00834F8D"/>
    <w:rsid w:val="00834FBD"/>
    <w:rsid w:val="00835262"/>
    <w:rsid w:val="008354C7"/>
    <w:rsid w:val="00836570"/>
    <w:rsid w:val="00836C38"/>
    <w:rsid w:val="00836E83"/>
    <w:rsid w:val="0083722B"/>
    <w:rsid w:val="00837358"/>
    <w:rsid w:val="00837633"/>
    <w:rsid w:val="0084023C"/>
    <w:rsid w:val="008402B2"/>
    <w:rsid w:val="00840B0C"/>
    <w:rsid w:val="008419A8"/>
    <w:rsid w:val="008419DC"/>
    <w:rsid w:val="008423AD"/>
    <w:rsid w:val="00842872"/>
    <w:rsid w:val="00842E07"/>
    <w:rsid w:val="008435B5"/>
    <w:rsid w:val="00843BAD"/>
    <w:rsid w:val="00844014"/>
    <w:rsid w:val="008442CD"/>
    <w:rsid w:val="00844679"/>
    <w:rsid w:val="00844A5F"/>
    <w:rsid w:val="00844A91"/>
    <w:rsid w:val="00844C0C"/>
    <w:rsid w:val="00844DB3"/>
    <w:rsid w:val="0084523A"/>
    <w:rsid w:val="0084536E"/>
    <w:rsid w:val="00845BDE"/>
    <w:rsid w:val="00845D82"/>
    <w:rsid w:val="008462B2"/>
    <w:rsid w:val="00846D13"/>
    <w:rsid w:val="0084746C"/>
    <w:rsid w:val="00850883"/>
    <w:rsid w:val="0085092F"/>
    <w:rsid w:val="00851147"/>
    <w:rsid w:val="0085133E"/>
    <w:rsid w:val="00851978"/>
    <w:rsid w:val="00851E10"/>
    <w:rsid w:val="00851F8B"/>
    <w:rsid w:val="00852083"/>
    <w:rsid w:val="008522E3"/>
    <w:rsid w:val="008525F7"/>
    <w:rsid w:val="00852D83"/>
    <w:rsid w:val="008532E5"/>
    <w:rsid w:val="00853381"/>
    <w:rsid w:val="008537EB"/>
    <w:rsid w:val="00853B55"/>
    <w:rsid w:val="00853D47"/>
    <w:rsid w:val="00854142"/>
    <w:rsid w:val="008543F0"/>
    <w:rsid w:val="0085464A"/>
    <w:rsid w:val="00854AFA"/>
    <w:rsid w:val="0085531C"/>
    <w:rsid w:val="00855AEF"/>
    <w:rsid w:val="008560D2"/>
    <w:rsid w:val="00856551"/>
    <w:rsid w:val="008569AA"/>
    <w:rsid w:val="00857403"/>
    <w:rsid w:val="008576C0"/>
    <w:rsid w:val="00857B6F"/>
    <w:rsid w:val="00857D08"/>
    <w:rsid w:val="00857D78"/>
    <w:rsid w:val="008604F4"/>
    <w:rsid w:val="00860B42"/>
    <w:rsid w:val="00860EC6"/>
    <w:rsid w:val="008615D0"/>
    <w:rsid w:val="00862368"/>
    <w:rsid w:val="0086258D"/>
    <w:rsid w:val="00862615"/>
    <w:rsid w:val="00862A6C"/>
    <w:rsid w:val="008634CD"/>
    <w:rsid w:val="008640A6"/>
    <w:rsid w:val="00864607"/>
    <w:rsid w:val="008649BC"/>
    <w:rsid w:val="008652CD"/>
    <w:rsid w:val="0086562C"/>
    <w:rsid w:val="00865C28"/>
    <w:rsid w:val="00865E66"/>
    <w:rsid w:val="0086632D"/>
    <w:rsid w:val="00866C16"/>
    <w:rsid w:val="00867331"/>
    <w:rsid w:val="00867697"/>
    <w:rsid w:val="00870160"/>
    <w:rsid w:val="00870418"/>
    <w:rsid w:val="00870578"/>
    <w:rsid w:val="00870862"/>
    <w:rsid w:val="00870DB3"/>
    <w:rsid w:val="00870E11"/>
    <w:rsid w:val="008714D8"/>
    <w:rsid w:val="008719E6"/>
    <w:rsid w:val="00871FD4"/>
    <w:rsid w:val="00871FE1"/>
    <w:rsid w:val="008721EB"/>
    <w:rsid w:val="008725A4"/>
    <w:rsid w:val="00872836"/>
    <w:rsid w:val="00872A1B"/>
    <w:rsid w:val="00872E18"/>
    <w:rsid w:val="00874580"/>
    <w:rsid w:val="00874762"/>
    <w:rsid w:val="008747F1"/>
    <w:rsid w:val="00874883"/>
    <w:rsid w:val="00875A93"/>
    <w:rsid w:val="00875CBE"/>
    <w:rsid w:val="0087601B"/>
    <w:rsid w:val="00876340"/>
    <w:rsid w:val="00876858"/>
    <w:rsid w:val="008770F0"/>
    <w:rsid w:val="00877721"/>
    <w:rsid w:val="008779E6"/>
    <w:rsid w:val="00877C96"/>
    <w:rsid w:val="00880017"/>
    <w:rsid w:val="00880289"/>
    <w:rsid w:val="00880798"/>
    <w:rsid w:val="00880A43"/>
    <w:rsid w:val="008814B7"/>
    <w:rsid w:val="0088170C"/>
    <w:rsid w:val="00881742"/>
    <w:rsid w:val="00881C14"/>
    <w:rsid w:val="00881ED8"/>
    <w:rsid w:val="00882CA7"/>
    <w:rsid w:val="00882CE2"/>
    <w:rsid w:val="00883307"/>
    <w:rsid w:val="00883FF3"/>
    <w:rsid w:val="00884A86"/>
    <w:rsid w:val="00885257"/>
    <w:rsid w:val="00885681"/>
    <w:rsid w:val="0088568A"/>
    <w:rsid w:val="00885CD1"/>
    <w:rsid w:val="00885E60"/>
    <w:rsid w:val="0088684B"/>
    <w:rsid w:val="00886D0B"/>
    <w:rsid w:val="00887882"/>
    <w:rsid w:val="00887D8D"/>
    <w:rsid w:val="00887DD9"/>
    <w:rsid w:val="00887F38"/>
    <w:rsid w:val="0089228E"/>
    <w:rsid w:val="00892503"/>
    <w:rsid w:val="00892573"/>
    <w:rsid w:val="008928B0"/>
    <w:rsid w:val="00892A7A"/>
    <w:rsid w:val="00892BDD"/>
    <w:rsid w:val="00892F71"/>
    <w:rsid w:val="00892FB7"/>
    <w:rsid w:val="008937A7"/>
    <w:rsid w:val="0089441A"/>
    <w:rsid w:val="008944A3"/>
    <w:rsid w:val="00894834"/>
    <w:rsid w:val="008948AC"/>
    <w:rsid w:val="00894972"/>
    <w:rsid w:val="00894AE6"/>
    <w:rsid w:val="00894C3B"/>
    <w:rsid w:val="008958F8"/>
    <w:rsid w:val="00895D85"/>
    <w:rsid w:val="00895DE6"/>
    <w:rsid w:val="00895F8E"/>
    <w:rsid w:val="008960EF"/>
    <w:rsid w:val="0089617F"/>
    <w:rsid w:val="00896521"/>
    <w:rsid w:val="00896B30"/>
    <w:rsid w:val="00896C3C"/>
    <w:rsid w:val="00896F37"/>
    <w:rsid w:val="00897793"/>
    <w:rsid w:val="00897AFF"/>
    <w:rsid w:val="00897C18"/>
    <w:rsid w:val="00897F28"/>
    <w:rsid w:val="008A00E4"/>
    <w:rsid w:val="008A0542"/>
    <w:rsid w:val="008A08D0"/>
    <w:rsid w:val="008A08D8"/>
    <w:rsid w:val="008A0A9F"/>
    <w:rsid w:val="008A0C88"/>
    <w:rsid w:val="008A1600"/>
    <w:rsid w:val="008A17BB"/>
    <w:rsid w:val="008A1BAA"/>
    <w:rsid w:val="008A1E0F"/>
    <w:rsid w:val="008A1E31"/>
    <w:rsid w:val="008A223B"/>
    <w:rsid w:val="008A2306"/>
    <w:rsid w:val="008A2941"/>
    <w:rsid w:val="008A29EF"/>
    <w:rsid w:val="008A2D04"/>
    <w:rsid w:val="008A2D0D"/>
    <w:rsid w:val="008A3296"/>
    <w:rsid w:val="008A3431"/>
    <w:rsid w:val="008A3630"/>
    <w:rsid w:val="008A38CA"/>
    <w:rsid w:val="008A398C"/>
    <w:rsid w:val="008A3A03"/>
    <w:rsid w:val="008A3AFC"/>
    <w:rsid w:val="008A3F80"/>
    <w:rsid w:val="008A4516"/>
    <w:rsid w:val="008A4827"/>
    <w:rsid w:val="008A4E01"/>
    <w:rsid w:val="008A570C"/>
    <w:rsid w:val="008A582B"/>
    <w:rsid w:val="008A60F9"/>
    <w:rsid w:val="008A62B1"/>
    <w:rsid w:val="008A645D"/>
    <w:rsid w:val="008A653A"/>
    <w:rsid w:val="008A6BDD"/>
    <w:rsid w:val="008A6D63"/>
    <w:rsid w:val="008A730C"/>
    <w:rsid w:val="008A7595"/>
    <w:rsid w:val="008A7C54"/>
    <w:rsid w:val="008A7CC0"/>
    <w:rsid w:val="008A7DB6"/>
    <w:rsid w:val="008B0565"/>
    <w:rsid w:val="008B0A74"/>
    <w:rsid w:val="008B0AB0"/>
    <w:rsid w:val="008B1576"/>
    <w:rsid w:val="008B18FC"/>
    <w:rsid w:val="008B1F57"/>
    <w:rsid w:val="008B244B"/>
    <w:rsid w:val="008B2E32"/>
    <w:rsid w:val="008B2F11"/>
    <w:rsid w:val="008B2FD2"/>
    <w:rsid w:val="008B3284"/>
    <w:rsid w:val="008B3308"/>
    <w:rsid w:val="008B33C3"/>
    <w:rsid w:val="008B360F"/>
    <w:rsid w:val="008B3EB0"/>
    <w:rsid w:val="008B497D"/>
    <w:rsid w:val="008B5169"/>
    <w:rsid w:val="008B53AE"/>
    <w:rsid w:val="008B5582"/>
    <w:rsid w:val="008B56C8"/>
    <w:rsid w:val="008B5CF7"/>
    <w:rsid w:val="008B6A7F"/>
    <w:rsid w:val="008B7055"/>
    <w:rsid w:val="008B7272"/>
    <w:rsid w:val="008B79B3"/>
    <w:rsid w:val="008B7F68"/>
    <w:rsid w:val="008C032B"/>
    <w:rsid w:val="008C0C83"/>
    <w:rsid w:val="008C11AE"/>
    <w:rsid w:val="008C1592"/>
    <w:rsid w:val="008C168E"/>
    <w:rsid w:val="008C1691"/>
    <w:rsid w:val="008C2762"/>
    <w:rsid w:val="008C28AE"/>
    <w:rsid w:val="008C2FC1"/>
    <w:rsid w:val="008C320A"/>
    <w:rsid w:val="008C32F3"/>
    <w:rsid w:val="008C33F9"/>
    <w:rsid w:val="008C3840"/>
    <w:rsid w:val="008C39ED"/>
    <w:rsid w:val="008C3B65"/>
    <w:rsid w:val="008C4AA0"/>
    <w:rsid w:val="008C5816"/>
    <w:rsid w:val="008C5EB5"/>
    <w:rsid w:val="008C6F8E"/>
    <w:rsid w:val="008C74BF"/>
    <w:rsid w:val="008C7721"/>
    <w:rsid w:val="008D010B"/>
    <w:rsid w:val="008D09BB"/>
    <w:rsid w:val="008D0BDD"/>
    <w:rsid w:val="008D1012"/>
    <w:rsid w:val="008D13B9"/>
    <w:rsid w:val="008D18ED"/>
    <w:rsid w:val="008D1C65"/>
    <w:rsid w:val="008D20C3"/>
    <w:rsid w:val="008D3243"/>
    <w:rsid w:val="008D35CF"/>
    <w:rsid w:val="008D3AEE"/>
    <w:rsid w:val="008D3CB7"/>
    <w:rsid w:val="008D3FCA"/>
    <w:rsid w:val="008D4451"/>
    <w:rsid w:val="008D4B50"/>
    <w:rsid w:val="008D4D6B"/>
    <w:rsid w:val="008D59A0"/>
    <w:rsid w:val="008D5B48"/>
    <w:rsid w:val="008D60FA"/>
    <w:rsid w:val="008D6D43"/>
    <w:rsid w:val="008D7179"/>
    <w:rsid w:val="008D71FD"/>
    <w:rsid w:val="008D724B"/>
    <w:rsid w:val="008D72A2"/>
    <w:rsid w:val="008D788D"/>
    <w:rsid w:val="008D7B69"/>
    <w:rsid w:val="008D7BE6"/>
    <w:rsid w:val="008D7CFE"/>
    <w:rsid w:val="008E09E2"/>
    <w:rsid w:val="008E0EFB"/>
    <w:rsid w:val="008E1241"/>
    <w:rsid w:val="008E1671"/>
    <w:rsid w:val="008E1842"/>
    <w:rsid w:val="008E1B47"/>
    <w:rsid w:val="008E1F40"/>
    <w:rsid w:val="008E230C"/>
    <w:rsid w:val="008E23A2"/>
    <w:rsid w:val="008E2A5A"/>
    <w:rsid w:val="008E317D"/>
    <w:rsid w:val="008E431D"/>
    <w:rsid w:val="008E4494"/>
    <w:rsid w:val="008E4BCD"/>
    <w:rsid w:val="008E4E2A"/>
    <w:rsid w:val="008E4F78"/>
    <w:rsid w:val="008E53D7"/>
    <w:rsid w:val="008E5443"/>
    <w:rsid w:val="008E5452"/>
    <w:rsid w:val="008E5D52"/>
    <w:rsid w:val="008E6055"/>
    <w:rsid w:val="008E6688"/>
    <w:rsid w:val="008E6768"/>
    <w:rsid w:val="008E67A3"/>
    <w:rsid w:val="008E6F9F"/>
    <w:rsid w:val="008E7001"/>
    <w:rsid w:val="008E79B4"/>
    <w:rsid w:val="008E7D63"/>
    <w:rsid w:val="008F0039"/>
    <w:rsid w:val="008F04B6"/>
    <w:rsid w:val="008F0617"/>
    <w:rsid w:val="008F0861"/>
    <w:rsid w:val="008F0959"/>
    <w:rsid w:val="008F0C04"/>
    <w:rsid w:val="008F0E85"/>
    <w:rsid w:val="008F1254"/>
    <w:rsid w:val="008F16A9"/>
    <w:rsid w:val="008F173F"/>
    <w:rsid w:val="008F1A49"/>
    <w:rsid w:val="008F217E"/>
    <w:rsid w:val="008F2493"/>
    <w:rsid w:val="008F25CF"/>
    <w:rsid w:val="008F28CA"/>
    <w:rsid w:val="008F2976"/>
    <w:rsid w:val="008F2E64"/>
    <w:rsid w:val="008F3656"/>
    <w:rsid w:val="008F3CFB"/>
    <w:rsid w:val="008F4109"/>
    <w:rsid w:val="008F42B2"/>
    <w:rsid w:val="008F437B"/>
    <w:rsid w:val="008F4572"/>
    <w:rsid w:val="008F4A52"/>
    <w:rsid w:val="008F4E37"/>
    <w:rsid w:val="008F4F44"/>
    <w:rsid w:val="008F538F"/>
    <w:rsid w:val="008F5797"/>
    <w:rsid w:val="008F583F"/>
    <w:rsid w:val="008F5C9F"/>
    <w:rsid w:val="008F5D8A"/>
    <w:rsid w:val="008F5EE5"/>
    <w:rsid w:val="008F5EE6"/>
    <w:rsid w:val="008F6157"/>
    <w:rsid w:val="008F6491"/>
    <w:rsid w:val="008F64B8"/>
    <w:rsid w:val="008F67CA"/>
    <w:rsid w:val="008F67EF"/>
    <w:rsid w:val="008F693C"/>
    <w:rsid w:val="008F6E4A"/>
    <w:rsid w:val="008F78A1"/>
    <w:rsid w:val="00900207"/>
    <w:rsid w:val="009005BC"/>
    <w:rsid w:val="0090084D"/>
    <w:rsid w:val="00900941"/>
    <w:rsid w:val="00900944"/>
    <w:rsid w:val="0090108D"/>
    <w:rsid w:val="0090200A"/>
    <w:rsid w:val="0090272C"/>
    <w:rsid w:val="00902ACE"/>
    <w:rsid w:val="00902C55"/>
    <w:rsid w:val="009031A6"/>
    <w:rsid w:val="0090364C"/>
    <w:rsid w:val="0090395D"/>
    <w:rsid w:val="009039D6"/>
    <w:rsid w:val="00903A78"/>
    <w:rsid w:val="00903EDF"/>
    <w:rsid w:val="0090411C"/>
    <w:rsid w:val="0090467C"/>
    <w:rsid w:val="00905054"/>
    <w:rsid w:val="0090506D"/>
    <w:rsid w:val="009055F9"/>
    <w:rsid w:val="00905A2E"/>
    <w:rsid w:val="00905AF2"/>
    <w:rsid w:val="009061FF"/>
    <w:rsid w:val="009069A0"/>
    <w:rsid w:val="00906A65"/>
    <w:rsid w:val="00906C11"/>
    <w:rsid w:val="00906F1F"/>
    <w:rsid w:val="0090705E"/>
    <w:rsid w:val="00907CF7"/>
    <w:rsid w:val="00910046"/>
    <w:rsid w:val="00910890"/>
    <w:rsid w:val="00910DCB"/>
    <w:rsid w:val="00910EE8"/>
    <w:rsid w:val="009110D0"/>
    <w:rsid w:val="00911628"/>
    <w:rsid w:val="0091172E"/>
    <w:rsid w:val="00911829"/>
    <w:rsid w:val="00912597"/>
    <w:rsid w:val="00912FAA"/>
    <w:rsid w:val="00913183"/>
    <w:rsid w:val="0091339A"/>
    <w:rsid w:val="009134B9"/>
    <w:rsid w:val="009138B3"/>
    <w:rsid w:val="00913BDB"/>
    <w:rsid w:val="00914172"/>
    <w:rsid w:val="00914E19"/>
    <w:rsid w:val="0091518C"/>
    <w:rsid w:val="0091522A"/>
    <w:rsid w:val="009153C7"/>
    <w:rsid w:val="00915AA5"/>
    <w:rsid w:val="00915B2E"/>
    <w:rsid w:val="00916DD5"/>
    <w:rsid w:val="0091715E"/>
    <w:rsid w:val="009173C3"/>
    <w:rsid w:val="009173D5"/>
    <w:rsid w:val="0091783B"/>
    <w:rsid w:val="0091792A"/>
    <w:rsid w:val="009206F6"/>
    <w:rsid w:val="009207EA"/>
    <w:rsid w:val="00920939"/>
    <w:rsid w:val="00920B4B"/>
    <w:rsid w:val="00920DF7"/>
    <w:rsid w:val="00921480"/>
    <w:rsid w:val="00921CF0"/>
    <w:rsid w:val="0092218F"/>
    <w:rsid w:val="0092257C"/>
    <w:rsid w:val="009225B9"/>
    <w:rsid w:val="00922620"/>
    <w:rsid w:val="009229FB"/>
    <w:rsid w:val="00922A86"/>
    <w:rsid w:val="00922BEE"/>
    <w:rsid w:val="00922E78"/>
    <w:rsid w:val="0092313D"/>
    <w:rsid w:val="009231B4"/>
    <w:rsid w:val="009231D4"/>
    <w:rsid w:val="0092353E"/>
    <w:rsid w:val="00923E58"/>
    <w:rsid w:val="009243B6"/>
    <w:rsid w:val="009247A8"/>
    <w:rsid w:val="009250DA"/>
    <w:rsid w:val="0092557B"/>
    <w:rsid w:val="009256F7"/>
    <w:rsid w:val="00925741"/>
    <w:rsid w:val="009257D7"/>
    <w:rsid w:val="0092655C"/>
    <w:rsid w:val="00926A7A"/>
    <w:rsid w:val="00926B21"/>
    <w:rsid w:val="00926C98"/>
    <w:rsid w:val="00926EF5"/>
    <w:rsid w:val="00927D56"/>
    <w:rsid w:val="00930076"/>
    <w:rsid w:val="00930260"/>
    <w:rsid w:val="00930AF7"/>
    <w:rsid w:val="00931390"/>
    <w:rsid w:val="00931CF1"/>
    <w:rsid w:val="00932441"/>
    <w:rsid w:val="00932777"/>
    <w:rsid w:val="00932CEF"/>
    <w:rsid w:val="00933C4C"/>
    <w:rsid w:val="00933EA5"/>
    <w:rsid w:val="0093433B"/>
    <w:rsid w:val="009343F5"/>
    <w:rsid w:val="00934446"/>
    <w:rsid w:val="00934456"/>
    <w:rsid w:val="00934764"/>
    <w:rsid w:val="00934AC4"/>
    <w:rsid w:val="00934C06"/>
    <w:rsid w:val="00934D56"/>
    <w:rsid w:val="00935244"/>
    <w:rsid w:val="009352A9"/>
    <w:rsid w:val="00935FD3"/>
    <w:rsid w:val="009362BB"/>
    <w:rsid w:val="009366EF"/>
    <w:rsid w:val="009367C3"/>
    <w:rsid w:val="00936A7D"/>
    <w:rsid w:val="00936D9D"/>
    <w:rsid w:val="009375AB"/>
    <w:rsid w:val="00937831"/>
    <w:rsid w:val="00937CC4"/>
    <w:rsid w:val="0094066D"/>
    <w:rsid w:val="00940D32"/>
    <w:rsid w:val="00940EFC"/>
    <w:rsid w:val="0094155D"/>
    <w:rsid w:val="009419B1"/>
    <w:rsid w:val="00941C8C"/>
    <w:rsid w:val="0094231A"/>
    <w:rsid w:val="00942654"/>
    <w:rsid w:val="00942849"/>
    <w:rsid w:val="00942982"/>
    <w:rsid w:val="009431E4"/>
    <w:rsid w:val="009434C5"/>
    <w:rsid w:val="00943DF3"/>
    <w:rsid w:val="00943ED7"/>
    <w:rsid w:val="009441FF"/>
    <w:rsid w:val="00944593"/>
    <w:rsid w:val="009447C5"/>
    <w:rsid w:val="009448D2"/>
    <w:rsid w:val="009449E7"/>
    <w:rsid w:val="00944D12"/>
    <w:rsid w:val="00944E09"/>
    <w:rsid w:val="00944F1E"/>
    <w:rsid w:val="009454C2"/>
    <w:rsid w:val="00945A03"/>
    <w:rsid w:val="00945CD4"/>
    <w:rsid w:val="0094609C"/>
    <w:rsid w:val="009465B8"/>
    <w:rsid w:val="0094667F"/>
    <w:rsid w:val="00946CF6"/>
    <w:rsid w:val="009470CD"/>
    <w:rsid w:val="00947327"/>
    <w:rsid w:val="00947976"/>
    <w:rsid w:val="00947BCC"/>
    <w:rsid w:val="00950031"/>
    <w:rsid w:val="009502CD"/>
    <w:rsid w:val="00950751"/>
    <w:rsid w:val="0095104D"/>
    <w:rsid w:val="00951215"/>
    <w:rsid w:val="00951314"/>
    <w:rsid w:val="009518F8"/>
    <w:rsid w:val="00951B2A"/>
    <w:rsid w:val="00951C61"/>
    <w:rsid w:val="00951FE7"/>
    <w:rsid w:val="00952039"/>
    <w:rsid w:val="009528B5"/>
    <w:rsid w:val="0095357A"/>
    <w:rsid w:val="009540AC"/>
    <w:rsid w:val="009540DC"/>
    <w:rsid w:val="009543F4"/>
    <w:rsid w:val="0095441F"/>
    <w:rsid w:val="009545A8"/>
    <w:rsid w:val="00954A85"/>
    <w:rsid w:val="00954CEE"/>
    <w:rsid w:val="00954D84"/>
    <w:rsid w:val="00955829"/>
    <w:rsid w:val="00955E84"/>
    <w:rsid w:val="0095618D"/>
    <w:rsid w:val="009563DE"/>
    <w:rsid w:val="0095647E"/>
    <w:rsid w:val="009577B0"/>
    <w:rsid w:val="00957B42"/>
    <w:rsid w:val="00960C24"/>
    <w:rsid w:val="00960C67"/>
    <w:rsid w:val="00960EB0"/>
    <w:rsid w:val="00960FF8"/>
    <w:rsid w:val="00961223"/>
    <w:rsid w:val="009613AA"/>
    <w:rsid w:val="00961BB5"/>
    <w:rsid w:val="009620EA"/>
    <w:rsid w:val="00962459"/>
    <w:rsid w:val="0096256C"/>
    <w:rsid w:val="00962EA2"/>
    <w:rsid w:val="0096300C"/>
    <w:rsid w:val="00963188"/>
    <w:rsid w:val="00963367"/>
    <w:rsid w:val="00963742"/>
    <w:rsid w:val="0096388C"/>
    <w:rsid w:val="00963B8B"/>
    <w:rsid w:val="009640BB"/>
    <w:rsid w:val="009640E5"/>
    <w:rsid w:val="0096422D"/>
    <w:rsid w:val="009646E3"/>
    <w:rsid w:val="00964AF3"/>
    <w:rsid w:val="00965B13"/>
    <w:rsid w:val="00965CDB"/>
    <w:rsid w:val="00966148"/>
    <w:rsid w:val="009662E4"/>
    <w:rsid w:val="0096688B"/>
    <w:rsid w:val="00966EE9"/>
    <w:rsid w:val="00966F26"/>
    <w:rsid w:val="00967141"/>
    <w:rsid w:val="009675D3"/>
    <w:rsid w:val="00970058"/>
    <w:rsid w:val="00970D7B"/>
    <w:rsid w:val="009719F1"/>
    <w:rsid w:val="00971B5B"/>
    <w:rsid w:val="0097233B"/>
    <w:rsid w:val="00972CED"/>
    <w:rsid w:val="00973747"/>
    <w:rsid w:val="00973834"/>
    <w:rsid w:val="00973AD4"/>
    <w:rsid w:val="00974A3B"/>
    <w:rsid w:val="00974ECA"/>
    <w:rsid w:val="00975945"/>
    <w:rsid w:val="00975ED8"/>
    <w:rsid w:val="00975ED9"/>
    <w:rsid w:val="00976677"/>
    <w:rsid w:val="00976FA0"/>
    <w:rsid w:val="009772B7"/>
    <w:rsid w:val="0098028A"/>
    <w:rsid w:val="00980A10"/>
    <w:rsid w:val="00980B15"/>
    <w:rsid w:val="0098117B"/>
    <w:rsid w:val="00981661"/>
    <w:rsid w:val="00981756"/>
    <w:rsid w:val="009818D0"/>
    <w:rsid w:val="00981E31"/>
    <w:rsid w:val="00981FAC"/>
    <w:rsid w:val="00982003"/>
    <w:rsid w:val="0098216B"/>
    <w:rsid w:val="009821F9"/>
    <w:rsid w:val="0098227E"/>
    <w:rsid w:val="009822CA"/>
    <w:rsid w:val="0098231A"/>
    <w:rsid w:val="00982534"/>
    <w:rsid w:val="00982F73"/>
    <w:rsid w:val="009831BA"/>
    <w:rsid w:val="009832F6"/>
    <w:rsid w:val="0098355A"/>
    <w:rsid w:val="009836A4"/>
    <w:rsid w:val="009837C9"/>
    <w:rsid w:val="009837F2"/>
    <w:rsid w:val="009839A9"/>
    <w:rsid w:val="00984E50"/>
    <w:rsid w:val="00984F70"/>
    <w:rsid w:val="0098537F"/>
    <w:rsid w:val="00985595"/>
    <w:rsid w:val="0098636D"/>
    <w:rsid w:val="00986C3E"/>
    <w:rsid w:val="00986E94"/>
    <w:rsid w:val="00986EB1"/>
    <w:rsid w:val="00987221"/>
    <w:rsid w:val="009872A1"/>
    <w:rsid w:val="00987E90"/>
    <w:rsid w:val="00990061"/>
    <w:rsid w:val="009901A8"/>
    <w:rsid w:val="00990231"/>
    <w:rsid w:val="009902C3"/>
    <w:rsid w:val="0099071A"/>
    <w:rsid w:val="00990ABC"/>
    <w:rsid w:val="0099136A"/>
    <w:rsid w:val="00991981"/>
    <w:rsid w:val="00991C0C"/>
    <w:rsid w:val="00991E50"/>
    <w:rsid w:val="00991FBE"/>
    <w:rsid w:val="00991FEE"/>
    <w:rsid w:val="009926A9"/>
    <w:rsid w:val="00992845"/>
    <w:rsid w:val="00992885"/>
    <w:rsid w:val="00992D47"/>
    <w:rsid w:val="0099328D"/>
    <w:rsid w:val="009939E8"/>
    <w:rsid w:val="00994533"/>
    <w:rsid w:val="009949A4"/>
    <w:rsid w:val="0099541C"/>
    <w:rsid w:val="0099556D"/>
    <w:rsid w:val="009955B6"/>
    <w:rsid w:val="009959A0"/>
    <w:rsid w:val="00995CFC"/>
    <w:rsid w:val="00995F20"/>
    <w:rsid w:val="00996372"/>
    <w:rsid w:val="00996405"/>
    <w:rsid w:val="0099647E"/>
    <w:rsid w:val="00996493"/>
    <w:rsid w:val="009965CE"/>
    <w:rsid w:val="00996B25"/>
    <w:rsid w:val="00996D0F"/>
    <w:rsid w:val="00996E0E"/>
    <w:rsid w:val="00996EBF"/>
    <w:rsid w:val="00997124"/>
    <w:rsid w:val="0099749C"/>
    <w:rsid w:val="009974C0"/>
    <w:rsid w:val="0099790D"/>
    <w:rsid w:val="00997C52"/>
    <w:rsid w:val="00997F6C"/>
    <w:rsid w:val="009A01B2"/>
    <w:rsid w:val="009A0E04"/>
    <w:rsid w:val="009A1221"/>
    <w:rsid w:val="009A12DD"/>
    <w:rsid w:val="009A1C34"/>
    <w:rsid w:val="009A1E6E"/>
    <w:rsid w:val="009A213F"/>
    <w:rsid w:val="009A2BDB"/>
    <w:rsid w:val="009A2E77"/>
    <w:rsid w:val="009A3421"/>
    <w:rsid w:val="009A40C4"/>
    <w:rsid w:val="009A41C6"/>
    <w:rsid w:val="009A4578"/>
    <w:rsid w:val="009A4BF0"/>
    <w:rsid w:val="009A4E53"/>
    <w:rsid w:val="009A5124"/>
    <w:rsid w:val="009A512E"/>
    <w:rsid w:val="009A5549"/>
    <w:rsid w:val="009A5E87"/>
    <w:rsid w:val="009A665F"/>
    <w:rsid w:val="009A6C3D"/>
    <w:rsid w:val="009A6E9E"/>
    <w:rsid w:val="009A76EC"/>
    <w:rsid w:val="009A77B1"/>
    <w:rsid w:val="009A7A7A"/>
    <w:rsid w:val="009B042A"/>
    <w:rsid w:val="009B0574"/>
    <w:rsid w:val="009B1715"/>
    <w:rsid w:val="009B1F81"/>
    <w:rsid w:val="009B22CA"/>
    <w:rsid w:val="009B24F7"/>
    <w:rsid w:val="009B2522"/>
    <w:rsid w:val="009B32FF"/>
    <w:rsid w:val="009B33DF"/>
    <w:rsid w:val="009B3653"/>
    <w:rsid w:val="009B3A4F"/>
    <w:rsid w:val="009B3BB0"/>
    <w:rsid w:val="009B4885"/>
    <w:rsid w:val="009B4A02"/>
    <w:rsid w:val="009B4AFE"/>
    <w:rsid w:val="009B4D38"/>
    <w:rsid w:val="009B5112"/>
    <w:rsid w:val="009B526C"/>
    <w:rsid w:val="009B5514"/>
    <w:rsid w:val="009B5A79"/>
    <w:rsid w:val="009B5D32"/>
    <w:rsid w:val="009B6007"/>
    <w:rsid w:val="009B6425"/>
    <w:rsid w:val="009B6529"/>
    <w:rsid w:val="009B679A"/>
    <w:rsid w:val="009B6A44"/>
    <w:rsid w:val="009B74FD"/>
    <w:rsid w:val="009B76F1"/>
    <w:rsid w:val="009B7702"/>
    <w:rsid w:val="009B772A"/>
    <w:rsid w:val="009C03E7"/>
    <w:rsid w:val="009C0A3E"/>
    <w:rsid w:val="009C0C3F"/>
    <w:rsid w:val="009C0D3E"/>
    <w:rsid w:val="009C1069"/>
    <w:rsid w:val="009C1979"/>
    <w:rsid w:val="009C1CF4"/>
    <w:rsid w:val="009C1CF5"/>
    <w:rsid w:val="009C28C3"/>
    <w:rsid w:val="009C2A8F"/>
    <w:rsid w:val="009C31D6"/>
    <w:rsid w:val="009C331B"/>
    <w:rsid w:val="009C364B"/>
    <w:rsid w:val="009C37FE"/>
    <w:rsid w:val="009C3D9D"/>
    <w:rsid w:val="009C49CC"/>
    <w:rsid w:val="009C4A1E"/>
    <w:rsid w:val="009C5311"/>
    <w:rsid w:val="009C5F7E"/>
    <w:rsid w:val="009C5F8F"/>
    <w:rsid w:val="009C6941"/>
    <w:rsid w:val="009C6980"/>
    <w:rsid w:val="009C6E2E"/>
    <w:rsid w:val="009C70E7"/>
    <w:rsid w:val="009C724F"/>
    <w:rsid w:val="009C7262"/>
    <w:rsid w:val="009C765C"/>
    <w:rsid w:val="009C783C"/>
    <w:rsid w:val="009D053D"/>
    <w:rsid w:val="009D05EE"/>
    <w:rsid w:val="009D0AB7"/>
    <w:rsid w:val="009D0FDA"/>
    <w:rsid w:val="009D15CE"/>
    <w:rsid w:val="009D18D3"/>
    <w:rsid w:val="009D1C3C"/>
    <w:rsid w:val="009D29C7"/>
    <w:rsid w:val="009D2E88"/>
    <w:rsid w:val="009D3066"/>
    <w:rsid w:val="009D3558"/>
    <w:rsid w:val="009D360E"/>
    <w:rsid w:val="009D3695"/>
    <w:rsid w:val="009D4068"/>
    <w:rsid w:val="009D4279"/>
    <w:rsid w:val="009D4305"/>
    <w:rsid w:val="009D43B2"/>
    <w:rsid w:val="009D4695"/>
    <w:rsid w:val="009D46E2"/>
    <w:rsid w:val="009D4781"/>
    <w:rsid w:val="009D57B7"/>
    <w:rsid w:val="009D6627"/>
    <w:rsid w:val="009D6E77"/>
    <w:rsid w:val="009D6EFD"/>
    <w:rsid w:val="009D7054"/>
    <w:rsid w:val="009D7299"/>
    <w:rsid w:val="009D77BB"/>
    <w:rsid w:val="009E0A37"/>
    <w:rsid w:val="009E0C37"/>
    <w:rsid w:val="009E0D16"/>
    <w:rsid w:val="009E122C"/>
    <w:rsid w:val="009E1337"/>
    <w:rsid w:val="009E1C5A"/>
    <w:rsid w:val="009E1E30"/>
    <w:rsid w:val="009E27C4"/>
    <w:rsid w:val="009E2922"/>
    <w:rsid w:val="009E332C"/>
    <w:rsid w:val="009E339A"/>
    <w:rsid w:val="009E34A9"/>
    <w:rsid w:val="009E36B4"/>
    <w:rsid w:val="009E3922"/>
    <w:rsid w:val="009E3C19"/>
    <w:rsid w:val="009E3CE7"/>
    <w:rsid w:val="009E3D01"/>
    <w:rsid w:val="009E453F"/>
    <w:rsid w:val="009E4602"/>
    <w:rsid w:val="009E4A0F"/>
    <w:rsid w:val="009E4DBE"/>
    <w:rsid w:val="009E5040"/>
    <w:rsid w:val="009E53B6"/>
    <w:rsid w:val="009E53C6"/>
    <w:rsid w:val="009E54A3"/>
    <w:rsid w:val="009E552E"/>
    <w:rsid w:val="009E6707"/>
    <w:rsid w:val="009E68F1"/>
    <w:rsid w:val="009E6988"/>
    <w:rsid w:val="009E6A73"/>
    <w:rsid w:val="009E7053"/>
    <w:rsid w:val="009E7209"/>
    <w:rsid w:val="009E7362"/>
    <w:rsid w:val="009E7824"/>
    <w:rsid w:val="009E7AB8"/>
    <w:rsid w:val="009F02CA"/>
    <w:rsid w:val="009F052D"/>
    <w:rsid w:val="009F0666"/>
    <w:rsid w:val="009F0A3D"/>
    <w:rsid w:val="009F10A1"/>
    <w:rsid w:val="009F11C3"/>
    <w:rsid w:val="009F14BA"/>
    <w:rsid w:val="009F169E"/>
    <w:rsid w:val="009F2F36"/>
    <w:rsid w:val="009F3067"/>
    <w:rsid w:val="009F37BC"/>
    <w:rsid w:val="009F3D59"/>
    <w:rsid w:val="009F3D9B"/>
    <w:rsid w:val="009F4133"/>
    <w:rsid w:val="009F42E6"/>
    <w:rsid w:val="009F44CA"/>
    <w:rsid w:val="009F4E4D"/>
    <w:rsid w:val="009F53B0"/>
    <w:rsid w:val="009F5FA5"/>
    <w:rsid w:val="009F6163"/>
    <w:rsid w:val="009F6321"/>
    <w:rsid w:val="009F6DEC"/>
    <w:rsid w:val="009F6F46"/>
    <w:rsid w:val="009F70BF"/>
    <w:rsid w:val="009F7559"/>
    <w:rsid w:val="009F75C9"/>
    <w:rsid w:val="009F774E"/>
    <w:rsid w:val="009F7ADD"/>
    <w:rsid w:val="00A006E5"/>
    <w:rsid w:val="00A01091"/>
    <w:rsid w:val="00A01218"/>
    <w:rsid w:val="00A01332"/>
    <w:rsid w:val="00A0146F"/>
    <w:rsid w:val="00A020BC"/>
    <w:rsid w:val="00A027CF"/>
    <w:rsid w:val="00A0282D"/>
    <w:rsid w:val="00A028A3"/>
    <w:rsid w:val="00A02D65"/>
    <w:rsid w:val="00A02DE0"/>
    <w:rsid w:val="00A02ECE"/>
    <w:rsid w:val="00A02FA6"/>
    <w:rsid w:val="00A0327F"/>
    <w:rsid w:val="00A03537"/>
    <w:rsid w:val="00A03555"/>
    <w:rsid w:val="00A03C50"/>
    <w:rsid w:val="00A03E89"/>
    <w:rsid w:val="00A041F4"/>
    <w:rsid w:val="00A04200"/>
    <w:rsid w:val="00A04846"/>
    <w:rsid w:val="00A04AED"/>
    <w:rsid w:val="00A04C30"/>
    <w:rsid w:val="00A04DF2"/>
    <w:rsid w:val="00A04FAE"/>
    <w:rsid w:val="00A05546"/>
    <w:rsid w:val="00A05758"/>
    <w:rsid w:val="00A0596B"/>
    <w:rsid w:val="00A06189"/>
    <w:rsid w:val="00A067A4"/>
    <w:rsid w:val="00A06AF3"/>
    <w:rsid w:val="00A06B3E"/>
    <w:rsid w:val="00A06E5E"/>
    <w:rsid w:val="00A0715C"/>
    <w:rsid w:val="00A07342"/>
    <w:rsid w:val="00A07392"/>
    <w:rsid w:val="00A078E0"/>
    <w:rsid w:val="00A0796C"/>
    <w:rsid w:val="00A07FEF"/>
    <w:rsid w:val="00A10704"/>
    <w:rsid w:val="00A10A84"/>
    <w:rsid w:val="00A10CB0"/>
    <w:rsid w:val="00A110A4"/>
    <w:rsid w:val="00A11623"/>
    <w:rsid w:val="00A11BEA"/>
    <w:rsid w:val="00A11CC9"/>
    <w:rsid w:val="00A12297"/>
    <w:rsid w:val="00A12376"/>
    <w:rsid w:val="00A12441"/>
    <w:rsid w:val="00A12E9D"/>
    <w:rsid w:val="00A13AC8"/>
    <w:rsid w:val="00A14DBA"/>
    <w:rsid w:val="00A14F56"/>
    <w:rsid w:val="00A1504E"/>
    <w:rsid w:val="00A150B3"/>
    <w:rsid w:val="00A15145"/>
    <w:rsid w:val="00A153DB"/>
    <w:rsid w:val="00A15A2A"/>
    <w:rsid w:val="00A160B6"/>
    <w:rsid w:val="00A1624A"/>
    <w:rsid w:val="00A16C7D"/>
    <w:rsid w:val="00A16DC9"/>
    <w:rsid w:val="00A16DE5"/>
    <w:rsid w:val="00A16E59"/>
    <w:rsid w:val="00A17842"/>
    <w:rsid w:val="00A178A9"/>
    <w:rsid w:val="00A21064"/>
    <w:rsid w:val="00A217A4"/>
    <w:rsid w:val="00A21805"/>
    <w:rsid w:val="00A21E34"/>
    <w:rsid w:val="00A22360"/>
    <w:rsid w:val="00A2266A"/>
    <w:rsid w:val="00A22680"/>
    <w:rsid w:val="00A22880"/>
    <w:rsid w:val="00A22EE5"/>
    <w:rsid w:val="00A2312D"/>
    <w:rsid w:val="00A23AFC"/>
    <w:rsid w:val="00A23C0C"/>
    <w:rsid w:val="00A23F0E"/>
    <w:rsid w:val="00A23FCB"/>
    <w:rsid w:val="00A244C2"/>
    <w:rsid w:val="00A24878"/>
    <w:rsid w:val="00A24EBF"/>
    <w:rsid w:val="00A2592A"/>
    <w:rsid w:val="00A25984"/>
    <w:rsid w:val="00A259C5"/>
    <w:rsid w:val="00A2631B"/>
    <w:rsid w:val="00A268EC"/>
    <w:rsid w:val="00A26F55"/>
    <w:rsid w:val="00A26FA5"/>
    <w:rsid w:val="00A27462"/>
    <w:rsid w:val="00A300A8"/>
    <w:rsid w:val="00A30387"/>
    <w:rsid w:val="00A30470"/>
    <w:rsid w:val="00A304C9"/>
    <w:rsid w:val="00A306B9"/>
    <w:rsid w:val="00A3074F"/>
    <w:rsid w:val="00A307AE"/>
    <w:rsid w:val="00A30F7F"/>
    <w:rsid w:val="00A3113D"/>
    <w:rsid w:val="00A3129E"/>
    <w:rsid w:val="00A312EE"/>
    <w:rsid w:val="00A31797"/>
    <w:rsid w:val="00A31A43"/>
    <w:rsid w:val="00A31C20"/>
    <w:rsid w:val="00A328CB"/>
    <w:rsid w:val="00A32BA4"/>
    <w:rsid w:val="00A32C8F"/>
    <w:rsid w:val="00A335EA"/>
    <w:rsid w:val="00A33902"/>
    <w:rsid w:val="00A35153"/>
    <w:rsid w:val="00A3528D"/>
    <w:rsid w:val="00A35E1F"/>
    <w:rsid w:val="00A35FB3"/>
    <w:rsid w:val="00A3601C"/>
    <w:rsid w:val="00A36047"/>
    <w:rsid w:val="00A363FE"/>
    <w:rsid w:val="00A36522"/>
    <w:rsid w:val="00A365B3"/>
    <w:rsid w:val="00A36736"/>
    <w:rsid w:val="00A36D9F"/>
    <w:rsid w:val="00A36F22"/>
    <w:rsid w:val="00A37362"/>
    <w:rsid w:val="00A377DC"/>
    <w:rsid w:val="00A37B0B"/>
    <w:rsid w:val="00A37C37"/>
    <w:rsid w:val="00A37D64"/>
    <w:rsid w:val="00A37F23"/>
    <w:rsid w:val="00A40472"/>
    <w:rsid w:val="00A40B7C"/>
    <w:rsid w:val="00A41BBE"/>
    <w:rsid w:val="00A41BC0"/>
    <w:rsid w:val="00A41C22"/>
    <w:rsid w:val="00A428F5"/>
    <w:rsid w:val="00A42A18"/>
    <w:rsid w:val="00A42A1C"/>
    <w:rsid w:val="00A43279"/>
    <w:rsid w:val="00A437BA"/>
    <w:rsid w:val="00A43C6E"/>
    <w:rsid w:val="00A43F1B"/>
    <w:rsid w:val="00A44FD7"/>
    <w:rsid w:val="00A450F7"/>
    <w:rsid w:val="00A454A0"/>
    <w:rsid w:val="00A462BA"/>
    <w:rsid w:val="00A469D6"/>
    <w:rsid w:val="00A46B82"/>
    <w:rsid w:val="00A476D6"/>
    <w:rsid w:val="00A47B97"/>
    <w:rsid w:val="00A47E6A"/>
    <w:rsid w:val="00A50094"/>
    <w:rsid w:val="00A50B5B"/>
    <w:rsid w:val="00A50C8E"/>
    <w:rsid w:val="00A51308"/>
    <w:rsid w:val="00A51474"/>
    <w:rsid w:val="00A51848"/>
    <w:rsid w:val="00A52091"/>
    <w:rsid w:val="00A52664"/>
    <w:rsid w:val="00A52997"/>
    <w:rsid w:val="00A52E04"/>
    <w:rsid w:val="00A536FD"/>
    <w:rsid w:val="00A53D7C"/>
    <w:rsid w:val="00A53D9C"/>
    <w:rsid w:val="00A544A2"/>
    <w:rsid w:val="00A547E1"/>
    <w:rsid w:val="00A54DE6"/>
    <w:rsid w:val="00A55A96"/>
    <w:rsid w:val="00A55EDA"/>
    <w:rsid w:val="00A56A21"/>
    <w:rsid w:val="00A56A4D"/>
    <w:rsid w:val="00A56BBA"/>
    <w:rsid w:val="00A56E9C"/>
    <w:rsid w:val="00A56EF4"/>
    <w:rsid w:val="00A577DB"/>
    <w:rsid w:val="00A579C0"/>
    <w:rsid w:val="00A579F9"/>
    <w:rsid w:val="00A57CF1"/>
    <w:rsid w:val="00A57E34"/>
    <w:rsid w:val="00A60478"/>
    <w:rsid w:val="00A60B8E"/>
    <w:rsid w:val="00A60C01"/>
    <w:rsid w:val="00A60E79"/>
    <w:rsid w:val="00A61136"/>
    <w:rsid w:val="00A6161B"/>
    <w:rsid w:val="00A61634"/>
    <w:rsid w:val="00A6179B"/>
    <w:rsid w:val="00A61A64"/>
    <w:rsid w:val="00A61E4B"/>
    <w:rsid w:val="00A622A7"/>
    <w:rsid w:val="00A62794"/>
    <w:rsid w:val="00A62B8D"/>
    <w:rsid w:val="00A63177"/>
    <w:rsid w:val="00A6327A"/>
    <w:rsid w:val="00A63336"/>
    <w:rsid w:val="00A63388"/>
    <w:rsid w:val="00A633F2"/>
    <w:rsid w:val="00A63807"/>
    <w:rsid w:val="00A63DD9"/>
    <w:rsid w:val="00A64635"/>
    <w:rsid w:val="00A64C67"/>
    <w:rsid w:val="00A64EBE"/>
    <w:rsid w:val="00A65423"/>
    <w:rsid w:val="00A657A2"/>
    <w:rsid w:val="00A66A28"/>
    <w:rsid w:val="00A66E9F"/>
    <w:rsid w:val="00A66FE6"/>
    <w:rsid w:val="00A67473"/>
    <w:rsid w:val="00A67B68"/>
    <w:rsid w:val="00A700A0"/>
    <w:rsid w:val="00A70116"/>
    <w:rsid w:val="00A70782"/>
    <w:rsid w:val="00A70E7D"/>
    <w:rsid w:val="00A718A2"/>
    <w:rsid w:val="00A71AA8"/>
    <w:rsid w:val="00A722DE"/>
    <w:rsid w:val="00A72432"/>
    <w:rsid w:val="00A72840"/>
    <w:rsid w:val="00A72BC6"/>
    <w:rsid w:val="00A72DA5"/>
    <w:rsid w:val="00A72F95"/>
    <w:rsid w:val="00A73381"/>
    <w:rsid w:val="00A73732"/>
    <w:rsid w:val="00A73A2E"/>
    <w:rsid w:val="00A73EBC"/>
    <w:rsid w:val="00A7409B"/>
    <w:rsid w:val="00A749A5"/>
    <w:rsid w:val="00A74A5D"/>
    <w:rsid w:val="00A75643"/>
    <w:rsid w:val="00A75E1F"/>
    <w:rsid w:val="00A75F65"/>
    <w:rsid w:val="00A76143"/>
    <w:rsid w:val="00A76618"/>
    <w:rsid w:val="00A7679D"/>
    <w:rsid w:val="00A7692E"/>
    <w:rsid w:val="00A769EC"/>
    <w:rsid w:val="00A76C50"/>
    <w:rsid w:val="00A7700F"/>
    <w:rsid w:val="00A772A8"/>
    <w:rsid w:val="00A7743D"/>
    <w:rsid w:val="00A77642"/>
    <w:rsid w:val="00A80340"/>
    <w:rsid w:val="00A8063C"/>
    <w:rsid w:val="00A80F22"/>
    <w:rsid w:val="00A80F77"/>
    <w:rsid w:val="00A813C2"/>
    <w:rsid w:val="00A81572"/>
    <w:rsid w:val="00A8172A"/>
    <w:rsid w:val="00A81764"/>
    <w:rsid w:val="00A818E8"/>
    <w:rsid w:val="00A81BE9"/>
    <w:rsid w:val="00A82389"/>
    <w:rsid w:val="00A8244A"/>
    <w:rsid w:val="00A825C8"/>
    <w:rsid w:val="00A8299D"/>
    <w:rsid w:val="00A82A9F"/>
    <w:rsid w:val="00A82C35"/>
    <w:rsid w:val="00A82EE0"/>
    <w:rsid w:val="00A82EEA"/>
    <w:rsid w:val="00A83380"/>
    <w:rsid w:val="00A83539"/>
    <w:rsid w:val="00A8356D"/>
    <w:rsid w:val="00A83651"/>
    <w:rsid w:val="00A837D8"/>
    <w:rsid w:val="00A8393D"/>
    <w:rsid w:val="00A83BF0"/>
    <w:rsid w:val="00A83DA4"/>
    <w:rsid w:val="00A83EFB"/>
    <w:rsid w:val="00A8406E"/>
    <w:rsid w:val="00A84226"/>
    <w:rsid w:val="00A8448B"/>
    <w:rsid w:val="00A84530"/>
    <w:rsid w:val="00A84A94"/>
    <w:rsid w:val="00A8583F"/>
    <w:rsid w:val="00A865D9"/>
    <w:rsid w:val="00A867AA"/>
    <w:rsid w:val="00A867F8"/>
    <w:rsid w:val="00A86C3A"/>
    <w:rsid w:val="00A86C74"/>
    <w:rsid w:val="00A86E7E"/>
    <w:rsid w:val="00A86EC6"/>
    <w:rsid w:val="00A871FA"/>
    <w:rsid w:val="00A874F4"/>
    <w:rsid w:val="00A8794D"/>
    <w:rsid w:val="00A9009E"/>
    <w:rsid w:val="00A90263"/>
    <w:rsid w:val="00A906E4"/>
    <w:rsid w:val="00A908AE"/>
    <w:rsid w:val="00A9124A"/>
    <w:rsid w:val="00A9141E"/>
    <w:rsid w:val="00A91805"/>
    <w:rsid w:val="00A92097"/>
    <w:rsid w:val="00A92260"/>
    <w:rsid w:val="00A922DA"/>
    <w:rsid w:val="00A92313"/>
    <w:rsid w:val="00A92A3F"/>
    <w:rsid w:val="00A92E04"/>
    <w:rsid w:val="00A93224"/>
    <w:rsid w:val="00A935DC"/>
    <w:rsid w:val="00A93DEA"/>
    <w:rsid w:val="00A94065"/>
    <w:rsid w:val="00A94137"/>
    <w:rsid w:val="00A94403"/>
    <w:rsid w:val="00A94592"/>
    <w:rsid w:val="00A9467D"/>
    <w:rsid w:val="00A94726"/>
    <w:rsid w:val="00A953EE"/>
    <w:rsid w:val="00A954B0"/>
    <w:rsid w:val="00A95D0C"/>
    <w:rsid w:val="00A95ECC"/>
    <w:rsid w:val="00A961D2"/>
    <w:rsid w:val="00A96213"/>
    <w:rsid w:val="00A964A9"/>
    <w:rsid w:val="00A96968"/>
    <w:rsid w:val="00A96BCB"/>
    <w:rsid w:val="00A97045"/>
    <w:rsid w:val="00A97363"/>
    <w:rsid w:val="00A976F9"/>
    <w:rsid w:val="00AA075A"/>
    <w:rsid w:val="00AA1104"/>
    <w:rsid w:val="00AA110A"/>
    <w:rsid w:val="00AA2162"/>
    <w:rsid w:val="00AA2881"/>
    <w:rsid w:val="00AA2E12"/>
    <w:rsid w:val="00AA2EBB"/>
    <w:rsid w:val="00AA3267"/>
    <w:rsid w:val="00AA3D7D"/>
    <w:rsid w:val="00AA3D9E"/>
    <w:rsid w:val="00AA3FD5"/>
    <w:rsid w:val="00AA406A"/>
    <w:rsid w:val="00AA44F8"/>
    <w:rsid w:val="00AA4929"/>
    <w:rsid w:val="00AA5071"/>
    <w:rsid w:val="00AA509E"/>
    <w:rsid w:val="00AA557B"/>
    <w:rsid w:val="00AA5753"/>
    <w:rsid w:val="00AA5AEE"/>
    <w:rsid w:val="00AA657C"/>
    <w:rsid w:val="00AA67F0"/>
    <w:rsid w:val="00AA6B44"/>
    <w:rsid w:val="00AA6DD8"/>
    <w:rsid w:val="00AA7140"/>
    <w:rsid w:val="00AA71FB"/>
    <w:rsid w:val="00AA7810"/>
    <w:rsid w:val="00AA7897"/>
    <w:rsid w:val="00AB07A2"/>
    <w:rsid w:val="00AB0832"/>
    <w:rsid w:val="00AB0CD1"/>
    <w:rsid w:val="00AB164D"/>
    <w:rsid w:val="00AB1834"/>
    <w:rsid w:val="00AB1EB6"/>
    <w:rsid w:val="00AB1F2F"/>
    <w:rsid w:val="00AB2428"/>
    <w:rsid w:val="00AB2628"/>
    <w:rsid w:val="00AB293F"/>
    <w:rsid w:val="00AB2A6C"/>
    <w:rsid w:val="00AB32AB"/>
    <w:rsid w:val="00AB339F"/>
    <w:rsid w:val="00AB3C67"/>
    <w:rsid w:val="00AB4728"/>
    <w:rsid w:val="00AB49C0"/>
    <w:rsid w:val="00AB4AE2"/>
    <w:rsid w:val="00AB4AFD"/>
    <w:rsid w:val="00AB4CB4"/>
    <w:rsid w:val="00AB4E07"/>
    <w:rsid w:val="00AB53FF"/>
    <w:rsid w:val="00AB5985"/>
    <w:rsid w:val="00AB59B3"/>
    <w:rsid w:val="00AB61B7"/>
    <w:rsid w:val="00AB67B0"/>
    <w:rsid w:val="00AB6B26"/>
    <w:rsid w:val="00AB6C15"/>
    <w:rsid w:val="00AB7765"/>
    <w:rsid w:val="00AB7A2C"/>
    <w:rsid w:val="00AB7A77"/>
    <w:rsid w:val="00AB7B9B"/>
    <w:rsid w:val="00AB7DA6"/>
    <w:rsid w:val="00AB7E44"/>
    <w:rsid w:val="00AC02EF"/>
    <w:rsid w:val="00AC032E"/>
    <w:rsid w:val="00AC09FD"/>
    <w:rsid w:val="00AC0BA1"/>
    <w:rsid w:val="00AC0ED0"/>
    <w:rsid w:val="00AC0FF2"/>
    <w:rsid w:val="00AC1321"/>
    <w:rsid w:val="00AC1957"/>
    <w:rsid w:val="00AC2A33"/>
    <w:rsid w:val="00AC345A"/>
    <w:rsid w:val="00AC35B4"/>
    <w:rsid w:val="00AC37DA"/>
    <w:rsid w:val="00AC3AF5"/>
    <w:rsid w:val="00AC3DC2"/>
    <w:rsid w:val="00AC410E"/>
    <w:rsid w:val="00AC426B"/>
    <w:rsid w:val="00AC4E13"/>
    <w:rsid w:val="00AC5261"/>
    <w:rsid w:val="00AC556F"/>
    <w:rsid w:val="00AC5837"/>
    <w:rsid w:val="00AC58FB"/>
    <w:rsid w:val="00AC59F9"/>
    <w:rsid w:val="00AC5A4D"/>
    <w:rsid w:val="00AC641F"/>
    <w:rsid w:val="00AD0099"/>
    <w:rsid w:val="00AD0156"/>
    <w:rsid w:val="00AD08DF"/>
    <w:rsid w:val="00AD1306"/>
    <w:rsid w:val="00AD1395"/>
    <w:rsid w:val="00AD1585"/>
    <w:rsid w:val="00AD24AD"/>
    <w:rsid w:val="00AD24B5"/>
    <w:rsid w:val="00AD24F7"/>
    <w:rsid w:val="00AD259F"/>
    <w:rsid w:val="00AD2B6E"/>
    <w:rsid w:val="00AD330E"/>
    <w:rsid w:val="00AD43DE"/>
    <w:rsid w:val="00AD48B1"/>
    <w:rsid w:val="00AD48B7"/>
    <w:rsid w:val="00AD49DE"/>
    <w:rsid w:val="00AD4C96"/>
    <w:rsid w:val="00AD585A"/>
    <w:rsid w:val="00AD5B36"/>
    <w:rsid w:val="00AD5F7E"/>
    <w:rsid w:val="00AD6565"/>
    <w:rsid w:val="00AD69E5"/>
    <w:rsid w:val="00AD7729"/>
    <w:rsid w:val="00AD773E"/>
    <w:rsid w:val="00AD7D76"/>
    <w:rsid w:val="00AE03C8"/>
    <w:rsid w:val="00AE0A68"/>
    <w:rsid w:val="00AE0C60"/>
    <w:rsid w:val="00AE0D31"/>
    <w:rsid w:val="00AE10A0"/>
    <w:rsid w:val="00AE15D6"/>
    <w:rsid w:val="00AE1738"/>
    <w:rsid w:val="00AE1C68"/>
    <w:rsid w:val="00AE1C72"/>
    <w:rsid w:val="00AE2012"/>
    <w:rsid w:val="00AE2F68"/>
    <w:rsid w:val="00AE3615"/>
    <w:rsid w:val="00AE377E"/>
    <w:rsid w:val="00AE3AEA"/>
    <w:rsid w:val="00AE43E0"/>
    <w:rsid w:val="00AE44FA"/>
    <w:rsid w:val="00AE5363"/>
    <w:rsid w:val="00AE53E6"/>
    <w:rsid w:val="00AE574B"/>
    <w:rsid w:val="00AE59C2"/>
    <w:rsid w:val="00AE5AD7"/>
    <w:rsid w:val="00AE6365"/>
    <w:rsid w:val="00AE6930"/>
    <w:rsid w:val="00AE6E3A"/>
    <w:rsid w:val="00AE6E7C"/>
    <w:rsid w:val="00AE737A"/>
    <w:rsid w:val="00AE76D4"/>
    <w:rsid w:val="00AE7B6F"/>
    <w:rsid w:val="00AE7D4C"/>
    <w:rsid w:val="00AE7F67"/>
    <w:rsid w:val="00AF00ED"/>
    <w:rsid w:val="00AF020E"/>
    <w:rsid w:val="00AF04F8"/>
    <w:rsid w:val="00AF0842"/>
    <w:rsid w:val="00AF0A5C"/>
    <w:rsid w:val="00AF0CCE"/>
    <w:rsid w:val="00AF0DB5"/>
    <w:rsid w:val="00AF0F92"/>
    <w:rsid w:val="00AF14D5"/>
    <w:rsid w:val="00AF1629"/>
    <w:rsid w:val="00AF2935"/>
    <w:rsid w:val="00AF2A37"/>
    <w:rsid w:val="00AF2F0B"/>
    <w:rsid w:val="00AF3715"/>
    <w:rsid w:val="00AF3B95"/>
    <w:rsid w:val="00AF3B9A"/>
    <w:rsid w:val="00AF4037"/>
    <w:rsid w:val="00AF4398"/>
    <w:rsid w:val="00AF45FF"/>
    <w:rsid w:val="00AF48D2"/>
    <w:rsid w:val="00AF4BEC"/>
    <w:rsid w:val="00AF4E01"/>
    <w:rsid w:val="00AF4EB3"/>
    <w:rsid w:val="00AF51DA"/>
    <w:rsid w:val="00AF5218"/>
    <w:rsid w:val="00AF5FD3"/>
    <w:rsid w:val="00AF60E0"/>
    <w:rsid w:val="00AF61C1"/>
    <w:rsid w:val="00AF7161"/>
    <w:rsid w:val="00AF7618"/>
    <w:rsid w:val="00AF7EF3"/>
    <w:rsid w:val="00B00047"/>
    <w:rsid w:val="00B008A1"/>
    <w:rsid w:val="00B009E2"/>
    <w:rsid w:val="00B00E71"/>
    <w:rsid w:val="00B01466"/>
    <w:rsid w:val="00B01757"/>
    <w:rsid w:val="00B01DE1"/>
    <w:rsid w:val="00B025D1"/>
    <w:rsid w:val="00B027D9"/>
    <w:rsid w:val="00B030A0"/>
    <w:rsid w:val="00B03160"/>
    <w:rsid w:val="00B032F0"/>
    <w:rsid w:val="00B03316"/>
    <w:rsid w:val="00B037DD"/>
    <w:rsid w:val="00B03A14"/>
    <w:rsid w:val="00B03BC8"/>
    <w:rsid w:val="00B046BB"/>
    <w:rsid w:val="00B047B1"/>
    <w:rsid w:val="00B04BA4"/>
    <w:rsid w:val="00B04C47"/>
    <w:rsid w:val="00B050E9"/>
    <w:rsid w:val="00B05692"/>
    <w:rsid w:val="00B058BB"/>
    <w:rsid w:val="00B059BB"/>
    <w:rsid w:val="00B06721"/>
    <w:rsid w:val="00B0705C"/>
    <w:rsid w:val="00B07591"/>
    <w:rsid w:val="00B0767D"/>
    <w:rsid w:val="00B07DF9"/>
    <w:rsid w:val="00B10140"/>
    <w:rsid w:val="00B101BC"/>
    <w:rsid w:val="00B1082C"/>
    <w:rsid w:val="00B10924"/>
    <w:rsid w:val="00B109AE"/>
    <w:rsid w:val="00B114A0"/>
    <w:rsid w:val="00B11AE6"/>
    <w:rsid w:val="00B11CB8"/>
    <w:rsid w:val="00B12057"/>
    <w:rsid w:val="00B122A3"/>
    <w:rsid w:val="00B12955"/>
    <w:rsid w:val="00B12979"/>
    <w:rsid w:val="00B129BC"/>
    <w:rsid w:val="00B130D9"/>
    <w:rsid w:val="00B13385"/>
    <w:rsid w:val="00B13695"/>
    <w:rsid w:val="00B13FA1"/>
    <w:rsid w:val="00B141EB"/>
    <w:rsid w:val="00B14AA9"/>
    <w:rsid w:val="00B15AB8"/>
    <w:rsid w:val="00B15BE6"/>
    <w:rsid w:val="00B15D24"/>
    <w:rsid w:val="00B16232"/>
    <w:rsid w:val="00B16592"/>
    <w:rsid w:val="00B16A48"/>
    <w:rsid w:val="00B16D57"/>
    <w:rsid w:val="00B17398"/>
    <w:rsid w:val="00B177A1"/>
    <w:rsid w:val="00B1783E"/>
    <w:rsid w:val="00B17996"/>
    <w:rsid w:val="00B17FFE"/>
    <w:rsid w:val="00B20E46"/>
    <w:rsid w:val="00B21056"/>
    <w:rsid w:val="00B21235"/>
    <w:rsid w:val="00B21266"/>
    <w:rsid w:val="00B21A99"/>
    <w:rsid w:val="00B2250F"/>
    <w:rsid w:val="00B22593"/>
    <w:rsid w:val="00B226B8"/>
    <w:rsid w:val="00B227E3"/>
    <w:rsid w:val="00B228D5"/>
    <w:rsid w:val="00B22B7E"/>
    <w:rsid w:val="00B22E49"/>
    <w:rsid w:val="00B2317A"/>
    <w:rsid w:val="00B23C4E"/>
    <w:rsid w:val="00B23D03"/>
    <w:rsid w:val="00B2499D"/>
    <w:rsid w:val="00B24CE2"/>
    <w:rsid w:val="00B24EA5"/>
    <w:rsid w:val="00B250C2"/>
    <w:rsid w:val="00B25885"/>
    <w:rsid w:val="00B25BFC"/>
    <w:rsid w:val="00B25D78"/>
    <w:rsid w:val="00B26BE8"/>
    <w:rsid w:val="00B26EC8"/>
    <w:rsid w:val="00B27044"/>
    <w:rsid w:val="00B27152"/>
    <w:rsid w:val="00B2736B"/>
    <w:rsid w:val="00B279E2"/>
    <w:rsid w:val="00B308B2"/>
    <w:rsid w:val="00B312F8"/>
    <w:rsid w:val="00B313F8"/>
    <w:rsid w:val="00B314DF"/>
    <w:rsid w:val="00B31931"/>
    <w:rsid w:val="00B32002"/>
    <w:rsid w:val="00B32087"/>
    <w:rsid w:val="00B33243"/>
    <w:rsid w:val="00B33422"/>
    <w:rsid w:val="00B339DC"/>
    <w:rsid w:val="00B33FC5"/>
    <w:rsid w:val="00B340B0"/>
    <w:rsid w:val="00B34284"/>
    <w:rsid w:val="00B3470E"/>
    <w:rsid w:val="00B348DD"/>
    <w:rsid w:val="00B34D87"/>
    <w:rsid w:val="00B351FB"/>
    <w:rsid w:val="00B35618"/>
    <w:rsid w:val="00B35C09"/>
    <w:rsid w:val="00B35C15"/>
    <w:rsid w:val="00B366C7"/>
    <w:rsid w:val="00B36D68"/>
    <w:rsid w:val="00B37396"/>
    <w:rsid w:val="00B3769B"/>
    <w:rsid w:val="00B37AA6"/>
    <w:rsid w:val="00B37CE2"/>
    <w:rsid w:val="00B400B0"/>
    <w:rsid w:val="00B401D6"/>
    <w:rsid w:val="00B403EA"/>
    <w:rsid w:val="00B40599"/>
    <w:rsid w:val="00B4073F"/>
    <w:rsid w:val="00B40760"/>
    <w:rsid w:val="00B40B95"/>
    <w:rsid w:val="00B415E6"/>
    <w:rsid w:val="00B4173B"/>
    <w:rsid w:val="00B41C45"/>
    <w:rsid w:val="00B41CFA"/>
    <w:rsid w:val="00B41E5B"/>
    <w:rsid w:val="00B42281"/>
    <w:rsid w:val="00B424DD"/>
    <w:rsid w:val="00B42968"/>
    <w:rsid w:val="00B42AB2"/>
    <w:rsid w:val="00B42AE2"/>
    <w:rsid w:val="00B42E5F"/>
    <w:rsid w:val="00B43215"/>
    <w:rsid w:val="00B4336C"/>
    <w:rsid w:val="00B434A5"/>
    <w:rsid w:val="00B4421F"/>
    <w:rsid w:val="00B445D8"/>
    <w:rsid w:val="00B447B2"/>
    <w:rsid w:val="00B455B4"/>
    <w:rsid w:val="00B458FE"/>
    <w:rsid w:val="00B469F0"/>
    <w:rsid w:val="00B47B53"/>
    <w:rsid w:val="00B47ECF"/>
    <w:rsid w:val="00B500B2"/>
    <w:rsid w:val="00B50143"/>
    <w:rsid w:val="00B501FB"/>
    <w:rsid w:val="00B50654"/>
    <w:rsid w:val="00B50687"/>
    <w:rsid w:val="00B506B9"/>
    <w:rsid w:val="00B50880"/>
    <w:rsid w:val="00B50E75"/>
    <w:rsid w:val="00B51162"/>
    <w:rsid w:val="00B516E3"/>
    <w:rsid w:val="00B51B23"/>
    <w:rsid w:val="00B52890"/>
    <w:rsid w:val="00B52AE2"/>
    <w:rsid w:val="00B52C77"/>
    <w:rsid w:val="00B52DCC"/>
    <w:rsid w:val="00B52E3F"/>
    <w:rsid w:val="00B53119"/>
    <w:rsid w:val="00B532E2"/>
    <w:rsid w:val="00B53F0A"/>
    <w:rsid w:val="00B542B4"/>
    <w:rsid w:val="00B544B4"/>
    <w:rsid w:val="00B55018"/>
    <w:rsid w:val="00B55222"/>
    <w:rsid w:val="00B5587A"/>
    <w:rsid w:val="00B55DFC"/>
    <w:rsid w:val="00B55EAF"/>
    <w:rsid w:val="00B56550"/>
    <w:rsid w:val="00B566FD"/>
    <w:rsid w:val="00B56734"/>
    <w:rsid w:val="00B567CD"/>
    <w:rsid w:val="00B56BBE"/>
    <w:rsid w:val="00B56CB4"/>
    <w:rsid w:val="00B56E38"/>
    <w:rsid w:val="00B57A23"/>
    <w:rsid w:val="00B57B06"/>
    <w:rsid w:val="00B57DB7"/>
    <w:rsid w:val="00B57FC3"/>
    <w:rsid w:val="00B60C11"/>
    <w:rsid w:val="00B6136D"/>
    <w:rsid w:val="00B617A3"/>
    <w:rsid w:val="00B61844"/>
    <w:rsid w:val="00B61914"/>
    <w:rsid w:val="00B61970"/>
    <w:rsid w:val="00B61B0E"/>
    <w:rsid w:val="00B6202B"/>
    <w:rsid w:val="00B62105"/>
    <w:rsid w:val="00B62A59"/>
    <w:rsid w:val="00B62BD9"/>
    <w:rsid w:val="00B634E3"/>
    <w:rsid w:val="00B6411A"/>
    <w:rsid w:val="00B64323"/>
    <w:rsid w:val="00B64511"/>
    <w:rsid w:val="00B6541D"/>
    <w:rsid w:val="00B655CD"/>
    <w:rsid w:val="00B65862"/>
    <w:rsid w:val="00B65CD7"/>
    <w:rsid w:val="00B660BD"/>
    <w:rsid w:val="00B6615A"/>
    <w:rsid w:val="00B66304"/>
    <w:rsid w:val="00B66543"/>
    <w:rsid w:val="00B66557"/>
    <w:rsid w:val="00B66B02"/>
    <w:rsid w:val="00B66B6D"/>
    <w:rsid w:val="00B66CD3"/>
    <w:rsid w:val="00B674A5"/>
    <w:rsid w:val="00B67975"/>
    <w:rsid w:val="00B702A2"/>
    <w:rsid w:val="00B70335"/>
    <w:rsid w:val="00B704E5"/>
    <w:rsid w:val="00B7080A"/>
    <w:rsid w:val="00B7095C"/>
    <w:rsid w:val="00B70A14"/>
    <w:rsid w:val="00B7108B"/>
    <w:rsid w:val="00B71355"/>
    <w:rsid w:val="00B714C8"/>
    <w:rsid w:val="00B71517"/>
    <w:rsid w:val="00B71613"/>
    <w:rsid w:val="00B716A7"/>
    <w:rsid w:val="00B717DC"/>
    <w:rsid w:val="00B7187F"/>
    <w:rsid w:val="00B71C64"/>
    <w:rsid w:val="00B72013"/>
    <w:rsid w:val="00B72BFF"/>
    <w:rsid w:val="00B73A73"/>
    <w:rsid w:val="00B73F09"/>
    <w:rsid w:val="00B73F1D"/>
    <w:rsid w:val="00B740FA"/>
    <w:rsid w:val="00B742B2"/>
    <w:rsid w:val="00B74AD2"/>
    <w:rsid w:val="00B74C58"/>
    <w:rsid w:val="00B75609"/>
    <w:rsid w:val="00B759D9"/>
    <w:rsid w:val="00B761BC"/>
    <w:rsid w:val="00B763E5"/>
    <w:rsid w:val="00B76490"/>
    <w:rsid w:val="00B766BC"/>
    <w:rsid w:val="00B76A6A"/>
    <w:rsid w:val="00B76CD8"/>
    <w:rsid w:val="00B77A24"/>
    <w:rsid w:val="00B77DED"/>
    <w:rsid w:val="00B8013D"/>
    <w:rsid w:val="00B802BA"/>
    <w:rsid w:val="00B80691"/>
    <w:rsid w:val="00B80DD3"/>
    <w:rsid w:val="00B80EDC"/>
    <w:rsid w:val="00B81909"/>
    <w:rsid w:val="00B81947"/>
    <w:rsid w:val="00B81C0B"/>
    <w:rsid w:val="00B81E74"/>
    <w:rsid w:val="00B82F7C"/>
    <w:rsid w:val="00B8331D"/>
    <w:rsid w:val="00B83A43"/>
    <w:rsid w:val="00B83E36"/>
    <w:rsid w:val="00B83F0A"/>
    <w:rsid w:val="00B84315"/>
    <w:rsid w:val="00B8458D"/>
    <w:rsid w:val="00B848BF"/>
    <w:rsid w:val="00B84CAB"/>
    <w:rsid w:val="00B84D56"/>
    <w:rsid w:val="00B85013"/>
    <w:rsid w:val="00B85418"/>
    <w:rsid w:val="00B854E6"/>
    <w:rsid w:val="00B85604"/>
    <w:rsid w:val="00B85D7C"/>
    <w:rsid w:val="00B8631F"/>
    <w:rsid w:val="00B8634E"/>
    <w:rsid w:val="00B8698A"/>
    <w:rsid w:val="00B86C6F"/>
    <w:rsid w:val="00B86CE1"/>
    <w:rsid w:val="00B86D32"/>
    <w:rsid w:val="00B86D63"/>
    <w:rsid w:val="00B86E6E"/>
    <w:rsid w:val="00B86EC3"/>
    <w:rsid w:val="00B87754"/>
    <w:rsid w:val="00B87A9B"/>
    <w:rsid w:val="00B87C61"/>
    <w:rsid w:val="00B9094B"/>
    <w:rsid w:val="00B912F0"/>
    <w:rsid w:val="00B91376"/>
    <w:rsid w:val="00B92542"/>
    <w:rsid w:val="00B9266F"/>
    <w:rsid w:val="00B92FB7"/>
    <w:rsid w:val="00B936B4"/>
    <w:rsid w:val="00B939B7"/>
    <w:rsid w:val="00B9415B"/>
    <w:rsid w:val="00B946B0"/>
    <w:rsid w:val="00B94722"/>
    <w:rsid w:val="00B94894"/>
    <w:rsid w:val="00B94D59"/>
    <w:rsid w:val="00B9568F"/>
    <w:rsid w:val="00B95AB5"/>
    <w:rsid w:val="00B95EF4"/>
    <w:rsid w:val="00B96483"/>
    <w:rsid w:val="00B9691A"/>
    <w:rsid w:val="00B9698C"/>
    <w:rsid w:val="00B96B4F"/>
    <w:rsid w:val="00B96B94"/>
    <w:rsid w:val="00B96C38"/>
    <w:rsid w:val="00B973E8"/>
    <w:rsid w:val="00B97B79"/>
    <w:rsid w:val="00B97DE5"/>
    <w:rsid w:val="00BA061C"/>
    <w:rsid w:val="00BA0762"/>
    <w:rsid w:val="00BA121D"/>
    <w:rsid w:val="00BA153C"/>
    <w:rsid w:val="00BA168D"/>
    <w:rsid w:val="00BA1FAE"/>
    <w:rsid w:val="00BA1FB0"/>
    <w:rsid w:val="00BA220E"/>
    <w:rsid w:val="00BA2246"/>
    <w:rsid w:val="00BA24CE"/>
    <w:rsid w:val="00BA348A"/>
    <w:rsid w:val="00BA4D7E"/>
    <w:rsid w:val="00BA50D6"/>
    <w:rsid w:val="00BA53F3"/>
    <w:rsid w:val="00BA5796"/>
    <w:rsid w:val="00BA5E64"/>
    <w:rsid w:val="00BA632A"/>
    <w:rsid w:val="00BA6334"/>
    <w:rsid w:val="00BA653F"/>
    <w:rsid w:val="00BA7367"/>
    <w:rsid w:val="00BA7395"/>
    <w:rsid w:val="00BA7746"/>
    <w:rsid w:val="00BA7D28"/>
    <w:rsid w:val="00BB04C0"/>
    <w:rsid w:val="00BB0730"/>
    <w:rsid w:val="00BB07AC"/>
    <w:rsid w:val="00BB0AFC"/>
    <w:rsid w:val="00BB1062"/>
    <w:rsid w:val="00BB135E"/>
    <w:rsid w:val="00BB1C82"/>
    <w:rsid w:val="00BB22A0"/>
    <w:rsid w:val="00BB2929"/>
    <w:rsid w:val="00BB3091"/>
    <w:rsid w:val="00BB3C92"/>
    <w:rsid w:val="00BB4252"/>
    <w:rsid w:val="00BB440B"/>
    <w:rsid w:val="00BB4D5F"/>
    <w:rsid w:val="00BB5009"/>
    <w:rsid w:val="00BB515C"/>
    <w:rsid w:val="00BB51D9"/>
    <w:rsid w:val="00BB64B7"/>
    <w:rsid w:val="00BB684F"/>
    <w:rsid w:val="00BB6EAF"/>
    <w:rsid w:val="00BB75C9"/>
    <w:rsid w:val="00BB77BF"/>
    <w:rsid w:val="00BB793F"/>
    <w:rsid w:val="00BB7BC8"/>
    <w:rsid w:val="00BB7CBE"/>
    <w:rsid w:val="00BB7ED6"/>
    <w:rsid w:val="00BB7EE9"/>
    <w:rsid w:val="00BC0478"/>
    <w:rsid w:val="00BC05E1"/>
    <w:rsid w:val="00BC08E9"/>
    <w:rsid w:val="00BC0A84"/>
    <w:rsid w:val="00BC114C"/>
    <w:rsid w:val="00BC14D4"/>
    <w:rsid w:val="00BC26FE"/>
    <w:rsid w:val="00BC2C16"/>
    <w:rsid w:val="00BC2C8B"/>
    <w:rsid w:val="00BC3334"/>
    <w:rsid w:val="00BC335C"/>
    <w:rsid w:val="00BC3916"/>
    <w:rsid w:val="00BC39F8"/>
    <w:rsid w:val="00BC3AFD"/>
    <w:rsid w:val="00BC410B"/>
    <w:rsid w:val="00BC4350"/>
    <w:rsid w:val="00BC4B17"/>
    <w:rsid w:val="00BC501E"/>
    <w:rsid w:val="00BC5166"/>
    <w:rsid w:val="00BC5543"/>
    <w:rsid w:val="00BC56D5"/>
    <w:rsid w:val="00BC57BB"/>
    <w:rsid w:val="00BC5FB4"/>
    <w:rsid w:val="00BC5FF8"/>
    <w:rsid w:val="00BC6177"/>
    <w:rsid w:val="00BC6BDE"/>
    <w:rsid w:val="00BC6C1F"/>
    <w:rsid w:val="00BD00F2"/>
    <w:rsid w:val="00BD030E"/>
    <w:rsid w:val="00BD05B1"/>
    <w:rsid w:val="00BD13C2"/>
    <w:rsid w:val="00BD15C0"/>
    <w:rsid w:val="00BD1C39"/>
    <w:rsid w:val="00BD1E0A"/>
    <w:rsid w:val="00BD1F82"/>
    <w:rsid w:val="00BD2D60"/>
    <w:rsid w:val="00BD36F0"/>
    <w:rsid w:val="00BD38EF"/>
    <w:rsid w:val="00BD3D92"/>
    <w:rsid w:val="00BD428E"/>
    <w:rsid w:val="00BD4460"/>
    <w:rsid w:val="00BD5170"/>
    <w:rsid w:val="00BD60E1"/>
    <w:rsid w:val="00BD626E"/>
    <w:rsid w:val="00BD627E"/>
    <w:rsid w:val="00BD71E9"/>
    <w:rsid w:val="00BD7421"/>
    <w:rsid w:val="00BD77D1"/>
    <w:rsid w:val="00BD78EC"/>
    <w:rsid w:val="00BD7C1F"/>
    <w:rsid w:val="00BE0496"/>
    <w:rsid w:val="00BE052D"/>
    <w:rsid w:val="00BE05BC"/>
    <w:rsid w:val="00BE070F"/>
    <w:rsid w:val="00BE0B2B"/>
    <w:rsid w:val="00BE0C20"/>
    <w:rsid w:val="00BE0CD6"/>
    <w:rsid w:val="00BE112E"/>
    <w:rsid w:val="00BE14D0"/>
    <w:rsid w:val="00BE1F3D"/>
    <w:rsid w:val="00BE241C"/>
    <w:rsid w:val="00BE28D3"/>
    <w:rsid w:val="00BE2BE0"/>
    <w:rsid w:val="00BE2D76"/>
    <w:rsid w:val="00BE2EDF"/>
    <w:rsid w:val="00BE3048"/>
    <w:rsid w:val="00BE3ADE"/>
    <w:rsid w:val="00BE4804"/>
    <w:rsid w:val="00BE555D"/>
    <w:rsid w:val="00BE5799"/>
    <w:rsid w:val="00BE5DD6"/>
    <w:rsid w:val="00BE5DDE"/>
    <w:rsid w:val="00BE5F38"/>
    <w:rsid w:val="00BE6261"/>
    <w:rsid w:val="00BE67E1"/>
    <w:rsid w:val="00BE6A08"/>
    <w:rsid w:val="00BE6F23"/>
    <w:rsid w:val="00BE6F3C"/>
    <w:rsid w:val="00BE70BC"/>
    <w:rsid w:val="00BE755A"/>
    <w:rsid w:val="00BE7786"/>
    <w:rsid w:val="00BE7DF4"/>
    <w:rsid w:val="00BE7E98"/>
    <w:rsid w:val="00BE7F5B"/>
    <w:rsid w:val="00BF149A"/>
    <w:rsid w:val="00BF1615"/>
    <w:rsid w:val="00BF18BF"/>
    <w:rsid w:val="00BF1989"/>
    <w:rsid w:val="00BF2045"/>
    <w:rsid w:val="00BF230B"/>
    <w:rsid w:val="00BF2C79"/>
    <w:rsid w:val="00BF30F6"/>
    <w:rsid w:val="00BF33CC"/>
    <w:rsid w:val="00BF341D"/>
    <w:rsid w:val="00BF3680"/>
    <w:rsid w:val="00BF3B7A"/>
    <w:rsid w:val="00BF3D02"/>
    <w:rsid w:val="00BF3D69"/>
    <w:rsid w:val="00BF3DC6"/>
    <w:rsid w:val="00BF3DD4"/>
    <w:rsid w:val="00BF3E29"/>
    <w:rsid w:val="00BF3EEC"/>
    <w:rsid w:val="00BF452E"/>
    <w:rsid w:val="00BF4DF6"/>
    <w:rsid w:val="00BF53C1"/>
    <w:rsid w:val="00BF56F9"/>
    <w:rsid w:val="00BF57C7"/>
    <w:rsid w:val="00BF5C69"/>
    <w:rsid w:val="00BF6550"/>
    <w:rsid w:val="00BF7005"/>
    <w:rsid w:val="00BF727C"/>
    <w:rsid w:val="00BF75AD"/>
    <w:rsid w:val="00BF78DA"/>
    <w:rsid w:val="00BF7A3D"/>
    <w:rsid w:val="00BF7D4A"/>
    <w:rsid w:val="00BF7E02"/>
    <w:rsid w:val="00C00291"/>
    <w:rsid w:val="00C00AD2"/>
    <w:rsid w:val="00C010C9"/>
    <w:rsid w:val="00C01324"/>
    <w:rsid w:val="00C01733"/>
    <w:rsid w:val="00C01970"/>
    <w:rsid w:val="00C0243B"/>
    <w:rsid w:val="00C02FE3"/>
    <w:rsid w:val="00C0381D"/>
    <w:rsid w:val="00C03D9B"/>
    <w:rsid w:val="00C04315"/>
    <w:rsid w:val="00C0439B"/>
    <w:rsid w:val="00C048FB"/>
    <w:rsid w:val="00C056B5"/>
    <w:rsid w:val="00C057BA"/>
    <w:rsid w:val="00C05A3B"/>
    <w:rsid w:val="00C05C3E"/>
    <w:rsid w:val="00C0649E"/>
    <w:rsid w:val="00C072EC"/>
    <w:rsid w:val="00C076A0"/>
    <w:rsid w:val="00C103B8"/>
    <w:rsid w:val="00C103CE"/>
    <w:rsid w:val="00C104DE"/>
    <w:rsid w:val="00C10A7A"/>
    <w:rsid w:val="00C1154A"/>
    <w:rsid w:val="00C12015"/>
    <w:rsid w:val="00C1266C"/>
    <w:rsid w:val="00C12C5B"/>
    <w:rsid w:val="00C12E75"/>
    <w:rsid w:val="00C13AE5"/>
    <w:rsid w:val="00C14214"/>
    <w:rsid w:val="00C145FE"/>
    <w:rsid w:val="00C1483F"/>
    <w:rsid w:val="00C14D79"/>
    <w:rsid w:val="00C1513E"/>
    <w:rsid w:val="00C15364"/>
    <w:rsid w:val="00C1581F"/>
    <w:rsid w:val="00C16167"/>
    <w:rsid w:val="00C16270"/>
    <w:rsid w:val="00C16924"/>
    <w:rsid w:val="00C169C8"/>
    <w:rsid w:val="00C16AA7"/>
    <w:rsid w:val="00C1706C"/>
    <w:rsid w:val="00C20299"/>
    <w:rsid w:val="00C20349"/>
    <w:rsid w:val="00C2051D"/>
    <w:rsid w:val="00C20773"/>
    <w:rsid w:val="00C20802"/>
    <w:rsid w:val="00C209E1"/>
    <w:rsid w:val="00C20E08"/>
    <w:rsid w:val="00C21429"/>
    <w:rsid w:val="00C21C00"/>
    <w:rsid w:val="00C22804"/>
    <w:rsid w:val="00C22907"/>
    <w:rsid w:val="00C22FCA"/>
    <w:rsid w:val="00C232D7"/>
    <w:rsid w:val="00C23679"/>
    <w:rsid w:val="00C23F63"/>
    <w:rsid w:val="00C24A9E"/>
    <w:rsid w:val="00C2558A"/>
    <w:rsid w:val="00C257BF"/>
    <w:rsid w:val="00C25F21"/>
    <w:rsid w:val="00C2649A"/>
    <w:rsid w:val="00C26671"/>
    <w:rsid w:val="00C26720"/>
    <w:rsid w:val="00C269A4"/>
    <w:rsid w:val="00C269DA"/>
    <w:rsid w:val="00C26B06"/>
    <w:rsid w:val="00C27BB6"/>
    <w:rsid w:val="00C27E61"/>
    <w:rsid w:val="00C27F71"/>
    <w:rsid w:val="00C30277"/>
    <w:rsid w:val="00C3051E"/>
    <w:rsid w:val="00C30A5A"/>
    <w:rsid w:val="00C30C07"/>
    <w:rsid w:val="00C3181C"/>
    <w:rsid w:val="00C31CD4"/>
    <w:rsid w:val="00C31D77"/>
    <w:rsid w:val="00C31E02"/>
    <w:rsid w:val="00C32143"/>
    <w:rsid w:val="00C32363"/>
    <w:rsid w:val="00C32414"/>
    <w:rsid w:val="00C32554"/>
    <w:rsid w:val="00C3299C"/>
    <w:rsid w:val="00C329B2"/>
    <w:rsid w:val="00C32A91"/>
    <w:rsid w:val="00C32BB0"/>
    <w:rsid w:val="00C32E35"/>
    <w:rsid w:val="00C332E9"/>
    <w:rsid w:val="00C333E5"/>
    <w:rsid w:val="00C334EF"/>
    <w:rsid w:val="00C3385C"/>
    <w:rsid w:val="00C33AF5"/>
    <w:rsid w:val="00C33CC7"/>
    <w:rsid w:val="00C33F42"/>
    <w:rsid w:val="00C34A7E"/>
    <w:rsid w:val="00C35357"/>
    <w:rsid w:val="00C35664"/>
    <w:rsid w:val="00C35D9A"/>
    <w:rsid w:val="00C36995"/>
    <w:rsid w:val="00C36DBC"/>
    <w:rsid w:val="00C37025"/>
    <w:rsid w:val="00C37204"/>
    <w:rsid w:val="00C372CC"/>
    <w:rsid w:val="00C3752E"/>
    <w:rsid w:val="00C376A3"/>
    <w:rsid w:val="00C379A9"/>
    <w:rsid w:val="00C37AF9"/>
    <w:rsid w:val="00C37BC3"/>
    <w:rsid w:val="00C37C6E"/>
    <w:rsid w:val="00C37FAA"/>
    <w:rsid w:val="00C40973"/>
    <w:rsid w:val="00C4099D"/>
    <w:rsid w:val="00C40B9F"/>
    <w:rsid w:val="00C40CBB"/>
    <w:rsid w:val="00C410C8"/>
    <w:rsid w:val="00C416D9"/>
    <w:rsid w:val="00C41C0F"/>
    <w:rsid w:val="00C41D28"/>
    <w:rsid w:val="00C41EBF"/>
    <w:rsid w:val="00C42803"/>
    <w:rsid w:val="00C43563"/>
    <w:rsid w:val="00C43AE7"/>
    <w:rsid w:val="00C43B35"/>
    <w:rsid w:val="00C43FB3"/>
    <w:rsid w:val="00C4447F"/>
    <w:rsid w:val="00C446F1"/>
    <w:rsid w:val="00C44C1C"/>
    <w:rsid w:val="00C44D98"/>
    <w:rsid w:val="00C44DC8"/>
    <w:rsid w:val="00C45D6E"/>
    <w:rsid w:val="00C46005"/>
    <w:rsid w:val="00C460F8"/>
    <w:rsid w:val="00C4675F"/>
    <w:rsid w:val="00C46A75"/>
    <w:rsid w:val="00C46F24"/>
    <w:rsid w:val="00C47358"/>
    <w:rsid w:val="00C478FD"/>
    <w:rsid w:val="00C479B5"/>
    <w:rsid w:val="00C479D5"/>
    <w:rsid w:val="00C47E13"/>
    <w:rsid w:val="00C47E1E"/>
    <w:rsid w:val="00C50EDA"/>
    <w:rsid w:val="00C51274"/>
    <w:rsid w:val="00C51772"/>
    <w:rsid w:val="00C517A2"/>
    <w:rsid w:val="00C51A64"/>
    <w:rsid w:val="00C52176"/>
    <w:rsid w:val="00C5264C"/>
    <w:rsid w:val="00C527FC"/>
    <w:rsid w:val="00C5291B"/>
    <w:rsid w:val="00C529D2"/>
    <w:rsid w:val="00C52E2C"/>
    <w:rsid w:val="00C53093"/>
    <w:rsid w:val="00C5334B"/>
    <w:rsid w:val="00C53668"/>
    <w:rsid w:val="00C54119"/>
    <w:rsid w:val="00C545EC"/>
    <w:rsid w:val="00C5478E"/>
    <w:rsid w:val="00C54C0B"/>
    <w:rsid w:val="00C558AC"/>
    <w:rsid w:val="00C558CC"/>
    <w:rsid w:val="00C56005"/>
    <w:rsid w:val="00C56813"/>
    <w:rsid w:val="00C56D8B"/>
    <w:rsid w:val="00C57203"/>
    <w:rsid w:val="00C573A6"/>
    <w:rsid w:val="00C57753"/>
    <w:rsid w:val="00C57E9C"/>
    <w:rsid w:val="00C57F36"/>
    <w:rsid w:val="00C6019D"/>
    <w:rsid w:val="00C606DC"/>
    <w:rsid w:val="00C60D0F"/>
    <w:rsid w:val="00C60DBF"/>
    <w:rsid w:val="00C6143A"/>
    <w:rsid w:val="00C615F8"/>
    <w:rsid w:val="00C61B59"/>
    <w:rsid w:val="00C6215D"/>
    <w:rsid w:val="00C62B2D"/>
    <w:rsid w:val="00C63555"/>
    <w:rsid w:val="00C6360C"/>
    <w:rsid w:val="00C637AB"/>
    <w:rsid w:val="00C645AB"/>
    <w:rsid w:val="00C64F6A"/>
    <w:rsid w:val="00C65A83"/>
    <w:rsid w:val="00C65A9C"/>
    <w:rsid w:val="00C65B96"/>
    <w:rsid w:val="00C66921"/>
    <w:rsid w:val="00C66C74"/>
    <w:rsid w:val="00C66F9A"/>
    <w:rsid w:val="00C671E7"/>
    <w:rsid w:val="00C6728A"/>
    <w:rsid w:val="00C67715"/>
    <w:rsid w:val="00C67EC5"/>
    <w:rsid w:val="00C67F80"/>
    <w:rsid w:val="00C702E9"/>
    <w:rsid w:val="00C707DD"/>
    <w:rsid w:val="00C70874"/>
    <w:rsid w:val="00C70F8C"/>
    <w:rsid w:val="00C710F2"/>
    <w:rsid w:val="00C71356"/>
    <w:rsid w:val="00C7154E"/>
    <w:rsid w:val="00C71B4B"/>
    <w:rsid w:val="00C71DC2"/>
    <w:rsid w:val="00C720D9"/>
    <w:rsid w:val="00C72667"/>
    <w:rsid w:val="00C7280B"/>
    <w:rsid w:val="00C7304A"/>
    <w:rsid w:val="00C73278"/>
    <w:rsid w:val="00C733C5"/>
    <w:rsid w:val="00C73592"/>
    <w:rsid w:val="00C73C74"/>
    <w:rsid w:val="00C73F57"/>
    <w:rsid w:val="00C74266"/>
    <w:rsid w:val="00C74274"/>
    <w:rsid w:val="00C74467"/>
    <w:rsid w:val="00C74828"/>
    <w:rsid w:val="00C748AA"/>
    <w:rsid w:val="00C74EED"/>
    <w:rsid w:val="00C74F1E"/>
    <w:rsid w:val="00C756F2"/>
    <w:rsid w:val="00C757FA"/>
    <w:rsid w:val="00C759C6"/>
    <w:rsid w:val="00C759E0"/>
    <w:rsid w:val="00C75B06"/>
    <w:rsid w:val="00C75E52"/>
    <w:rsid w:val="00C76100"/>
    <w:rsid w:val="00C76941"/>
    <w:rsid w:val="00C76A42"/>
    <w:rsid w:val="00C76D55"/>
    <w:rsid w:val="00C76DFB"/>
    <w:rsid w:val="00C76E72"/>
    <w:rsid w:val="00C76F7A"/>
    <w:rsid w:val="00C804A0"/>
    <w:rsid w:val="00C8062B"/>
    <w:rsid w:val="00C80AC3"/>
    <w:rsid w:val="00C80D28"/>
    <w:rsid w:val="00C80E50"/>
    <w:rsid w:val="00C80F7F"/>
    <w:rsid w:val="00C80FC4"/>
    <w:rsid w:val="00C817F5"/>
    <w:rsid w:val="00C81852"/>
    <w:rsid w:val="00C819CB"/>
    <w:rsid w:val="00C81DAB"/>
    <w:rsid w:val="00C821E2"/>
    <w:rsid w:val="00C8220F"/>
    <w:rsid w:val="00C826DA"/>
    <w:rsid w:val="00C8292F"/>
    <w:rsid w:val="00C82EA8"/>
    <w:rsid w:val="00C82EC6"/>
    <w:rsid w:val="00C831DF"/>
    <w:rsid w:val="00C842BF"/>
    <w:rsid w:val="00C847E6"/>
    <w:rsid w:val="00C855F4"/>
    <w:rsid w:val="00C856B0"/>
    <w:rsid w:val="00C85980"/>
    <w:rsid w:val="00C85DC5"/>
    <w:rsid w:val="00C85E75"/>
    <w:rsid w:val="00C86A5B"/>
    <w:rsid w:val="00C873CF"/>
    <w:rsid w:val="00C877D9"/>
    <w:rsid w:val="00C87990"/>
    <w:rsid w:val="00C87E92"/>
    <w:rsid w:val="00C87EB4"/>
    <w:rsid w:val="00C9109F"/>
    <w:rsid w:val="00C912F4"/>
    <w:rsid w:val="00C91833"/>
    <w:rsid w:val="00C91865"/>
    <w:rsid w:val="00C91B30"/>
    <w:rsid w:val="00C91D8A"/>
    <w:rsid w:val="00C91FC3"/>
    <w:rsid w:val="00C924EC"/>
    <w:rsid w:val="00C92D2B"/>
    <w:rsid w:val="00C930E8"/>
    <w:rsid w:val="00C93400"/>
    <w:rsid w:val="00C934AC"/>
    <w:rsid w:val="00C934C6"/>
    <w:rsid w:val="00C949C8"/>
    <w:rsid w:val="00C94D06"/>
    <w:rsid w:val="00C95381"/>
    <w:rsid w:val="00C958BA"/>
    <w:rsid w:val="00C96455"/>
    <w:rsid w:val="00C96CFA"/>
    <w:rsid w:val="00C96D71"/>
    <w:rsid w:val="00C96F13"/>
    <w:rsid w:val="00C97175"/>
    <w:rsid w:val="00C97B38"/>
    <w:rsid w:val="00C97EFC"/>
    <w:rsid w:val="00CA0491"/>
    <w:rsid w:val="00CA0789"/>
    <w:rsid w:val="00CA0DDA"/>
    <w:rsid w:val="00CA10E3"/>
    <w:rsid w:val="00CA116D"/>
    <w:rsid w:val="00CA1233"/>
    <w:rsid w:val="00CA284C"/>
    <w:rsid w:val="00CA39BD"/>
    <w:rsid w:val="00CA3BC5"/>
    <w:rsid w:val="00CA3E4E"/>
    <w:rsid w:val="00CA4062"/>
    <w:rsid w:val="00CA4155"/>
    <w:rsid w:val="00CA457D"/>
    <w:rsid w:val="00CA4B65"/>
    <w:rsid w:val="00CA50FF"/>
    <w:rsid w:val="00CA5996"/>
    <w:rsid w:val="00CA5C58"/>
    <w:rsid w:val="00CA6C7D"/>
    <w:rsid w:val="00CA7E35"/>
    <w:rsid w:val="00CB00ED"/>
    <w:rsid w:val="00CB02D4"/>
    <w:rsid w:val="00CB03CE"/>
    <w:rsid w:val="00CB077C"/>
    <w:rsid w:val="00CB0CE7"/>
    <w:rsid w:val="00CB1034"/>
    <w:rsid w:val="00CB1616"/>
    <w:rsid w:val="00CB1753"/>
    <w:rsid w:val="00CB1CF2"/>
    <w:rsid w:val="00CB2410"/>
    <w:rsid w:val="00CB26B5"/>
    <w:rsid w:val="00CB36ED"/>
    <w:rsid w:val="00CB3D2E"/>
    <w:rsid w:val="00CB41BC"/>
    <w:rsid w:val="00CB522E"/>
    <w:rsid w:val="00CB57D6"/>
    <w:rsid w:val="00CB59E5"/>
    <w:rsid w:val="00CB5B35"/>
    <w:rsid w:val="00CB5DF7"/>
    <w:rsid w:val="00CB6A57"/>
    <w:rsid w:val="00CB6B9A"/>
    <w:rsid w:val="00CB6BB9"/>
    <w:rsid w:val="00CB71B7"/>
    <w:rsid w:val="00CB7435"/>
    <w:rsid w:val="00CB749B"/>
    <w:rsid w:val="00CB792D"/>
    <w:rsid w:val="00CB7B64"/>
    <w:rsid w:val="00CB7D20"/>
    <w:rsid w:val="00CC0294"/>
    <w:rsid w:val="00CC043C"/>
    <w:rsid w:val="00CC05B0"/>
    <w:rsid w:val="00CC1508"/>
    <w:rsid w:val="00CC1648"/>
    <w:rsid w:val="00CC1C7D"/>
    <w:rsid w:val="00CC2014"/>
    <w:rsid w:val="00CC22FF"/>
    <w:rsid w:val="00CC330C"/>
    <w:rsid w:val="00CC3414"/>
    <w:rsid w:val="00CC416C"/>
    <w:rsid w:val="00CC4750"/>
    <w:rsid w:val="00CC488E"/>
    <w:rsid w:val="00CC4E05"/>
    <w:rsid w:val="00CC5161"/>
    <w:rsid w:val="00CC599A"/>
    <w:rsid w:val="00CC6695"/>
    <w:rsid w:val="00CC67E5"/>
    <w:rsid w:val="00CC6ABD"/>
    <w:rsid w:val="00CC6C22"/>
    <w:rsid w:val="00CC718C"/>
    <w:rsid w:val="00CC71F2"/>
    <w:rsid w:val="00CC7294"/>
    <w:rsid w:val="00CC734B"/>
    <w:rsid w:val="00CC7A9F"/>
    <w:rsid w:val="00CC7BCD"/>
    <w:rsid w:val="00CD0E31"/>
    <w:rsid w:val="00CD11B7"/>
    <w:rsid w:val="00CD12D3"/>
    <w:rsid w:val="00CD12E6"/>
    <w:rsid w:val="00CD16EB"/>
    <w:rsid w:val="00CD22CA"/>
    <w:rsid w:val="00CD23DE"/>
    <w:rsid w:val="00CD2401"/>
    <w:rsid w:val="00CD2944"/>
    <w:rsid w:val="00CD31FF"/>
    <w:rsid w:val="00CD322C"/>
    <w:rsid w:val="00CD3234"/>
    <w:rsid w:val="00CD33DF"/>
    <w:rsid w:val="00CD3671"/>
    <w:rsid w:val="00CD3770"/>
    <w:rsid w:val="00CD41D4"/>
    <w:rsid w:val="00CD45B5"/>
    <w:rsid w:val="00CD484D"/>
    <w:rsid w:val="00CD4D0C"/>
    <w:rsid w:val="00CD4F3E"/>
    <w:rsid w:val="00CD5946"/>
    <w:rsid w:val="00CD5B59"/>
    <w:rsid w:val="00CD5B98"/>
    <w:rsid w:val="00CD5FAD"/>
    <w:rsid w:val="00CD6006"/>
    <w:rsid w:val="00CD64A8"/>
    <w:rsid w:val="00CD6A9E"/>
    <w:rsid w:val="00CD6B67"/>
    <w:rsid w:val="00CD6C29"/>
    <w:rsid w:val="00CD76FD"/>
    <w:rsid w:val="00CD7784"/>
    <w:rsid w:val="00CD7A5A"/>
    <w:rsid w:val="00CD7B2C"/>
    <w:rsid w:val="00CD7EAB"/>
    <w:rsid w:val="00CE0598"/>
    <w:rsid w:val="00CE086C"/>
    <w:rsid w:val="00CE0CBF"/>
    <w:rsid w:val="00CE114D"/>
    <w:rsid w:val="00CE1539"/>
    <w:rsid w:val="00CE167A"/>
    <w:rsid w:val="00CE17AE"/>
    <w:rsid w:val="00CE1A59"/>
    <w:rsid w:val="00CE1BAC"/>
    <w:rsid w:val="00CE1CCB"/>
    <w:rsid w:val="00CE1DBB"/>
    <w:rsid w:val="00CE2138"/>
    <w:rsid w:val="00CE25D6"/>
    <w:rsid w:val="00CE2D47"/>
    <w:rsid w:val="00CE33C1"/>
    <w:rsid w:val="00CE3479"/>
    <w:rsid w:val="00CE37C7"/>
    <w:rsid w:val="00CE37D6"/>
    <w:rsid w:val="00CE38AD"/>
    <w:rsid w:val="00CE41DF"/>
    <w:rsid w:val="00CE42E1"/>
    <w:rsid w:val="00CE44E9"/>
    <w:rsid w:val="00CE4965"/>
    <w:rsid w:val="00CE5726"/>
    <w:rsid w:val="00CE62A2"/>
    <w:rsid w:val="00CE6BF6"/>
    <w:rsid w:val="00CE7149"/>
    <w:rsid w:val="00CE738F"/>
    <w:rsid w:val="00CE7AD6"/>
    <w:rsid w:val="00CE7B52"/>
    <w:rsid w:val="00CE7F6D"/>
    <w:rsid w:val="00CF078F"/>
    <w:rsid w:val="00CF07D9"/>
    <w:rsid w:val="00CF1475"/>
    <w:rsid w:val="00CF162B"/>
    <w:rsid w:val="00CF165D"/>
    <w:rsid w:val="00CF1810"/>
    <w:rsid w:val="00CF1851"/>
    <w:rsid w:val="00CF1858"/>
    <w:rsid w:val="00CF252C"/>
    <w:rsid w:val="00CF26B7"/>
    <w:rsid w:val="00CF26DF"/>
    <w:rsid w:val="00CF27F1"/>
    <w:rsid w:val="00CF2D14"/>
    <w:rsid w:val="00CF32C3"/>
    <w:rsid w:val="00CF3598"/>
    <w:rsid w:val="00CF3C30"/>
    <w:rsid w:val="00CF41B5"/>
    <w:rsid w:val="00CF4298"/>
    <w:rsid w:val="00CF446A"/>
    <w:rsid w:val="00CF47E1"/>
    <w:rsid w:val="00CF49FD"/>
    <w:rsid w:val="00CF4B0A"/>
    <w:rsid w:val="00CF4F58"/>
    <w:rsid w:val="00CF5834"/>
    <w:rsid w:val="00CF672D"/>
    <w:rsid w:val="00CF67DA"/>
    <w:rsid w:val="00CF686F"/>
    <w:rsid w:val="00CF6ABA"/>
    <w:rsid w:val="00CF6BEB"/>
    <w:rsid w:val="00CF73C7"/>
    <w:rsid w:val="00CF7601"/>
    <w:rsid w:val="00CF7815"/>
    <w:rsid w:val="00D000F2"/>
    <w:rsid w:val="00D00561"/>
    <w:rsid w:val="00D00D7D"/>
    <w:rsid w:val="00D0168D"/>
    <w:rsid w:val="00D01690"/>
    <w:rsid w:val="00D020AF"/>
    <w:rsid w:val="00D02494"/>
    <w:rsid w:val="00D02560"/>
    <w:rsid w:val="00D0271F"/>
    <w:rsid w:val="00D02AC8"/>
    <w:rsid w:val="00D02B69"/>
    <w:rsid w:val="00D02E5C"/>
    <w:rsid w:val="00D03009"/>
    <w:rsid w:val="00D033DA"/>
    <w:rsid w:val="00D0363D"/>
    <w:rsid w:val="00D03B12"/>
    <w:rsid w:val="00D03D90"/>
    <w:rsid w:val="00D03F04"/>
    <w:rsid w:val="00D04539"/>
    <w:rsid w:val="00D04A68"/>
    <w:rsid w:val="00D04B70"/>
    <w:rsid w:val="00D04DD7"/>
    <w:rsid w:val="00D04DF3"/>
    <w:rsid w:val="00D04F37"/>
    <w:rsid w:val="00D04F75"/>
    <w:rsid w:val="00D0528A"/>
    <w:rsid w:val="00D052B4"/>
    <w:rsid w:val="00D05A38"/>
    <w:rsid w:val="00D05A78"/>
    <w:rsid w:val="00D05B47"/>
    <w:rsid w:val="00D05C37"/>
    <w:rsid w:val="00D05D1B"/>
    <w:rsid w:val="00D05F5B"/>
    <w:rsid w:val="00D0622A"/>
    <w:rsid w:val="00D068E5"/>
    <w:rsid w:val="00D06944"/>
    <w:rsid w:val="00D069EB"/>
    <w:rsid w:val="00D07433"/>
    <w:rsid w:val="00D075C9"/>
    <w:rsid w:val="00D079DF"/>
    <w:rsid w:val="00D07EB2"/>
    <w:rsid w:val="00D07F5C"/>
    <w:rsid w:val="00D10269"/>
    <w:rsid w:val="00D10B3D"/>
    <w:rsid w:val="00D10B6B"/>
    <w:rsid w:val="00D10F0B"/>
    <w:rsid w:val="00D11150"/>
    <w:rsid w:val="00D11AE7"/>
    <w:rsid w:val="00D120CC"/>
    <w:rsid w:val="00D12A6D"/>
    <w:rsid w:val="00D12F02"/>
    <w:rsid w:val="00D13091"/>
    <w:rsid w:val="00D130C3"/>
    <w:rsid w:val="00D131B7"/>
    <w:rsid w:val="00D134A8"/>
    <w:rsid w:val="00D137E5"/>
    <w:rsid w:val="00D13929"/>
    <w:rsid w:val="00D143E2"/>
    <w:rsid w:val="00D148E6"/>
    <w:rsid w:val="00D15123"/>
    <w:rsid w:val="00D156B5"/>
    <w:rsid w:val="00D1595D"/>
    <w:rsid w:val="00D15CAD"/>
    <w:rsid w:val="00D160E7"/>
    <w:rsid w:val="00D16524"/>
    <w:rsid w:val="00D16B51"/>
    <w:rsid w:val="00D16B57"/>
    <w:rsid w:val="00D16F35"/>
    <w:rsid w:val="00D17237"/>
    <w:rsid w:val="00D178D1"/>
    <w:rsid w:val="00D17C73"/>
    <w:rsid w:val="00D2003D"/>
    <w:rsid w:val="00D20153"/>
    <w:rsid w:val="00D2065C"/>
    <w:rsid w:val="00D20D79"/>
    <w:rsid w:val="00D21459"/>
    <w:rsid w:val="00D2178E"/>
    <w:rsid w:val="00D22623"/>
    <w:rsid w:val="00D22AC4"/>
    <w:rsid w:val="00D23746"/>
    <w:rsid w:val="00D23843"/>
    <w:rsid w:val="00D243C4"/>
    <w:rsid w:val="00D24B7B"/>
    <w:rsid w:val="00D24CD8"/>
    <w:rsid w:val="00D2507C"/>
    <w:rsid w:val="00D25E1D"/>
    <w:rsid w:val="00D26406"/>
    <w:rsid w:val="00D2649D"/>
    <w:rsid w:val="00D26C2D"/>
    <w:rsid w:val="00D27B51"/>
    <w:rsid w:val="00D30BF0"/>
    <w:rsid w:val="00D30ECE"/>
    <w:rsid w:val="00D30FDF"/>
    <w:rsid w:val="00D311DD"/>
    <w:rsid w:val="00D32789"/>
    <w:rsid w:val="00D3299B"/>
    <w:rsid w:val="00D33100"/>
    <w:rsid w:val="00D332CA"/>
    <w:rsid w:val="00D336C7"/>
    <w:rsid w:val="00D33B3D"/>
    <w:rsid w:val="00D33C07"/>
    <w:rsid w:val="00D33FA6"/>
    <w:rsid w:val="00D34432"/>
    <w:rsid w:val="00D344DA"/>
    <w:rsid w:val="00D34C77"/>
    <w:rsid w:val="00D35369"/>
    <w:rsid w:val="00D357B5"/>
    <w:rsid w:val="00D35930"/>
    <w:rsid w:val="00D35C4E"/>
    <w:rsid w:val="00D3602A"/>
    <w:rsid w:val="00D363F2"/>
    <w:rsid w:val="00D3650F"/>
    <w:rsid w:val="00D365E4"/>
    <w:rsid w:val="00D36684"/>
    <w:rsid w:val="00D367B1"/>
    <w:rsid w:val="00D36A9D"/>
    <w:rsid w:val="00D36F0D"/>
    <w:rsid w:val="00D372C0"/>
    <w:rsid w:val="00D37550"/>
    <w:rsid w:val="00D3774A"/>
    <w:rsid w:val="00D37C89"/>
    <w:rsid w:val="00D37DFA"/>
    <w:rsid w:val="00D40B67"/>
    <w:rsid w:val="00D40BEF"/>
    <w:rsid w:val="00D415BA"/>
    <w:rsid w:val="00D41EAD"/>
    <w:rsid w:val="00D41F4D"/>
    <w:rsid w:val="00D42083"/>
    <w:rsid w:val="00D421C9"/>
    <w:rsid w:val="00D421DA"/>
    <w:rsid w:val="00D42349"/>
    <w:rsid w:val="00D428AD"/>
    <w:rsid w:val="00D431D0"/>
    <w:rsid w:val="00D43259"/>
    <w:rsid w:val="00D43276"/>
    <w:rsid w:val="00D4340F"/>
    <w:rsid w:val="00D434AE"/>
    <w:rsid w:val="00D43937"/>
    <w:rsid w:val="00D44036"/>
    <w:rsid w:val="00D4414C"/>
    <w:rsid w:val="00D44206"/>
    <w:rsid w:val="00D443AD"/>
    <w:rsid w:val="00D4460D"/>
    <w:rsid w:val="00D44925"/>
    <w:rsid w:val="00D44DE0"/>
    <w:rsid w:val="00D44FFC"/>
    <w:rsid w:val="00D4554F"/>
    <w:rsid w:val="00D4582A"/>
    <w:rsid w:val="00D459AC"/>
    <w:rsid w:val="00D45C03"/>
    <w:rsid w:val="00D45C4C"/>
    <w:rsid w:val="00D45E2C"/>
    <w:rsid w:val="00D45FC6"/>
    <w:rsid w:val="00D46442"/>
    <w:rsid w:val="00D465E2"/>
    <w:rsid w:val="00D46E5E"/>
    <w:rsid w:val="00D46FB1"/>
    <w:rsid w:val="00D4718D"/>
    <w:rsid w:val="00D471F0"/>
    <w:rsid w:val="00D4763C"/>
    <w:rsid w:val="00D50551"/>
    <w:rsid w:val="00D50631"/>
    <w:rsid w:val="00D50EF0"/>
    <w:rsid w:val="00D5104F"/>
    <w:rsid w:val="00D514CB"/>
    <w:rsid w:val="00D5176C"/>
    <w:rsid w:val="00D51887"/>
    <w:rsid w:val="00D51B19"/>
    <w:rsid w:val="00D51FAC"/>
    <w:rsid w:val="00D52851"/>
    <w:rsid w:val="00D52B7A"/>
    <w:rsid w:val="00D52D62"/>
    <w:rsid w:val="00D52F79"/>
    <w:rsid w:val="00D5345D"/>
    <w:rsid w:val="00D54080"/>
    <w:rsid w:val="00D54718"/>
    <w:rsid w:val="00D54C0D"/>
    <w:rsid w:val="00D55081"/>
    <w:rsid w:val="00D55270"/>
    <w:rsid w:val="00D555A6"/>
    <w:rsid w:val="00D558B2"/>
    <w:rsid w:val="00D56828"/>
    <w:rsid w:val="00D56AF0"/>
    <w:rsid w:val="00D56FF9"/>
    <w:rsid w:val="00D5733F"/>
    <w:rsid w:val="00D573C5"/>
    <w:rsid w:val="00D574CE"/>
    <w:rsid w:val="00D57576"/>
    <w:rsid w:val="00D60A80"/>
    <w:rsid w:val="00D60C6B"/>
    <w:rsid w:val="00D610CF"/>
    <w:rsid w:val="00D611DD"/>
    <w:rsid w:val="00D61207"/>
    <w:rsid w:val="00D616C1"/>
    <w:rsid w:val="00D6176F"/>
    <w:rsid w:val="00D61DD2"/>
    <w:rsid w:val="00D61EAA"/>
    <w:rsid w:val="00D620AE"/>
    <w:rsid w:val="00D62E4F"/>
    <w:rsid w:val="00D63F84"/>
    <w:rsid w:val="00D64055"/>
    <w:rsid w:val="00D640B8"/>
    <w:rsid w:val="00D640C4"/>
    <w:rsid w:val="00D6412F"/>
    <w:rsid w:val="00D64233"/>
    <w:rsid w:val="00D64615"/>
    <w:rsid w:val="00D646EE"/>
    <w:rsid w:val="00D649C8"/>
    <w:rsid w:val="00D64B2E"/>
    <w:rsid w:val="00D64EBB"/>
    <w:rsid w:val="00D65157"/>
    <w:rsid w:val="00D656BB"/>
    <w:rsid w:val="00D6599D"/>
    <w:rsid w:val="00D65F1C"/>
    <w:rsid w:val="00D66433"/>
    <w:rsid w:val="00D66561"/>
    <w:rsid w:val="00D67147"/>
    <w:rsid w:val="00D67366"/>
    <w:rsid w:val="00D700BB"/>
    <w:rsid w:val="00D70472"/>
    <w:rsid w:val="00D70C65"/>
    <w:rsid w:val="00D70E96"/>
    <w:rsid w:val="00D7128F"/>
    <w:rsid w:val="00D71CD7"/>
    <w:rsid w:val="00D7226A"/>
    <w:rsid w:val="00D72AF9"/>
    <w:rsid w:val="00D72BA3"/>
    <w:rsid w:val="00D7326E"/>
    <w:rsid w:val="00D73AAB"/>
    <w:rsid w:val="00D7435E"/>
    <w:rsid w:val="00D743E3"/>
    <w:rsid w:val="00D7449F"/>
    <w:rsid w:val="00D75084"/>
    <w:rsid w:val="00D754DF"/>
    <w:rsid w:val="00D75DDB"/>
    <w:rsid w:val="00D760EB"/>
    <w:rsid w:val="00D76212"/>
    <w:rsid w:val="00D76668"/>
    <w:rsid w:val="00D76CA8"/>
    <w:rsid w:val="00D76D78"/>
    <w:rsid w:val="00D76EE5"/>
    <w:rsid w:val="00D772FF"/>
    <w:rsid w:val="00D778A9"/>
    <w:rsid w:val="00D778BA"/>
    <w:rsid w:val="00D77AB5"/>
    <w:rsid w:val="00D77DDB"/>
    <w:rsid w:val="00D77FEF"/>
    <w:rsid w:val="00D802C3"/>
    <w:rsid w:val="00D80760"/>
    <w:rsid w:val="00D80C36"/>
    <w:rsid w:val="00D80D4C"/>
    <w:rsid w:val="00D81018"/>
    <w:rsid w:val="00D81092"/>
    <w:rsid w:val="00D81849"/>
    <w:rsid w:val="00D819C7"/>
    <w:rsid w:val="00D81C32"/>
    <w:rsid w:val="00D81C37"/>
    <w:rsid w:val="00D81DDA"/>
    <w:rsid w:val="00D822DB"/>
    <w:rsid w:val="00D82B93"/>
    <w:rsid w:val="00D82BC6"/>
    <w:rsid w:val="00D834EC"/>
    <w:rsid w:val="00D835A4"/>
    <w:rsid w:val="00D8425D"/>
    <w:rsid w:val="00D84855"/>
    <w:rsid w:val="00D85737"/>
    <w:rsid w:val="00D85F5B"/>
    <w:rsid w:val="00D86038"/>
    <w:rsid w:val="00D86921"/>
    <w:rsid w:val="00D86CED"/>
    <w:rsid w:val="00D86F31"/>
    <w:rsid w:val="00D86FB9"/>
    <w:rsid w:val="00D86FD5"/>
    <w:rsid w:val="00D87084"/>
    <w:rsid w:val="00D872B1"/>
    <w:rsid w:val="00D87CDA"/>
    <w:rsid w:val="00D87FBA"/>
    <w:rsid w:val="00D90436"/>
    <w:rsid w:val="00D906F3"/>
    <w:rsid w:val="00D9079F"/>
    <w:rsid w:val="00D90822"/>
    <w:rsid w:val="00D90CF0"/>
    <w:rsid w:val="00D9113F"/>
    <w:rsid w:val="00D9121D"/>
    <w:rsid w:val="00D91346"/>
    <w:rsid w:val="00D9154B"/>
    <w:rsid w:val="00D91C70"/>
    <w:rsid w:val="00D91F9D"/>
    <w:rsid w:val="00D9224F"/>
    <w:rsid w:val="00D92729"/>
    <w:rsid w:val="00D92942"/>
    <w:rsid w:val="00D92AA1"/>
    <w:rsid w:val="00D92CE7"/>
    <w:rsid w:val="00D92EA2"/>
    <w:rsid w:val="00D92F95"/>
    <w:rsid w:val="00D934E8"/>
    <w:rsid w:val="00D94180"/>
    <w:rsid w:val="00D94E9D"/>
    <w:rsid w:val="00D9536E"/>
    <w:rsid w:val="00D95ABB"/>
    <w:rsid w:val="00D95DCF"/>
    <w:rsid w:val="00D9609C"/>
    <w:rsid w:val="00D961B4"/>
    <w:rsid w:val="00D9621E"/>
    <w:rsid w:val="00D96A22"/>
    <w:rsid w:val="00D96B31"/>
    <w:rsid w:val="00D96C08"/>
    <w:rsid w:val="00D96F8A"/>
    <w:rsid w:val="00D97313"/>
    <w:rsid w:val="00D973D1"/>
    <w:rsid w:val="00D9786C"/>
    <w:rsid w:val="00D97B72"/>
    <w:rsid w:val="00DA04D1"/>
    <w:rsid w:val="00DA0BA3"/>
    <w:rsid w:val="00DA12E9"/>
    <w:rsid w:val="00DA1379"/>
    <w:rsid w:val="00DA1F5A"/>
    <w:rsid w:val="00DA1FDC"/>
    <w:rsid w:val="00DA27AD"/>
    <w:rsid w:val="00DA2B43"/>
    <w:rsid w:val="00DA2C73"/>
    <w:rsid w:val="00DA3594"/>
    <w:rsid w:val="00DA3ADF"/>
    <w:rsid w:val="00DA3C25"/>
    <w:rsid w:val="00DA4055"/>
    <w:rsid w:val="00DA4342"/>
    <w:rsid w:val="00DA477D"/>
    <w:rsid w:val="00DA4C9D"/>
    <w:rsid w:val="00DA4E50"/>
    <w:rsid w:val="00DA542D"/>
    <w:rsid w:val="00DA58C4"/>
    <w:rsid w:val="00DA5B20"/>
    <w:rsid w:val="00DA6AE8"/>
    <w:rsid w:val="00DA6C7F"/>
    <w:rsid w:val="00DA7221"/>
    <w:rsid w:val="00DA73E8"/>
    <w:rsid w:val="00DA7D86"/>
    <w:rsid w:val="00DA7E55"/>
    <w:rsid w:val="00DB050F"/>
    <w:rsid w:val="00DB0BFF"/>
    <w:rsid w:val="00DB1337"/>
    <w:rsid w:val="00DB1640"/>
    <w:rsid w:val="00DB31DE"/>
    <w:rsid w:val="00DB343D"/>
    <w:rsid w:val="00DB355F"/>
    <w:rsid w:val="00DB39FD"/>
    <w:rsid w:val="00DB3A09"/>
    <w:rsid w:val="00DB4193"/>
    <w:rsid w:val="00DB5149"/>
    <w:rsid w:val="00DB528C"/>
    <w:rsid w:val="00DB562B"/>
    <w:rsid w:val="00DB58D4"/>
    <w:rsid w:val="00DB5B19"/>
    <w:rsid w:val="00DB5EE7"/>
    <w:rsid w:val="00DB6498"/>
    <w:rsid w:val="00DB769B"/>
    <w:rsid w:val="00DB77B1"/>
    <w:rsid w:val="00DB77C9"/>
    <w:rsid w:val="00DB7EAE"/>
    <w:rsid w:val="00DB7F95"/>
    <w:rsid w:val="00DC09C2"/>
    <w:rsid w:val="00DC0AD7"/>
    <w:rsid w:val="00DC0E88"/>
    <w:rsid w:val="00DC0F92"/>
    <w:rsid w:val="00DC17F9"/>
    <w:rsid w:val="00DC2137"/>
    <w:rsid w:val="00DC220E"/>
    <w:rsid w:val="00DC23B4"/>
    <w:rsid w:val="00DC2448"/>
    <w:rsid w:val="00DC2806"/>
    <w:rsid w:val="00DC29EF"/>
    <w:rsid w:val="00DC2C4F"/>
    <w:rsid w:val="00DC2D0E"/>
    <w:rsid w:val="00DC33E7"/>
    <w:rsid w:val="00DC3877"/>
    <w:rsid w:val="00DC3965"/>
    <w:rsid w:val="00DC3F61"/>
    <w:rsid w:val="00DC421E"/>
    <w:rsid w:val="00DC4AA5"/>
    <w:rsid w:val="00DC4D01"/>
    <w:rsid w:val="00DC539D"/>
    <w:rsid w:val="00DC553C"/>
    <w:rsid w:val="00DC55FF"/>
    <w:rsid w:val="00DC6ADD"/>
    <w:rsid w:val="00DC6F67"/>
    <w:rsid w:val="00DC7AC4"/>
    <w:rsid w:val="00DC7FCC"/>
    <w:rsid w:val="00DD0013"/>
    <w:rsid w:val="00DD005A"/>
    <w:rsid w:val="00DD01BB"/>
    <w:rsid w:val="00DD04BE"/>
    <w:rsid w:val="00DD0B76"/>
    <w:rsid w:val="00DD0E99"/>
    <w:rsid w:val="00DD1886"/>
    <w:rsid w:val="00DD19A7"/>
    <w:rsid w:val="00DD1B3F"/>
    <w:rsid w:val="00DD1BE5"/>
    <w:rsid w:val="00DD1E0E"/>
    <w:rsid w:val="00DD2A92"/>
    <w:rsid w:val="00DD3665"/>
    <w:rsid w:val="00DD415B"/>
    <w:rsid w:val="00DD4428"/>
    <w:rsid w:val="00DD51B4"/>
    <w:rsid w:val="00DD53C0"/>
    <w:rsid w:val="00DD68B8"/>
    <w:rsid w:val="00DD69D5"/>
    <w:rsid w:val="00DD6A0F"/>
    <w:rsid w:val="00DD6D7D"/>
    <w:rsid w:val="00DD71AC"/>
    <w:rsid w:val="00DD7D89"/>
    <w:rsid w:val="00DD7F08"/>
    <w:rsid w:val="00DE017D"/>
    <w:rsid w:val="00DE0316"/>
    <w:rsid w:val="00DE0B98"/>
    <w:rsid w:val="00DE0BAC"/>
    <w:rsid w:val="00DE1778"/>
    <w:rsid w:val="00DE1A5B"/>
    <w:rsid w:val="00DE1E9C"/>
    <w:rsid w:val="00DE1EF1"/>
    <w:rsid w:val="00DE243D"/>
    <w:rsid w:val="00DE298E"/>
    <w:rsid w:val="00DE2D45"/>
    <w:rsid w:val="00DE3023"/>
    <w:rsid w:val="00DE3432"/>
    <w:rsid w:val="00DE389A"/>
    <w:rsid w:val="00DE397C"/>
    <w:rsid w:val="00DE3C00"/>
    <w:rsid w:val="00DE4244"/>
    <w:rsid w:val="00DE4402"/>
    <w:rsid w:val="00DE471D"/>
    <w:rsid w:val="00DE5819"/>
    <w:rsid w:val="00DE5A90"/>
    <w:rsid w:val="00DE6147"/>
    <w:rsid w:val="00DE6179"/>
    <w:rsid w:val="00DE61A1"/>
    <w:rsid w:val="00DE6820"/>
    <w:rsid w:val="00DE6903"/>
    <w:rsid w:val="00DE7B22"/>
    <w:rsid w:val="00DE7E22"/>
    <w:rsid w:val="00DF002D"/>
    <w:rsid w:val="00DF0176"/>
    <w:rsid w:val="00DF15D4"/>
    <w:rsid w:val="00DF1794"/>
    <w:rsid w:val="00DF208F"/>
    <w:rsid w:val="00DF238A"/>
    <w:rsid w:val="00DF2894"/>
    <w:rsid w:val="00DF2D94"/>
    <w:rsid w:val="00DF2FDC"/>
    <w:rsid w:val="00DF390D"/>
    <w:rsid w:val="00DF4EEC"/>
    <w:rsid w:val="00DF571A"/>
    <w:rsid w:val="00DF5CA8"/>
    <w:rsid w:val="00DF658D"/>
    <w:rsid w:val="00DF6641"/>
    <w:rsid w:val="00DF688D"/>
    <w:rsid w:val="00DF6B67"/>
    <w:rsid w:val="00DF7BA2"/>
    <w:rsid w:val="00DF7D53"/>
    <w:rsid w:val="00E0002C"/>
    <w:rsid w:val="00E001F1"/>
    <w:rsid w:val="00E00E57"/>
    <w:rsid w:val="00E013EC"/>
    <w:rsid w:val="00E0190C"/>
    <w:rsid w:val="00E01ADB"/>
    <w:rsid w:val="00E02148"/>
    <w:rsid w:val="00E0236B"/>
    <w:rsid w:val="00E02E95"/>
    <w:rsid w:val="00E03A69"/>
    <w:rsid w:val="00E03B28"/>
    <w:rsid w:val="00E03BBD"/>
    <w:rsid w:val="00E03D6D"/>
    <w:rsid w:val="00E043BE"/>
    <w:rsid w:val="00E043CC"/>
    <w:rsid w:val="00E043D2"/>
    <w:rsid w:val="00E04548"/>
    <w:rsid w:val="00E04925"/>
    <w:rsid w:val="00E04B7E"/>
    <w:rsid w:val="00E04C58"/>
    <w:rsid w:val="00E04DCF"/>
    <w:rsid w:val="00E05012"/>
    <w:rsid w:val="00E0514F"/>
    <w:rsid w:val="00E0566C"/>
    <w:rsid w:val="00E05BA1"/>
    <w:rsid w:val="00E06748"/>
    <w:rsid w:val="00E06A66"/>
    <w:rsid w:val="00E06B50"/>
    <w:rsid w:val="00E0760B"/>
    <w:rsid w:val="00E079ED"/>
    <w:rsid w:val="00E07A90"/>
    <w:rsid w:val="00E07E84"/>
    <w:rsid w:val="00E10A71"/>
    <w:rsid w:val="00E112CC"/>
    <w:rsid w:val="00E11701"/>
    <w:rsid w:val="00E11DA2"/>
    <w:rsid w:val="00E12EC2"/>
    <w:rsid w:val="00E13166"/>
    <w:rsid w:val="00E13A3D"/>
    <w:rsid w:val="00E13FED"/>
    <w:rsid w:val="00E1402F"/>
    <w:rsid w:val="00E1458A"/>
    <w:rsid w:val="00E148C9"/>
    <w:rsid w:val="00E14F4C"/>
    <w:rsid w:val="00E1546F"/>
    <w:rsid w:val="00E1603E"/>
    <w:rsid w:val="00E16440"/>
    <w:rsid w:val="00E16ED7"/>
    <w:rsid w:val="00E17289"/>
    <w:rsid w:val="00E173B5"/>
    <w:rsid w:val="00E2018A"/>
    <w:rsid w:val="00E20B35"/>
    <w:rsid w:val="00E20E35"/>
    <w:rsid w:val="00E2147B"/>
    <w:rsid w:val="00E21DC5"/>
    <w:rsid w:val="00E21E31"/>
    <w:rsid w:val="00E22099"/>
    <w:rsid w:val="00E22240"/>
    <w:rsid w:val="00E226F3"/>
    <w:rsid w:val="00E226F6"/>
    <w:rsid w:val="00E2311A"/>
    <w:rsid w:val="00E23352"/>
    <w:rsid w:val="00E2340B"/>
    <w:rsid w:val="00E237FD"/>
    <w:rsid w:val="00E23FC2"/>
    <w:rsid w:val="00E241EC"/>
    <w:rsid w:val="00E242C0"/>
    <w:rsid w:val="00E24554"/>
    <w:rsid w:val="00E24783"/>
    <w:rsid w:val="00E24D69"/>
    <w:rsid w:val="00E24F62"/>
    <w:rsid w:val="00E25056"/>
    <w:rsid w:val="00E25467"/>
    <w:rsid w:val="00E256DB"/>
    <w:rsid w:val="00E25A4C"/>
    <w:rsid w:val="00E25D81"/>
    <w:rsid w:val="00E25F8A"/>
    <w:rsid w:val="00E2647E"/>
    <w:rsid w:val="00E26522"/>
    <w:rsid w:val="00E26681"/>
    <w:rsid w:val="00E2676C"/>
    <w:rsid w:val="00E2690A"/>
    <w:rsid w:val="00E27C5C"/>
    <w:rsid w:val="00E30582"/>
    <w:rsid w:val="00E31699"/>
    <w:rsid w:val="00E31C44"/>
    <w:rsid w:val="00E32CB6"/>
    <w:rsid w:val="00E32E6D"/>
    <w:rsid w:val="00E332B7"/>
    <w:rsid w:val="00E33434"/>
    <w:rsid w:val="00E334F5"/>
    <w:rsid w:val="00E337B9"/>
    <w:rsid w:val="00E33C8A"/>
    <w:rsid w:val="00E33F2C"/>
    <w:rsid w:val="00E33F7B"/>
    <w:rsid w:val="00E34922"/>
    <w:rsid w:val="00E34AC0"/>
    <w:rsid w:val="00E34E71"/>
    <w:rsid w:val="00E35011"/>
    <w:rsid w:val="00E35330"/>
    <w:rsid w:val="00E35C89"/>
    <w:rsid w:val="00E35C91"/>
    <w:rsid w:val="00E35F3E"/>
    <w:rsid w:val="00E36094"/>
    <w:rsid w:val="00E36C76"/>
    <w:rsid w:val="00E36EA2"/>
    <w:rsid w:val="00E37270"/>
    <w:rsid w:val="00E378BF"/>
    <w:rsid w:val="00E37B3E"/>
    <w:rsid w:val="00E40042"/>
    <w:rsid w:val="00E40865"/>
    <w:rsid w:val="00E40FAC"/>
    <w:rsid w:val="00E4165A"/>
    <w:rsid w:val="00E41D20"/>
    <w:rsid w:val="00E41D42"/>
    <w:rsid w:val="00E428E0"/>
    <w:rsid w:val="00E429A6"/>
    <w:rsid w:val="00E42A9C"/>
    <w:rsid w:val="00E42BEF"/>
    <w:rsid w:val="00E43566"/>
    <w:rsid w:val="00E43FA2"/>
    <w:rsid w:val="00E442E9"/>
    <w:rsid w:val="00E447C0"/>
    <w:rsid w:val="00E448B1"/>
    <w:rsid w:val="00E44AC6"/>
    <w:rsid w:val="00E44B53"/>
    <w:rsid w:val="00E44E2B"/>
    <w:rsid w:val="00E451C4"/>
    <w:rsid w:val="00E457B2"/>
    <w:rsid w:val="00E45ABB"/>
    <w:rsid w:val="00E45D13"/>
    <w:rsid w:val="00E46154"/>
    <w:rsid w:val="00E4648C"/>
    <w:rsid w:val="00E467C7"/>
    <w:rsid w:val="00E46879"/>
    <w:rsid w:val="00E47103"/>
    <w:rsid w:val="00E471B7"/>
    <w:rsid w:val="00E50032"/>
    <w:rsid w:val="00E506B1"/>
    <w:rsid w:val="00E50E80"/>
    <w:rsid w:val="00E510AD"/>
    <w:rsid w:val="00E51340"/>
    <w:rsid w:val="00E5138F"/>
    <w:rsid w:val="00E515CF"/>
    <w:rsid w:val="00E5183D"/>
    <w:rsid w:val="00E51AB4"/>
    <w:rsid w:val="00E51BD6"/>
    <w:rsid w:val="00E51C30"/>
    <w:rsid w:val="00E53937"/>
    <w:rsid w:val="00E54297"/>
    <w:rsid w:val="00E543F9"/>
    <w:rsid w:val="00E54523"/>
    <w:rsid w:val="00E548F3"/>
    <w:rsid w:val="00E552FE"/>
    <w:rsid w:val="00E5580A"/>
    <w:rsid w:val="00E55B0F"/>
    <w:rsid w:val="00E5620D"/>
    <w:rsid w:val="00E56CA6"/>
    <w:rsid w:val="00E57232"/>
    <w:rsid w:val="00E574ED"/>
    <w:rsid w:val="00E57B41"/>
    <w:rsid w:val="00E60059"/>
    <w:rsid w:val="00E601C2"/>
    <w:rsid w:val="00E60697"/>
    <w:rsid w:val="00E60C49"/>
    <w:rsid w:val="00E60F22"/>
    <w:rsid w:val="00E60FD2"/>
    <w:rsid w:val="00E6116B"/>
    <w:rsid w:val="00E61750"/>
    <w:rsid w:val="00E61A20"/>
    <w:rsid w:val="00E61AFB"/>
    <w:rsid w:val="00E61B71"/>
    <w:rsid w:val="00E61B83"/>
    <w:rsid w:val="00E61D88"/>
    <w:rsid w:val="00E624EA"/>
    <w:rsid w:val="00E62B84"/>
    <w:rsid w:val="00E62D78"/>
    <w:rsid w:val="00E62DE0"/>
    <w:rsid w:val="00E634B0"/>
    <w:rsid w:val="00E63FA9"/>
    <w:rsid w:val="00E64D5A"/>
    <w:rsid w:val="00E64F50"/>
    <w:rsid w:val="00E65788"/>
    <w:rsid w:val="00E65BE0"/>
    <w:rsid w:val="00E6659E"/>
    <w:rsid w:val="00E66626"/>
    <w:rsid w:val="00E66B04"/>
    <w:rsid w:val="00E66C42"/>
    <w:rsid w:val="00E66CEC"/>
    <w:rsid w:val="00E67458"/>
    <w:rsid w:val="00E67FC4"/>
    <w:rsid w:val="00E7026B"/>
    <w:rsid w:val="00E703A2"/>
    <w:rsid w:val="00E70C35"/>
    <w:rsid w:val="00E71033"/>
    <w:rsid w:val="00E7224D"/>
    <w:rsid w:val="00E72B93"/>
    <w:rsid w:val="00E72E4D"/>
    <w:rsid w:val="00E72FA6"/>
    <w:rsid w:val="00E7307C"/>
    <w:rsid w:val="00E738D0"/>
    <w:rsid w:val="00E7436A"/>
    <w:rsid w:val="00E745C6"/>
    <w:rsid w:val="00E74654"/>
    <w:rsid w:val="00E749DC"/>
    <w:rsid w:val="00E7566E"/>
    <w:rsid w:val="00E7594C"/>
    <w:rsid w:val="00E75991"/>
    <w:rsid w:val="00E75E30"/>
    <w:rsid w:val="00E76A24"/>
    <w:rsid w:val="00E76AE2"/>
    <w:rsid w:val="00E76CC6"/>
    <w:rsid w:val="00E77048"/>
    <w:rsid w:val="00E7740C"/>
    <w:rsid w:val="00E7763E"/>
    <w:rsid w:val="00E778CA"/>
    <w:rsid w:val="00E77C7E"/>
    <w:rsid w:val="00E77DA3"/>
    <w:rsid w:val="00E805F5"/>
    <w:rsid w:val="00E80BBE"/>
    <w:rsid w:val="00E80DBF"/>
    <w:rsid w:val="00E8104A"/>
    <w:rsid w:val="00E81AD4"/>
    <w:rsid w:val="00E81DC6"/>
    <w:rsid w:val="00E823E1"/>
    <w:rsid w:val="00E82740"/>
    <w:rsid w:val="00E82C4E"/>
    <w:rsid w:val="00E82E55"/>
    <w:rsid w:val="00E830F8"/>
    <w:rsid w:val="00E830FD"/>
    <w:rsid w:val="00E8330C"/>
    <w:rsid w:val="00E83B2B"/>
    <w:rsid w:val="00E8432F"/>
    <w:rsid w:val="00E84392"/>
    <w:rsid w:val="00E84458"/>
    <w:rsid w:val="00E856A1"/>
    <w:rsid w:val="00E85B5B"/>
    <w:rsid w:val="00E86367"/>
    <w:rsid w:val="00E866A2"/>
    <w:rsid w:val="00E8685E"/>
    <w:rsid w:val="00E86C69"/>
    <w:rsid w:val="00E870A8"/>
    <w:rsid w:val="00E87984"/>
    <w:rsid w:val="00E87B17"/>
    <w:rsid w:val="00E90772"/>
    <w:rsid w:val="00E90B4C"/>
    <w:rsid w:val="00E91495"/>
    <w:rsid w:val="00E915B8"/>
    <w:rsid w:val="00E919EB"/>
    <w:rsid w:val="00E91A1E"/>
    <w:rsid w:val="00E91E7B"/>
    <w:rsid w:val="00E92072"/>
    <w:rsid w:val="00E9265D"/>
    <w:rsid w:val="00E92F86"/>
    <w:rsid w:val="00E930C5"/>
    <w:rsid w:val="00E930CA"/>
    <w:rsid w:val="00E93546"/>
    <w:rsid w:val="00E9362C"/>
    <w:rsid w:val="00E93890"/>
    <w:rsid w:val="00E9401D"/>
    <w:rsid w:val="00E9424F"/>
    <w:rsid w:val="00E942CE"/>
    <w:rsid w:val="00E94404"/>
    <w:rsid w:val="00E94AC1"/>
    <w:rsid w:val="00E94B65"/>
    <w:rsid w:val="00E94DBF"/>
    <w:rsid w:val="00E95059"/>
    <w:rsid w:val="00E953FA"/>
    <w:rsid w:val="00E95994"/>
    <w:rsid w:val="00E95CB4"/>
    <w:rsid w:val="00E9632B"/>
    <w:rsid w:val="00E966C8"/>
    <w:rsid w:val="00E968B2"/>
    <w:rsid w:val="00E969AC"/>
    <w:rsid w:val="00E969B5"/>
    <w:rsid w:val="00E9762E"/>
    <w:rsid w:val="00E979C7"/>
    <w:rsid w:val="00E97BBC"/>
    <w:rsid w:val="00E97ED5"/>
    <w:rsid w:val="00EA0253"/>
    <w:rsid w:val="00EA0304"/>
    <w:rsid w:val="00EA055A"/>
    <w:rsid w:val="00EA0BB4"/>
    <w:rsid w:val="00EA0EC5"/>
    <w:rsid w:val="00EA11C8"/>
    <w:rsid w:val="00EA18BA"/>
    <w:rsid w:val="00EA19F7"/>
    <w:rsid w:val="00EA1A76"/>
    <w:rsid w:val="00EA1C76"/>
    <w:rsid w:val="00EA1D39"/>
    <w:rsid w:val="00EA1E21"/>
    <w:rsid w:val="00EA2AE2"/>
    <w:rsid w:val="00EA33D4"/>
    <w:rsid w:val="00EA34EE"/>
    <w:rsid w:val="00EA382E"/>
    <w:rsid w:val="00EA41F8"/>
    <w:rsid w:val="00EA466A"/>
    <w:rsid w:val="00EA476A"/>
    <w:rsid w:val="00EA4ACC"/>
    <w:rsid w:val="00EA50E4"/>
    <w:rsid w:val="00EA56D7"/>
    <w:rsid w:val="00EA5F95"/>
    <w:rsid w:val="00EA6719"/>
    <w:rsid w:val="00EA67DB"/>
    <w:rsid w:val="00EA6812"/>
    <w:rsid w:val="00EA6A49"/>
    <w:rsid w:val="00EA7354"/>
    <w:rsid w:val="00EA7B3E"/>
    <w:rsid w:val="00EA7E35"/>
    <w:rsid w:val="00EB0BCE"/>
    <w:rsid w:val="00EB0BE7"/>
    <w:rsid w:val="00EB0FFF"/>
    <w:rsid w:val="00EB11E8"/>
    <w:rsid w:val="00EB1626"/>
    <w:rsid w:val="00EB1B53"/>
    <w:rsid w:val="00EB1F9A"/>
    <w:rsid w:val="00EB2FC9"/>
    <w:rsid w:val="00EB3078"/>
    <w:rsid w:val="00EB30C6"/>
    <w:rsid w:val="00EB3725"/>
    <w:rsid w:val="00EB39F0"/>
    <w:rsid w:val="00EB3AAD"/>
    <w:rsid w:val="00EB4159"/>
    <w:rsid w:val="00EB4AB1"/>
    <w:rsid w:val="00EB4EFA"/>
    <w:rsid w:val="00EB51AF"/>
    <w:rsid w:val="00EB5A20"/>
    <w:rsid w:val="00EB5A49"/>
    <w:rsid w:val="00EB5ADA"/>
    <w:rsid w:val="00EB6331"/>
    <w:rsid w:val="00EB69E8"/>
    <w:rsid w:val="00EB7984"/>
    <w:rsid w:val="00EB7F11"/>
    <w:rsid w:val="00EC0F34"/>
    <w:rsid w:val="00EC0F4D"/>
    <w:rsid w:val="00EC120F"/>
    <w:rsid w:val="00EC1300"/>
    <w:rsid w:val="00EC13A6"/>
    <w:rsid w:val="00EC1698"/>
    <w:rsid w:val="00EC1DC2"/>
    <w:rsid w:val="00EC1F7A"/>
    <w:rsid w:val="00EC227A"/>
    <w:rsid w:val="00EC2615"/>
    <w:rsid w:val="00EC2A18"/>
    <w:rsid w:val="00EC3100"/>
    <w:rsid w:val="00EC3549"/>
    <w:rsid w:val="00EC39D5"/>
    <w:rsid w:val="00EC483B"/>
    <w:rsid w:val="00EC4EBD"/>
    <w:rsid w:val="00EC62AF"/>
    <w:rsid w:val="00EC653E"/>
    <w:rsid w:val="00EC6B0F"/>
    <w:rsid w:val="00EC6CDA"/>
    <w:rsid w:val="00EC6E35"/>
    <w:rsid w:val="00ED0125"/>
    <w:rsid w:val="00ED0201"/>
    <w:rsid w:val="00ED0ADC"/>
    <w:rsid w:val="00ED1CA5"/>
    <w:rsid w:val="00ED1F97"/>
    <w:rsid w:val="00ED1FC2"/>
    <w:rsid w:val="00ED2007"/>
    <w:rsid w:val="00ED2C88"/>
    <w:rsid w:val="00ED2EFE"/>
    <w:rsid w:val="00ED35BF"/>
    <w:rsid w:val="00ED3687"/>
    <w:rsid w:val="00ED36DF"/>
    <w:rsid w:val="00ED37D8"/>
    <w:rsid w:val="00ED3A02"/>
    <w:rsid w:val="00ED3A0F"/>
    <w:rsid w:val="00ED3EFD"/>
    <w:rsid w:val="00ED3F32"/>
    <w:rsid w:val="00ED4051"/>
    <w:rsid w:val="00ED462C"/>
    <w:rsid w:val="00ED470E"/>
    <w:rsid w:val="00ED4A0D"/>
    <w:rsid w:val="00ED4BA3"/>
    <w:rsid w:val="00ED4CEB"/>
    <w:rsid w:val="00ED4EB3"/>
    <w:rsid w:val="00ED5026"/>
    <w:rsid w:val="00ED512F"/>
    <w:rsid w:val="00ED54BD"/>
    <w:rsid w:val="00ED6FBB"/>
    <w:rsid w:val="00ED7078"/>
    <w:rsid w:val="00ED7594"/>
    <w:rsid w:val="00EE00E3"/>
    <w:rsid w:val="00EE04C0"/>
    <w:rsid w:val="00EE068B"/>
    <w:rsid w:val="00EE0B31"/>
    <w:rsid w:val="00EE0C5F"/>
    <w:rsid w:val="00EE1190"/>
    <w:rsid w:val="00EE12CB"/>
    <w:rsid w:val="00EE1A8B"/>
    <w:rsid w:val="00EE264A"/>
    <w:rsid w:val="00EE2C02"/>
    <w:rsid w:val="00EE3630"/>
    <w:rsid w:val="00EE3CFE"/>
    <w:rsid w:val="00EE4E1D"/>
    <w:rsid w:val="00EE4FE0"/>
    <w:rsid w:val="00EE51F5"/>
    <w:rsid w:val="00EE569C"/>
    <w:rsid w:val="00EE5CE7"/>
    <w:rsid w:val="00EE5E5F"/>
    <w:rsid w:val="00EE5EAD"/>
    <w:rsid w:val="00EE602C"/>
    <w:rsid w:val="00EE69B3"/>
    <w:rsid w:val="00EE6AE5"/>
    <w:rsid w:val="00EE700A"/>
    <w:rsid w:val="00EE719F"/>
    <w:rsid w:val="00EE7392"/>
    <w:rsid w:val="00EE73F6"/>
    <w:rsid w:val="00EF0C48"/>
    <w:rsid w:val="00EF1134"/>
    <w:rsid w:val="00EF159D"/>
    <w:rsid w:val="00EF1757"/>
    <w:rsid w:val="00EF1913"/>
    <w:rsid w:val="00EF1ECB"/>
    <w:rsid w:val="00EF1FE6"/>
    <w:rsid w:val="00EF20F0"/>
    <w:rsid w:val="00EF245C"/>
    <w:rsid w:val="00EF294D"/>
    <w:rsid w:val="00EF2BAC"/>
    <w:rsid w:val="00EF2C44"/>
    <w:rsid w:val="00EF31A8"/>
    <w:rsid w:val="00EF3239"/>
    <w:rsid w:val="00EF34E1"/>
    <w:rsid w:val="00EF3550"/>
    <w:rsid w:val="00EF371F"/>
    <w:rsid w:val="00EF40C4"/>
    <w:rsid w:val="00EF4134"/>
    <w:rsid w:val="00EF42CC"/>
    <w:rsid w:val="00EF4CCC"/>
    <w:rsid w:val="00EF5885"/>
    <w:rsid w:val="00EF5BC8"/>
    <w:rsid w:val="00EF5C46"/>
    <w:rsid w:val="00EF5C5A"/>
    <w:rsid w:val="00EF5D4C"/>
    <w:rsid w:val="00EF5F9C"/>
    <w:rsid w:val="00EF62EA"/>
    <w:rsid w:val="00EF63C5"/>
    <w:rsid w:val="00EF6AC9"/>
    <w:rsid w:val="00EF6F66"/>
    <w:rsid w:val="00EF7038"/>
    <w:rsid w:val="00EF7374"/>
    <w:rsid w:val="00EF7CD0"/>
    <w:rsid w:val="00EF7CD8"/>
    <w:rsid w:val="00EF7CEE"/>
    <w:rsid w:val="00EF7E2F"/>
    <w:rsid w:val="00F0008E"/>
    <w:rsid w:val="00F00679"/>
    <w:rsid w:val="00F0083A"/>
    <w:rsid w:val="00F01496"/>
    <w:rsid w:val="00F015D8"/>
    <w:rsid w:val="00F016A6"/>
    <w:rsid w:val="00F01996"/>
    <w:rsid w:val="00F01C44"/>
    <w:rsid w:val="00F0287F"/>
    <w:rsid w:val="00F0342E"/>
    <w:rsid w:val="00F045D7"/>
    <w:rsid w:val="00F049ED"/>
    <w:rsid w:val="00F04FCF"/>
    <w:rsid w:val="00F058BA"/>
    <w:rsid w:val="00F05A9A"/>
    <w:rsid w:val="00F05AD9"/>
    <w:rsid w:val="00F06065"/>
    <w:rsid w:val="00F06168"/>
    <w:rsid w:val="00F06294"/>
    <w:rsid w:val="00F0633C"/>
    <w:rsid w:val="00F0637F"/>
    <w:rsid w:val="00F06D5C"/>
    <w:rsid w:val="00F06DC5"/>
    <w:rsid w:val="00F06F17"/>
    <w:rsid w:val="00F070C7"/>
    <w:rsid w:val="00F0751F"/>
    <w:rsid w:val="00F07524"/>
    <w:rsid w:val="00F10281"/>
    <w:rsid w:val="00F1066D"/>
    <w:rsid w:val="00F10C33"/>
    <w:rsid w:val="00F10C46"/>
    <w:rsid w:val="00F10DA6"/>
    <w:rsid w:val="00F112E2"/>
    <w:rsid w:val="00F113FB"/>
    <w:rsid w:val="00F11A3C"/>
    <w:rsid w:val="00F11A72"/>
    <w:rsid w:val="00F12114"/>
    <w:rsid w:val="00F125C7"/>
    <w:rsid w:val="00F12BDE"/>
    <w:rsid w:val="00F12EF2"/>
    <w:rsid w:val="00F12FCF"/>
    <w:rsid w:val="00F1325B"/>
    <w:rsid w:val="00F13962"/>
    <w:rsid w:val="00F139E3"/>
    <w:rsid w:val="00F13BDF"/>
    <w:rsid w:val="00F1421B"/>
    <w:rsid w:val="00F1423E"/>
    <w:rsid w:val="00F14ACA"/>
    <w:rsid w:val="00F156AC"/>
    <w:rsid w:val="00F15A0A"/>
    <w:rsid w:val="00F15B3F"/>
    <w:rsid w:val="00F15D8E"/>
    <w:rsid w:val="00F15E81"/>
    <w:rsid w:val="00F16266"/>
    <w:rsid w:val="00F16AAF"/>
    <w:rsid w:val="00F16C91"/>
    <w:rsid w:val="00F16EA4"/>
    <w:rsid w:val="00F17117"/>
    <w:rsid w:val="00F171B6"/>
    <w:rsid w:val="00F173BB"/>
    <w:rsid w:val="00F17975"/>
    <w:rsid w:val="00F17D6D"/>
    <w:rsid w:val="00F2149D"/>
    <w:rsid w:val="00F215E5"/>
    <w:rsid w:val="00F2163E"/>
    <w:rsid w:val="00F21FD3"/>
    <w:rsid w:val="00F22217"/>
    <w:rsid w:val="00F227FC"/>
    <w:rsid w:val="00F228CC"/>
    <w:rsid w:val="00F2468A"/>
    <w:rsid w:val="00F24A7F"/>
    <w:rsid w:val="00F24B8E"/>
    <w:rsid w:val="00F25235"/>
    <w:rsid w:val="00F258AB"/>
    <w:rsid w:val="00F26754"/>
    <w:rsid w:val="00F26A6C"/>
    <w:rsid w:val="00F26F14"/>
    <w:rsid w:val="00F26F3F"/>
    <w:rsid w:val="00F2738E"/>
    <w:rsid w:val="00F27399"/>
    <w:rsid w:val="00F27500"/>
    <w:rsid w:val="00F27BBF"/>
    <w:rsid w:val="00F27FB6"/>
    <w:rsid w:val="00F30378"/>
    <w:rsid w:val="00F3084B"/>
    <w:rsid w:val="00F30B4E"/>
    <w:rsid w:val="00F30BAE"/>
    <w:rsid w:val="00F30E8A"/>
    <w:rsid w:val="00F311CF"/>
    <w:rsid w:val="00F3145A"/>
    <w:rsid w:val="00F316F3"/>
    <w:rsid w:val="00F31F05"/>
    <w:rsid w:val="00F32045"/>
    <w:rsid w:val="00F32175"/>
    <w:rsid w:val="00F322EC"/>
    <w:rsid w:val="00F3277A"/>
    <w:rsid w:val="00F33094"/>
    <w:rsid w:val="00F33761"/>
    <w:rsid w:val="00F33AFE"/>
    <w:rsid w:val="00F341A7"/>
    <w:rsid w:val="00F34B2C"/>
    <w:rsid w:val="00F350A1"/>
    <w:rsid w:val="00F351CE"/>
    <w:rsid w:val="00F35749"/>
    <w:rsid w:val="00F35A40"/>
    <w:rsid w:val="00F35B46"/>
    <w:rsid w:val="00F35E22"/>
    <w:rsid w:val="00F36106"/>
    <w:rsid w:val="00F365E4"/>
    <w:rsid w:val="00F367BC"/>
    <w:rsid w:val="00F36945"/>
    <w:rsid w:val="00F369E9"/>
    <w:rsid w:val="00F370EB"/>
    <w:rsid w:val="00F40064"/>
    <w:rsid w:val="00F4006C"/>
    <w:rsid w:val="00F400B6"/>
    <w:rsid w:val="00F40110"/>
    <w:rsid w:val="00F401AC"/>
    <w:rsid w:val="00F40259"/>
    <w:rsid w:val="00F402AD"/>
    <w:rsid w:val="00F406F6"/>
    <w:rsid w:val="00F408CD"/>
    <w:rsid w:val="00F4092C"/>
    <w:rsid w:val="00F409A8"/>
    <w:rsid w:val="00F41601"/>
    <w:rsid w:val="00F41BB9"/>
    <w:rsid w:val="00F41EC5"/>
    <w:rsid w:val="00F42269"/>
    <w:rsid w:val="00F423AA"/>
    <w:rsid w:val="00F42894"/>
    <w:rsid w:val="00F42B79"/>
    <w:rsid w:val="00F433AF"/>
    <w:rsid w:val="00F43BFC"/>
    <w:rsid w:val="00F43EE4"/>
    <w:rsid w:val="00F44363"/>
    <w:rsid w:val="00F4452D"/>
    <w:rsid w:val="00F44585"/>
    <w:rsid w:val="00F44916"/>
    <w:rsid w:val="00F449FB"/>
    <w:rsid w:val="00F44A69"/>
    <w:rsid w:val="00F45225"/>
    <w:rsid w:val="00F453C0"/>
    <w:rsid w:val="00F45C55"/>
    <w:rsid w:val="00F4685A"/>
    <w:rsid w:val="00F47398"/>
    <w:rsid w:val="00F47481"/>
    <w:rsid w:val="00F4771A"/>
    <w:rsid w:val="00F479F4"/>
    <w:rsid w:val="00F47CD6"/>
    <w:rsid w:val="00F50026"/>
    <w:rsid w:val="00F50C75"/>
    <w:rsid w:val="00F51105"/>
    <w:rsid w:val="00F514DF"/>
    <w:rsid w:val="00F5167B"/>
    <w:rsid w:val="00F51BE4"/>
    <w:rsid w:val="00F51CD8"/>
    <w:rsid w:val="00F52510"/>
    <w:rsid w:val="00F52987"/>
    <w:rsid w:val="00F52CC4"/>
    <w:rsid w:val="00F53299"/>
    <w:rsid w:val="00F5338D"/>
    <w:rsid w:val="00F538D5"/>
    <w:rsid w:val="00F53B05"/>
    <w:rsid w:val="00F53B59"/>
    <w:rsid w:val="00F53E72"/>
    <w:rsid w:val="00F547C5"/>
    <w:rsid w:val="00F54B49"/>
    <w:rsid w:val="00F55033"/>
    <w:rsid w:val="00F56136"/>
    <w:rsid w:val="00F56289"/>
    <w:rsid w:val="00F56BAC"/>
    <w:rsid w:val="00F5732A"/>
    <w:rsid w:val="00F57687"/>
    <w:rsid w:val="00F57BDF"/>
    <w:rsid w:val="00F57DCE"/>
    <w:rsid w:val="00F601A1"/>
    <w:rsid w:val="00F605F6"/>
    <w:rsid w:val="00F60BCE"/>
    <w:rsid w:val="00F60E01"/>
    <w:rsid w:val="00F60EAC"/>
    <w:rsid w:val="00F61B88"/>
    <w:rsid w:val="00F620CE"/>
    <w:rsid w:val="00F6296F"/>
    <w:rsid w:val="00F62AAD"/>
    <w:rsid w:val="00F62B33"/>
    <w:rsid w:val="00F62B36"/>
    <w:rsid w:val="00F62FD5"/>
    <w:rsid w:val="00F630F9"/>
    <w:rsid w:val="00F63267"/>
    <w:rsid w:val="00F63300"/>
    <w:rsid w:val="00F637DA"/>
    <w:rsid w:val="00F63A0C"/>
    <w:rsid w:val="00F63DE8"/>
    <w:rsid w:val="00F6429E"/>
    <w:rsid w:val="00F643CE"/>
    <w:rsid w:val="00F643D3"/>
    <w:rsid w:val="00F65210"/>
    <w:rsid w:val="00F65674"/>
    <w:rsid w:val="00F65E2D"/>
    <w:rsid w:val="00F66090"/>
    <w:rsid w:val="00F6677E"/>
    <w:rsid w:val="00F667F1"/>
    <w:rsid w:val="00F66A75"/>
    <w:rsid w:val="00F671E2"/>
    <w:rsid w:val="00F67859"/>
    <w:rsid w:val="00F67DFC"/>
    <w:rsid w:val="00F70529"/>
    <w:rsid w:val="00F7073A"/>
    <w:rsid w:val="00F709CA"/>
    <w:rsid w:val="00F70B3C"/>
    <w:rsid w:val="00F70CE0"/>
    <w:rsid w:val="00F70E61"/>
    <w:rsid w:val="00F7165D"/>
    <w:rsid w:val="00F716AE"/>
    <w:rsid w:val="00F7185D"/>
    <w:rsid w:val="00F71F8C"/>
    <w:rsid w:val="00F7211C"/>
    <w:rsid w:val="00F7254B"/>
    <w:rsid w:val="00F728B3"/>
    <w:rsid w:val="00F735AD"/>
    <w:rsid w:val="00F73677"/>
    <w:rsid w:val="00F73A60"/>
    <w:rsid w:val="00F73FEF"/>
    <w:rsid w:val="00F7454C"/>
    <w:rsid w:val="00F7471A"/>
    <w:rsid w:val="00F74A6A"/>
    <w:rsid w:val="00F74F5B"/>
    <w:rsid w:val="00F7547E"/>
    <w:rsid w:val="00F7623F"/>
    <w:rsid w:val="00F7707E"/>
    <w:rsid w:val="00F7787C"/>
    <w:rsid w:val="00F8053A"/>
    <w:rsid w:val="00F80896"/>
    <w:rsid w:val="00F80B6F"/>
    <w:rsid w:val="00F812F8"/>
    <w:rsid w:val="00F817ED"/>
    <w:rsid w:val="00F8242E"/>
    <w:rsid w:val="00F82850"/>
    <w:rsid w:val="00F83144"/>
    <w:rsid w:val="00F83327"/>
    <w:rsid w:val="00F833DB"/>
    <w:rsid w:val="00F83D2B"/>
    <w:rsid w:val="00F83DFD"/>
    <w:rsid w:val="00F84D23"/>
    <w:rsid w:val="00F84E55"/>
    <w:rsid w:val="00F8517F"/>
    <w:rsid w:val="00F85347"/>
    <w:rsid w:val="00F85629"/>
    <w:rsid w:val="00F85ACF"/>
    <w:rsid w:val="00F85B10"/>
    <w:rsid w:val="00F85C52"/>
    <w:rsid w:val="00F85C6D"/>
    <w:rsid w:val="00F85FF7"/>
    <w:rsid w:val="00F8628B"/>
    <w:rsid w:val="00F8657C"/>
    <w:rsid w:val="00F86A41"/>
    <w:rsid w:val="00F86CF2"/>
    <w:rsid w:val="00F86D52"/>
    <w:rsid w:val="00F86D9A"/>
    <w:rsid w:val="00F86DF8"/>
    <w:rsid w:val="00F87405"/>
    <w:rsid w:val="00F87625"/>
    <w:rsid w:val="00F87A8D"/>
    <w:rsid w:val="00F87C0E"/>
    <w:rsid w:val="00F9057C"/>
    <w:rsid w:val="00F909CB"/>
    <w:rsid w:val="00F91654"/>
    <w:rsid w:val="00F91A0F"/>
    <w:rsid w:val="00F91DFF"/>
    <w:rsid w:val="00F91F6C"/>
    <w:rsid w:val="00F92191"/>
    <w:rsid w:val="00F9291A"/>
    <w:rsid w:val="00F92F33"/>
    <w:rsid w:val="00F935E0"/>
    <w:rsid w:val="00F93912"/>
    <w:rsid w:val="00F94333"/>
    <w:rsid w:val="00F943B5"/>
    <w:rsid w:val="00F9461B"/>
    <w:rsid w:val="00F94719"/>
    <w:rsid w:val="00F9478C"/>
    <w:rsid w:val="00F94960"/>
    <w:rsid w:val="00F94F05"/>
    <w:rsid w:val="00F9515E"/>
    <w:rsid w:val="00F95C9E"/>
    <w:rsid w:val="00F95E50"/>
    <w:rsid w:val="00F963B9"/>
    <w:rsid w:val="00F9662E"/>
    <w:rsid w:val="00F970E4"/>
    <w:rsid w:val="00F97362"/>
    <w:rsid w:val="00F976AA"/>
    <w:rsid w:val="00F97858"/>
    <w:rsid w:val="00F97B5C"/>
    <w:rsid w:val="00F97CF5"/>
    <w:rsid w:val="00FA004B"/>
    <w:rsid w:val="00FA0795"/>
    <w:rsid w:val="00FA0B36"/>
    <w:rsid w:val="00FA122C"/>
    <w:rsid w:val="00FA1322"/>
    <w:rsid w:val="00FA2219"/>
    <w:rsid w:val="00FA2244"/>
    <w:rsid w:val="00FA2600"/>
    <w:rsid w:val="00FA2B13"/>
    <w:rsid w:val="00FA31A0"/>
    <w:rsid w:val="00FA3661"/>
    <w:rsid w:val="00FA3975"/>
    <w:rsid w:val="00FA3AAD"/>
    <w:rsid w:val="00FA3C4A"/>
    <w:rsid w:val="00FA415F"/>
    <w:rsid w:val="00FA4450"/>
    <w:rsid w:val="00FA4488"/>
    <w:rsid w:val="00FA50DF"/>
    <w:rsid w:val="00FA539E"/>
    <w:rsid w:val="00FA55FC"/>
    <w:rsid w:val="00FA6119"/>
    <w:rsid w:val="00FA622E"/>
    <w:rsid w:val="00FA69DB"/>
    <w:rsid w:val="00FA6BEE"/>
    <w:rsid w:val="00FA6D49"/>
    <w:rsid w:val="00FA6F1D"/>
    <w:rsid w:val="00FA7341"/>
    <w:rsid w:val="00FA760B"/>
    <w:rsid w:val="00FA7614"/>
    <w:rsid w:val="00FA7AEB"/>
    <w:rsid w:val="00FA7DCF"/>
    <w:rsid w:val="00FB02D3"/>
    <w:rsid w:val="00FB03BE"/>
    <w:rsid w:val="00FB0A66"/>
    <w:rsid w:val="00FB0AF8"/>
    <w:rsid w:val="00FB0EC6"/>
    <w:rsid w:val="00FB1612"/>
    <w:rsid w:val="00FB1973"/>
    <w:rsid w:val="00FB19E2"/>
    <w:rsid w:val="00FB1CDE"/>
    <w:rsid w:val="00FB223F"/>
    <w:rsid w:val="00FB289E"/>
    <w:rsid w:val="00FB28C3"/>
    <w:rsid w:val="00FB29D7"/>
    <w:rsid w:val="00FB2CC1"/>
    <w:rsid w:val="00FB2CD7"/>
    <w:rsid w:val="00FB2E97"/>
    <w:rsid w:val="00FB3698"/>
    <w:rsid w:val="00FB3958"/>
    <w:rsid w:val="00FB3C63"/>
    <w:rsid w:val="00FB3E5E"/>
    <w:rsid w:val="00FB41F3"/>
    <w:rsid w:val="00FB4564"/>
    <w:rsid w:val="00FB4630"/>
    <w:rsid w:val="00FB482E"/>
    <w:rsid w:val="00FB498C"/>
    <w:rsid w:val="00FB4A0B"/>
    <w:rsid w:val="00FB5118"/>
    <w:rsid w:val="00FB5DFD"/>
    <w:rsid w:val="00FB5EB0"/>
    <w:rsid w:val="00FB667F"/>
    <w:rsid w:val="00FB67E0"/>
    <w:rsid w:val="00FB7A48"/>
    <w:rsid w:val="00FB7B22"/>
    <w:rsid w:val="00FC0008"/>
    <w:rsid w:val="00FC00F9"/>
    <w:rsid w:val="00FC1764"/>
    <w:rsid w:val="00FC1BD7"/>
    <w:rsid w:val="00FC1BE2"/>
    <w:rsid w:val="00FC20B4"/>
    <w:rsid w:val="00FC23C8"/>
    <w:rsid w:val="00FC260F"/>
    <w:rsid w:val="00FC273A"/>
    <w:rsid w:val="00FC2E82"/>
    <w:rsid w:val="00FC35A9"/>
    <w:rsid w:val="00FC3DDB"/>
    <w:rsid w:val="00FC3DE6"/>
    <w:rsid w:val="00FC41D9"/>
    <w:rsid w:val="00FC55E6"/>
    <w:rsid w:val="00FC56E1"/>
    <w:rsid w:val="00FC5BBF"/>
    <w:rsid w:val="00FC5EDF"/>
    <w:rsid w:val="00FC629F"/>
    <w:rsid w:val="00FC6854"/>
    <w:rsid w:val="00FC6B18"/>
    <w:rsid w:val="00FC6B74"/>
    <w:rsid w:val="00FC6CD9"/>
    <w:rsid w:val="00FC6D4B"/>
    <w:rsid w:val="00FC721F"/>
    <w:rsid w:val="00FC776F"/>
    <w:rsid w:val="00FC7D4B"/>
    <w:rsid w:val="00FC7EE4"/>
    <w:rsid w:val="00FC7FF3"/>
    <w:rsid w:val="00FD03B5"/>
    <w:rsid w:val="00FD0527"/>
    <w:rsid w:val="00FD060F"/>
    <w:rsid w:val="00FD08EC"/>
    <w:rsid w:val="00FD0BB5"/>
    <w:rsid w:val="00FD0D8B"/>
    <w:rsid w:val="00FD1027"/>
    <w:rsid w:val="00FD11B2"/>
    <w:rsid w:val="00FD1349"/>
    <w:rsid w:val="00FD14FA"/>
    <w:rsid w:val="00FD15B7"/>
    <w:rsid w:val="00FD17B2"/>
    <w:rsid w:val="00FD1A46"/>
    <w:rsid w:val="00FD1AAB"/>
    <w:rsid w:val="00FD1AC2"/>
    <w:rsid w:val="00FD1B03"/>
    <w:rsid w:val="00FD1E1B"/>
    <w:rsid w:val="00FD305C"/>
    <w:rsid w:val="00FD3C81"/>
    <w:rsid w:val="00FD3CE8"/>
    <w:rsid w:val="00FD4055"/>
    <w:rsid w:val="00FD4271"/>
    <w:rsid w:val="00FD4774"/>
    <w:rsid w:val="00FD4AA4"/>
    <w:rsid w:val="00FD4E15"/>
    <w:rsid w:val="00FD51BC"/>
    <w:rsid w:val="00FD53BF"/>
    <w:rsid w:val="00FD556D"/>
    <w:rsid w:val="00FD5811"/>
    <w:rsid w:val="00FD5863"/>
    <w:rsid w:val="00FD6079"/>
    <w:rsid w:val="00FD64AE"/>
    <w:rsid w:val="00FD6B6A"/>
    <w:rsid w:val="00FD6B98"/>
    <w:rsid w:val="00FD6C2A"/>
    <w:rsid w:val="00FD6C8C"/>
    <w:rsid w:val="00FD7117"/>
    <w:rsid w:val="00FD7740"/>
    <w:rsid w:val="00FD7826"/>
    <w:rsid w:val="00FD78FF"/>
    <w:rsid w:val="00FD7E0B"/>
    <w:rsid w:val="00FE034B"/>
    <w:rsid w:val="00FE09DB"/>
    <w:rsid w:val="00FE0C48"/>
    <w:rsid w:val="00FE0D89"/>
    <w:rsid w:val="00FE1327"/>
    <w:rsid w:val="00FE14A7"/>
    <w:rsid w:val="00FE14BD"/>
    <w:rsid w:val="00FE17A5"/>
    <w:rsid w:val="00FE25C2"/>
    <w:rsid w:val="00FE2868"/>
    <w:rsid w:val="00FE2B37"/>
    <w:rsid w:val="00FE2D7A"/>
    <w:rsid w:val="00FE2EFF"/>
    <w:rsid w:val="00FE3089"/>
    <w:rsid w:val="00FE314B"/>
    <w:rsid w:val="00FE3855"/>
    <w:rsid w:val="00FE38A3"/>
    <w:rsid w:val="00FE3DA3"/>
    <w:rsid w:val="00FE3EF8"/>
    <w:rsid w:val="00FE400D"/>
    <w:rsid w:val="00FE40B4"/>
    <w:rsid w:val="00FE4697"/>
    <w:rsid w:val="00FE51C5"/>
    <w:rsid w:val="00FE5246"/>
    <w:rsid w:val="00FE5B36"/>
    <w:rsid w:val="00FE639A"/>
    <w:rsid w:val="00FE6732"/>
    <w:rsid w:val="00FE6AA0"/>
    <w:rsid w:val="00FE6F9A"/>
    <w:rsid w:val="00FE6FA6"/>
    <w:rsid w:val="00FE7BB8"/>
    <w:rsid w:val="00FE7DD4"/>
    <w:rsid w:val="00FF0234"/>
    <w:rsid w:val="00FF169E"/>
    <w:rsid w:val="00FF2056"/>
    <w:rsid w:val="00FF2DA5"/>
    <w:rsid w:val="00FF3608"/>
    <w:rsid w:val="00FF3C9E"/>
    <w:rsid w:val="00FF3F03"/>
    <w:rsid w:val="00FF4078"/>
    <w:rsid w:val="00FF42D3"/>
    <w:rsid w:val="00FF4368"/>
    <w:rsid w:val="00FF4526"/>
    <w:rsid w:val="00FF4840"/>
    <w:rsid w:val="00FF4850"/>
    <w:rsid w:val="00FF4D07"/>
    <w:rsid w:val="00FF52AD"/>
    <w:rsid w:val="00FF57DE"/>
    <w:rsid w:val="00FF5B5F"/>
    <w:rsid w:val="00FF6622"/>
    <w:rsid w:val="00FF6D05"/>
    <w:rsid w:val="00FF6D82"/>
    <w:rsid w:val="00FF6E52"/>
    <w:rsid w:val="00FF7097"/>
    <w:rsid w:val="00FF7531"/>
    <w:rsid w:val="00FF7784"/>
    <w:rsid w:val="00FF77DD"/>
    <w:rsid w:val="00FF7A81"/>
    <w:rsid w:val="00FF7EF7"/>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Salutation" w:uiPriority="99"/>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99" w:qFormat="1"/>
    <w:lsdException w:name="Emphasis" w:locked="1"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452"/>
    <w:pPr>
      <w:widowControl w:val="0"/>
    </w:pPr>
    <w:rPr>
      <w:kern w:val="2"/>
      <w:sz w:val="24"/>
      <w:szCs w:val="24"/>
    </w:rPr>
  </w:style>
  <w:style w:type="paragraph" w:styleId="1">
    <w:name w:val="heading 1"/>
    <w:aliases w:val="Section title,Main Section,Hoofdstuktitel"/>
    <w:basedOn w:val="a"/>
    <w:next w:val="a"/>
    <w:link w:val="10"/>
    <w:uiPriority w:val="99"/>
    <w:qFormat/>
    <w:rsid w:val="00B047B1"/>
    <w:pPr>
      <w:keepNext/>
      <w:jc w:val="center"/>
      <w:outlineLvl w:val="0"/>
    </w:pPr>
    <w:rPr>
      <w:rFonts w:ascii="Arial" w:hAnsi="Arial" w:cs="Arial"/>
      <w:b/>
      <w:bCs/>
    </w:rPr>
  </w:style>
  <w:style w:type="paragraph" w:styleId="2">
    <w:name w:val="heading 2"/>
    <w:aliases w:val="Section,Kop"/>
    <w:basedOn w:val="a"/>
    <w:next w:val="a"/>
    <w:link w:val="20"/>
    <w:autoRedefine/>
    <w:uiPriority w:val="99"/>
    <w:qFormat/>
    <w:rsid w:val="00B047B1"/>
    <w:pPr>
      <w:keepNext/>
      <w:tabs>
        <w:tab w:val="left" w:pos="0"/>
      </w:tabs>
      <w:spacing w:beforeLines="100"/>
      <w:outlineLvl w:val="1"/>
    </w:pPr>
    <w:rPr>
      <w:rFonts w:ascii="Arial" w:eastAsia="標楷體" w:hAnsi="Arial" w:cs="Arial"/>
      <w:bCs/>
      <w:sz w:val="48"/>
      <w:szCs w:val="48"/>
    </w:rPr>
  </w:style>
  <w:style w:type="paragraph" w:styleId="3">
    <w:name w:val="heading 3"/>
    <w:aliases w:val="Sub-paragraph,Subsection,Tussenkop"/>
    <w:basedOn w:val="a"/>
    <w:next w:val="a"/>
    <w:link w:val="30"/>
    <w:autoRedefine/>
    <w:uiPriority w:val="99"/>
    <w:qFormat/>
    <w:rsid w:val="00B047B1"/>
    <w:pPr>
      <w:keepNext/>
      <w:tabs>
        <w:tab w:val="left" w:pos="360"/>
        <w:tab w:val="left" w:pos="720"/>
      </w:tabs>
      <w:spacing w:beforeLines="50"/>
      <w:ind w:leftChars="100" w:left="360" w:hangingChars="50" w:hanging="120"/>
      <w:outlineLvl w:val="2"/>
    </w:pPr>
    <w:rPr>
      <w:rFonts w:eastAsia="標楷體"/>
      <w:bCs/>
      <w:snapToGrid w:val="0"/>
      <w:sz w:val="36"/>
      <w:szCs w:val="36"/>
    </w:rPr>
  </w:style>
  <w:style w:type="paragraph" w:styleId="4">
    <w:name w:val="heading 4"/>
    <w:aliases w:val="Sub-sub-paragraph"/>
    <w:basedOn w:val="a"/>
    <w:next w:val="a"/>
    <w:link w:val="40"/>
    <w:uiPriority w:val="99"/>
    <w:qFormat/>
    <w:rsid w:val="00B047B1"/>
    <w:pPr>
      <w:keepNext/>
      <w:spacing w:line="720" w:lineRule="auto"/>
      <w:outlineLvl w:val="3"/>
    </w:pPr>
    <w:rPr>
      <w:rFonts w:ascii="Arial" w:hAnsi="Arial"/>
      <w:sz w:val="36"/>
      <w:szCs w:val="36"/>
    </w:rPr>
  </w:style>
  <w:style w:type="paragraph" w:styleId="5">
    <w:name w:val="heading 5"/>
    <w:basedOn w:val="a"/>
    <w:next w:val="a"/>
    <w:link w:val="50"/>
    <w:uiPriority w:val="99"/>
    <w:qFormat/>
    <w:rsid w:val="00B047B1"/>
    <w:pPr>
      <w:keepNext/>
      <w:spacing w:line="360" w:lineRule="auto"/>
      <w:jc w:val="center"/>
      <w:outlineLvl w:val="4"/>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Section title 字元,Main Section 字元,Hoofdstuktitel 字元"/>
    <w:link w:val="1"/>
    <w:uiPriority w:val="99"/>
    <w:locked/>
    <w:rsid w:val="005E7791"/>
    <w:rPr>
      <w:rFonts w:ascii="Arial" w:eastAsia="新細明體" w:hAnsi="Arial" w:cs="Arial"/>
      <w:b/>
      <w:bCs/>
      <w:kern w:val="2"/>
      <w:sz w:val="24"/>
      <w:szCs w:val="24"/>
      <w:lang w:val="en-US" w:eastAsia="zh-TW" w:bidi="ar-SA"/>
    </w:rPr>
  </w:style>
  <w:style w:type="character" w:customStyle="1" w:styleId="20">
    <w:name w:val="標題 2 字元"/>
    <w:aliases w:val="Section 字元,Kop 字元"/>
    <w:link w:val="2"/>
    <w:uiPriority w:val="99"/>
    <w:locked/>
    <w:rsid w:val="005E7791"/>
    <w:rPr>
      <w:rFonts w:ascii="Arial" w:eastAsia="標楷體" w:hAnsi="Arial" w:cs="Arial"/>
      <w:bCs/>
      <w:kern w:val="2"/>
      <w:sz w:val="48"/>
      <w:szCs w:val="48"/>
      <w:lang w:val="en-US" w:eastAsia="zh-TW" w:bidi="ar-SA"/>
    </w:rPr>
  </w:style>
  <w:style w:type="character" w:customStyle="1" w:styleId="30">
    <w:name w:val="標題 3 字元"/>
    <w:aliases w:val="Sub-paragraph 字元,Subsection 字元,Tussenkop 字元"/>
    <w:link w:val="3"/>
    <w:uiPriority w:val="99"/>
    <w:locked/>
    <w:rsid w:val="005E7791"/>
    <w:rPr>
      <w:rFonts w:eastAsia="標楷體" w:cs="Times New Roman"/>
      <w:bCs/>
      <w:snapToGrid w:val="0"/>
      <w:kern w:val="2"/>
      <w:sz w:val="36"/>
      <w:szCs w:val="36"/>
      <w:lang w:val="en-US" w:eastAsia="zh-TW" w:bidi="ar-SA"/>
    </w:rPr>
  </w:style>
  <w:style w:type="character" w:customStyle="1" w:styleId="40">
    <w:name w:val="標題 4 字元"/>
    <w:aliases w:val="Sub-sub-paragraph 字元"/>
    <w:link w:val="4"/>
    <w:uiPriority w:val="99"/>
    <w:locked/>
    <w:rsid w:val="005E7791"/>
    <w:rPr>
      <w:rFonts w:ascii="Arial" w:eastAsia="新細明體" w:hAnsi="Arial" w:cs="Times New Roman"/>
      <w:kern w:val="2"/>
      <w:sz w:val="36"/>
      <w:szCs w:val="36"/>
      <w:lang w:val="en-US" w:eastAsia="zh-TW" w:bidi="ar-SA"/>
    </w:rPr>
  </w:style>
  <w:style w:type="character" w:customStyle="1" w:styleId="50">
    <w:name w:val="標題 5 字元"/>
    <w:link w:val="5"/>
    <w:uiPriority w:val="99"/>
    <w:locked/>
    <w:rsid w:val="005E7791"/>
    <w:rPr>
      <w:rFonts w:eastAsia="標楷體" w:cs="Times New Roman"/>
      <w:b/>
      <w:kern w:val="2"/>
      <w:sz w:val="24"/>
      <w:szCs w:val="24"/>
      <w:lang w:val="en-US" w:eastAsia="zh-TW" w:bidi="ar-SA"/>
    </w:rPr>
  </w:style>
  <w:style w:type="paragraph" w:styleId="a3">
    <w:name w:val="Balloon Text"/>
    <w:basedOn w:val="a"/>
    <w:link w:val="a4"/>
    <w:uiPriority w:val="99"/>
    <w:semiHidden/>
    <w:rsid w:val="005E7791"/>
    <w:rPr>
      <w:rFonts w:ascii="Cambria" w:hAnsi="Cambria"/>
      <w:sz w:val="18"/>
      <w:szCs w:val="18"/>
    </w:rPr>
  </w:style>
  <w:style w:type="character" w:customStyle="1" w:styleId="a4">
    <w:name w:val="註解方塊文字 字元"/>
    <w:link w:val="a3"/>
    <w:uiPriority w:val="99"/>
    <w:semiHidden/>
    <w:locked/>
    <w:rsid w:val="005E7791"/>
    <w:rPr>
      <w:rFonts w:ascii="Cambria" w:eastAsia="新細明體" w:hAnsi="Cambria" w:cs="Times New Roman"/>
      <w:kern w:val="2"/>
      <w:sz w:val="18"/>
      <w:szCs w:val="18"/>
      <w:lang w:val="en-US" w:eastAsia="zh-TW" w:bidi="ar-SA"/>
    </w:rPr>
  </w:style>
  <w:style w:type="table" w:styleId="a5">
    <w:name w:val="Table Grid"/>
    <w:basedOn w:val="a1"/>
    <w:uiPriority w:val="99"/>
    <w:rsid w:val="001903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53E"/>
    <w:pPr>
      <w:widowControl w:val="0"/>
      <w:autoSpaceDE w:val="0"/>
      <w:autoSpaceDN w:val="0"/>
      <w:adjustRightInd w:val="0"/>
    </w:pPr>
    <w:rPr>
      <w:rFonts w:ascii="標楷體" w:eastAsia="標楷體" w:cs="標楷體"/>
      <w:color w:val="000000"/>
      <w:sz w:val="24"/>
      <w:szCs w:val="24"/>
    </w:rPr>
  </w:style>
  <w:style w:type="paragraph" w:styleId="a6">
    <w:name w:val="footer"/>
    <w:basedOn w:val="a"/>
    <w:link w:val="11"/>
    <w:uiPriority w:val="99"/>
    <w:rsid w:val="005A2655"/>
    <w:pPr>
      <w:tabs>
        <w:tab w:val="center" w:pos="4153"/>
        <w:tab w:val="right" w:pos="8306"/>
      </w:tabs>
      <w:snapToGrid w:val="0"/>
    </w:pPr>
    <w:rPr>
      <w:sz w:val="20"/>
      <w:szCs w:val="20"/>
    </w:rPr>
  </w:style>
  <w:style w:type="character" w:customStyle="1" w:styleId="11">
    <w:name w:val="頁尾 字元1"/>
    <w:link w:val="a6"/>
    <w:uiPriority w:val="99"/>
    <w:locked/>
    <w:rsid w:val="005E7791"/>
    <w:rPr>
      <w:rFonts w:eastAsia="新細明體" w:cs="Times New Roman"/>
      <w:kern w:val="2"/>
      <w:lang w:val="en-US" w:eastAsia="zh-TW" w:bidi="ar-SA"/>
    </w:rPr>
  </w:style>
  <w:style w:type="character" w:styleId="a7">
    <w:name w:val="Strong"/>
    <w:uiPriority w:val="99"/>
    <w:qFormat/>
    <w:rsid w:val="00B047B1"/>
    <w:rPr>
      <w:rFonts w:cs="Times New Roman"/>
      <w:b/>
      <w:bCs/>
    </w:rPr>
  </w:style>
  <w:style w:type="paragraph" w:customStyle="1" w:styleId="21">
    <w:name w:val="內文2２"/>
    <w:basedOn w:val="a"/>
    <w:uiPriority w:val="99"/>
    <w:rsid w:val="00B047B1"/>
    <w:pPr>
      <w:widowControl/>
      <w:overflowPunct w:val="0"/>
      <w:autoSpaceDE w:val="0"/>
      <w:autoSpaceDN w:val="0"/>
      <w:adjustRightInd w:val="0"/>
      <w:ind w:left="1440" w:right="-360" w:hanging="540"/>
      <w:textAlignment w:val="baseline"/>
    </w:pPr>
    <w:rPr>
      <w:kern w:val="0"/>
      <w:sz w:val="28"/>
      <w:szCs w:val="20"/>
    </w:rPr>
  </w:style>
  <w:style w:type="paragraph" w:customStyle="1" w:styleId="3Arial10">
    <w:name w:val="樣式 標題 3 + (拉丁) Arial (中文) 標楷體 10 點"/>
    <w:basedOn w:val="a"/>
    <w:uiPriority w:val="99"/>
    <w:rsid w:val="00B047B1"/>
    <w:pPr>
      <w:tabs>
        <w:tab w:val="num" w:pos="960"/>
      </w:tabs>
      <w:ind w:left="960" w:hanging="480"/>
    </w:pPr>
  </w:style>
  <w:style w:type="paragraph" w:styleId="a8">
    <w:name w:val="footnote text"/>
    <w:basedOn w:val="a"/>
    <w:link w:val="a9"/>
    <w:uiPriority w:val="99"/>
    <w:semiHidden/>
    <w:rsid w:val="00B047B1"/>
    <w:pPr>
      <w:snapToGrid w:val="0"/>
    </w:pPr>
    <w:rPr>
      <w:sz w:val="20"/>
      <w:szCs w:val="20"/>
    </w:rPr>
  </w:style>
  <w:style w:type="character" w:customStyle="1" w:styleId="a9">
    <w:name w:val="註腳文字 字元"/>
    <w:link w:val="a8"/>
    <w:uiPriority w:val="99"/>
    <w:locked/>
    <w:rsid w:val="00B047B1"/>
    <w:rPr>
      <w:rFonts w:eastAsia="新細明體" w:cs="Times New Roman"/>
      <w:kern w:val="2"/>
      <w:lang w:val="en-US" w:eastAsia="zh-TW" w:bidi="ar-SA"/>
    </w:rPr>
  </w:style>
  <w:style w:type="paragraph" w:styleId="Web">
    <w:name w:val="Normal (Web)"/>
    <w:basedOn w:val="a"/>
    <w:uiPriority w:val="99"/>
    <w:rsid w:val="00B047B1"/>
    <w:pPr>
      <w:widowControl/>
      <w:spacing w:before="100" w:beforeAutospacing="1" w:after="100" w:afterAutospacing="1"/>
    </w:pPr>
    <w:rPr>
      <w:rFonts w:ascii="新細明體" w:hAnsi="新細明體" w:cs="新細明體"/>
      <w:kern w:val="0"/>
    </w:rPr>
  </w:style>
  <w:style w:type="character" w:styleId="aa">
    <w:name w:val="Hyperlink"/>
    <w:uiPriority w:val="99"/>
    <w:rsid w:val="00B047B1"/>
    <w:rPr>
      <w:rFonts w:cs="Times New Roman"/>
      <w:color w:val="0000FF"/>
      <w:u w:val="single"/>
    </w:rPr>
  </w:style>
  <w:style w:type="paragraph" w:styleId="12">
    <w:name w:val="toc 1"/>
    <w:basedOn w:val="a"/>
    <w:next w:val="a"/>
    <w:autoRedefine/>
    <w:uiPriority w:val="99"/>
    <w:semiHidden/>
    <w:rsid w:val="00B047B1"/>
    <w:pPr>
      <w:tabs>
        <w:tab w:val="left" w:pos="960"/>
        <w:tab w:val="right" w:leader="dot" w:pos="9540"/>
      </w:tabs>
      <w:spacing w:before="120" w:after="120"/>
    </w:pPr>
    <w:rPr>
      <w:rFonts w:eastAsia="標楷體"/>
      <w:bCs/>
      <w:caps/>
      <w:szCs w:val="20"/>
    </w:rPr>
  </w:style>
  <w:style w:type="paragraph" w:customStyle="1" w:styleId="13">
    <w:name w:val="字元 字元 字元 字元 字元 字元 字元 字元 字元1 字元 字元 字元 字元"/>
    <w:basedOn w:val="a"/>
    <w:uiPriority w:val="99"/>
    <w:rsid w:val="00B047B1"/>
    <w:pPr>
      <w:widowControl/>
      <w:spacing w:after="160" w:line="240" w:lineRule="exact"/>
    </w:pPr>
    <w:rPr>
      <w:rFonts w:ascii="Verdana" w:hAnsi="Verdana"/>
      <w:kern w:val="0"/>
      <w:sz w:val="20"/>
      <w:szCs w:val="20"/>
      <w:lang w:eastAsia="en-US"/>
    </w:rPr>
  </w:style>
  <w:style w:type="paragraph" w:customStyle="1" w:styleId="14">
    <w:name w:val="1"/>
    <w:basedOn w:val="a"/>
    <w:uiPriority w:val="99"/>
    <w:rsid w:val="00B047B1"/>
    <w:pPr>
      <w:adjustRightInd w:val="0"/>
      <w:spacing w:line="360" w:lineRule="atLeast"/>
      <w:ind w:firstLine="212"/>
      <w:textAlignment w:val="baseline"/>
    </w:pPr>
    <w:rPr>
      <w:rFonts w:ascii="華康楷書體W5" w:eastAsia="華康楷書體W5"/>
      <w:kern w:val="0"/>
      <w:szCs w:val="20"/>
    </w:rPr>
  </w:style>
  <w:style w:type="paragraph" w:styleId="ab">
    <w:name w:val="Salutation"/>
    <w:basedOn w:val="a"/>
    <w:next w:val="a"/>
    <w:link w:val="ac"/>
    <w:uiPriority w:val="99"/>
    <w:rsid w:val="00B047B1"/>
    <w:rPr>
      <w:rFonts w:eastAsia="標楷體"/>
    </w:rPr>
  </w:style>
  <w:style w:type="character" w:customStyle="1" w:styleId="ac">
    <w:name w:val="問候 字元"/>
    <w:link w:val="ab"/>
    <w:uiPriority w:val="99"/>
    <w:locked/>
    <w:rsid w:val="00B047B1"/>
    <w:rPr>
      <w:rFonts w:eastAsia="標楷體" w:cs="Times New Roman"/>
      <w:kern w:val="2"/>
      <w:sz w:val="24"/>
      <w:szCs w:val="24"/>
      <w:lang w:val="en-US" w:eastAsia="zh-TW" w:bidi="ar-SA"/>
    </w:rPr>
  </w:style>
  <w:style w:type="paragraph" w:customStyle="1" w:styleId="ad">
    <w:name w:val="公文(主旨)"/>
    <w:basedOn w:val="a"/>
    <w:uiPriority w:val="99"/>
    <w:rsid w:val="00D45E2C"/>
    <w:pPr>
      <w:kinsoku w:val="0"/>
      <w:snapToGrid w:val="0"/>
      <w:spacing w:line="500" w:lineRule="exact"/>
      <w:ind w:left="958" w:hanging="958"/>
    </w:pPr>
    <w:rPr>
      <w:rFonts w:ascii="標楷體" w:eastAsia="標楷體" w:hAnsi="標楷體"/>
      <w:sz w:val="32"/>
    </w:rPr>
  </w:style>
  <w:style w:type="paragraph" w:styleId="ae">
    <w:name w:val="header"/>
    <w:basedOn w:val="a"/>
    <w:link w:val="af"/>
    <w:uiPriority w:val="99"/>
    <w:rsid w:val="005A2655"/>
    <w:pPr>
      <w:tabs>
        <w:tab w:val="center" w:pos="4153"/>
        <w:tab w:val="right" w:pos="8306"/>
      </w:tabs>
      <w:snapToGrid w:val="0"/>
    </w:pPr>
    <w:rPr>
      <w:sz w:val="20"/>
      <w:szCs w:val="20"/>
    </w:rPr>
  </w:style>
  <w:style w:type="character" w:customStyle="1" w:styleId="af">
    <w:name w:val="頁首 字元"/>
    <w:link w:val="ae"/>
    <w:uiPriority w:val="99"/>
    <w:locked/>
    <w:rsid w:val="005E7791"/>
    <w:rPr>
      <w:rFonts w:eastAsia="新細明體" w:cs="Times New Roman"/>
      <w:kern w:val="2"/>
      <w:lang w:val="en-US" w:eastAsia="zh-TW" w:bidi="ar-SA"/>
    </w:rPr>
  </w:style>
  <w:style w:type="character" w:styleId="af0">
    <w:name w:val="page number"/>
    <w:uiPriority w:val="99"/>
    <w:rsid w:val="005A2655"/>
    <w:rPr>
      <w:rFonts w:cs="Times New Roman"/>
    </w:rPr>
  </w:style>
  <w:style w:type="character" w:customStyle="1" w:styleId="tocspanright1">
    <w:name w:val="tocspanright1"/>
    <w:uiPriority w:val="99"/>
    <w:rsid w:val="00B047B1"/>
    <w:rPr>
      <w:rFonts w:cs="Times New Roman"/>
    </w:rPr>
  </w:style>
  <w:style w:type="character" w:customStyle="1" w:styleId="nobreak1">
    <w:name w:val="no_break1"/>
    <w:uiPriority w:val="99"/>
    <w:rsid w:val="00B047B1"/>
    <w:rPr>
      <w:rFonts w:cs="Times New Roman"/>
    </w:rPr>
  </w:style>
  <w:style w:type="paragraph" w:styleId="af1">
    <w:name w:val="Body Text"/>
    <w:basedOn w:val="a"/>
    <w:link w:val="af2"/>
    <w:uiPriority w:val="99"/>
    <w:rsid w:val="00B047B1"/>
    <w:pPr>
      <w:autoSpaceDE w:val="0"/>
      <w:autoSpaceDN w:val="0"/>
      <w:adjustRightInd w:val="0"/>
      <w:spacing w:line="240" w:lineRule="atLeast"/>
    </w:pPr>
    <w:rPr>
      <w:rFonts w:ascii="Arial" w:eastAsia="標楷體" w:hAnsi="Arial" w:cs="Arial"/>
      <w:kern w:val="0"/>
      <w:sz w:val="22"/>
      <w:szCs w:val="22"/>
    </w:rPr>
  </w:style>
  <w:style w:type="character" w:customStyle="1" w:styleId="af2">
    <w:name w:val="本文 字元"/>
    <w:link w:val="af1"/>
    <w:uiPriority w:val="99"/>
    <w:locked/>
    <w:rsid w:val="005E7791"/>
    <w:rPr>
      <w:rFonts w:ascii="Arial" w:eastAsia="標楷體" w:hAnsi="Arial" w:cs="Arial"/>
      <w:sz w:val="22"/>
      <w:szCs w:val="22"/>
      <w:lang w:val="en-US" w:eastAsia="zh-TW" w:bidi="ar-SA"/>
    </w:rPr>
  </w:style>
  <w:style w:type="paragraph" w:styleId="HTML">
    <w:name w:val="HTML Preformatted"/>
    <w:basedOn w:val="a"/>
    <w:link w:val="HTML0"/>
    <w:uiPriority w:val="99"/>
    <w:rsid w:val="00B04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E7791"/>
    <w:rPr>
      <w:rFonts w:ascii="細明體" w:eastAsia="細明體" w:hAnsi="細明體" w:cs="細明體"/>
      <w:sz w:val="24"/>
      <w:szCs w:val="24"/>
      <w:lang w:val="en-US" w:eastAsia="zh-TW" w:bidi="ar-SA"/>
    </w:rPr>
  </w:style>
  <w:style w:type="paragraph" w:customStyle="1" w:styleId="Paragraph">
    <w:name w:val="Paragraph"/>
    <w:basedOn w:val="a"/>
    <w:uiPriority w:val="99"/>
    <w:rsid w:val="00B047B1"/>
    <w:pPr>
      <w:widowControl/>
      <w:spacing w:after="240"/>
      <w:jc w:val="both"/>
    </w:pPr>
    <w:rPr>
      <w:rFonts w:ascii="Arial" w:eastAsia="SimSun" w:hAnsi="Arial"/>
      <w:kern w:val="0"/>
      <w:sz w:val="22"/>
      <w:szCs w:val="20"/>
      <w:lang w:val="en-GB" w:eastAsia="zh-CN"/>
    </w:rPr>
  </w:style>
  <w:style w:type="paragraph" w:customStyle="1" w:styleId="IndentedParagraph">
    <w:name w:val="IndentedParagraph"/>
    <w:basedOn w:val="Paragraph"/>
    <w:uiPriority w:val="99"/>
    <w:rsid w:val="00B047B1"/>
    <w:pPr>
      <w:ind w:left="851" w:hanging="851"/>
    </w:pPr>
  </w:style>
  <w:style w:type="paragraph" w:customStyle="1" w:styleId="af3">
    <w:name w:val="內文縮排１"/>
    <w:basedOn w:val="af4"/>
    <w:uiPriority w:val="99"/>
    <w:rsid w:val="00B047B1"/>
    <w:pPr>
      <w:ind w:left="1800" w:hanging="360"/>
    </w:pPr>
    <w:rPr>
      <w:sz w:val="24"/>
    </w:rPr>
  </w:style>
  <w:style w:type="paragraph" w:styleId="af4">
    <w:name w:val="Normal Indent"/>
    <w:basedOn w:val="a"/>
    <w:uiPriority w:val="99"/>
    <w:rsid w:val="00B047B1"/>
    <w:pPr>
      <w:widowControl/>
      <w:overflowPunct w:val="0"/>
      <w:autoSpaceDE w:val="0"/>
      <w:autoSpaceDN w:val="0"/>
      <w:adjustRightInd w:val="0"/>
      <w:ind w:left="1440" w:right="-360"/>
      <w:textAlignment w:val="baseline"/>
    </w:pPr>
    <w:rPr>
      <w:kern w:val="0"/>
      <w:sz w:val="20"/>
      <w:szCs w:val="20"/>
    </w:rPr>
  </w:style>
  <w:style w:type="paragraph" w:customStyle="1" w:styleId="22">
    <w:name w:val="內文2"/>
    <w:basedOn w:val="af4"/>
    <w:uiPriority w:val="99"/>
    <w:rsid w:val="00B047B1"/>
    <w:pPr>
      <w:ind w:left="540"/>
    </w:pPr>
  </w:style>
  <w:style w:type="paragraph" w:customStyle="1" w:styleId="af5">
    <w:name w:val="圖片"/>
    <w:basedOn w:val="a"/>
    <w:next w:val="af6"/>
    <w:uiPriority w:val="99"/>
    <w:rsid w:val="00B047B1"/>
    <w:pPr>
      <w:keepNext/>
      <w:widowControl/>
      <w:overflowPunct w:val="0"/>
      <w:autoSpaceDE w:val="0"/>
      <w:autoSpaceDN w:val="0"/>
      <w:adjustRightInd w:val="0"/>
      <w:ind w:left="840" w:right="-360"/>
      <w:textAlignment w:val="baseline"/>
    </w:pPr>
    <w:rPr>
      <w:kern w:val="0"/>
      <w:sz w:val="20"/>
      <w:szCs w:val="20"/>
    </w:rPr>
  </w:style>
  <w:style w:type="paragraph" w:styleId="af6">
    <w:name w:val="caption"/>
    <w:basedOn w:val="a"/>
    <w:next w:val="a"/>
    <w:uiPriority w:val="99"/>
    <w:qFormat/>
    <w:rsid w:val="00B047B1"/>
    <w:pPr>
      <w:spacing w:before="120" w:after="120"/>
    </w:pPr>
    <w:rPr>
      <w:sz w:val="20"/>
      <w:szCs w:val="20"/>
    </w:rPr>
  </w:style>
  <w:style w:type="paragraph" w:customStyle="1" w:styleId="af7">
    <w:name w:val="註腳基準"/>
    <w:basedOn w:val="af1"/>
    <w:uiPriority w:val="99"/>
    <w:rsid w:val="00B047B1"/>
    <w:pPr>
      <w:keepLines/>
      <w:widowControl/>
      <w:overflowPunct w:val="0"/>
      <w:spacing w:after="220" w:line="200" w:lineRule="atLeast"/>
      <w:ind w:left="840" w:right="-360"/>
      <w:textAlignment w:val="baseline"/>
    </w:pPr>
    <w:rPr>
      <w:rFonts w:ascii="Times New Roman" w:eastAsia="新細明體" w:hAnsi="Times New Roman" w:cs="Times New Roman"/>
      <w:sz w:val="16"/>
      <w:szCs w:val="20"/>
    </w:rPr>
  </w:style>
  <w:style w:type="paragraph" w:customStyle="1" w:styleId="af8">
    <w:name w:val="頁首基準"/>
    <w:basedOn w:val="af1"/>
    <w:uiPriority w:val="99"/>
    <w:rsid w:val="00B047B1"/>
    <w:pPr>
      <w:keepLines/>
      <w:widowControl/>
      <w:tabs>
        <w:tab w:val="left" w:pos="-1080"/>
        <w:tab w:val="center" w:pos="4320"/>
        <w:tab w:val="right" w:pos="9720"/>
      </w:tabs>
      <w:overflowPunct w:val="0"/>
      <w:spacing w:line="220" w:lineRule="atLeast"/>
      <w:ind w:left="-1080" w:right="-840"/>
      <w:textAlignment w:val="baseline"/>
    </w:pPr>
    <w:rPr>
      <w:rFonts w:ascii="Times New Roman" w:eastAsia="新細明體" w:hAnsi="Times New Roman" w:cs="Times New Roman"/>
      <w:szCs w:val="20"/>
    </w:rPr>
  </w:style>
  <w:style w:type="paragraph" w:customStyle="1" w:styleId="af9">
    <w:name w:val="標題基準"/>
    <w:basedOn w:val="af1"/>
    <w:next w:val="af1"/>
    <w:uiPriority w:val="99"/>
    <w:rsid w:val="00B047B1"/>
    <w:pPr>
      <w:keepNext/>
      <w:keepLines/>
      <w:widowControl/>
      <w:overflowPunct w:val="0"/>
      <w:spacing w:line="220" w:lineRule="atLeast"/>
      <w:ind w:left="840" w:right="-360"/>
      <w:textAlignment w:val="baseline"/>
    </w:pPr>
    <w:rPr>
      <w:rFonts w:eastAsia="新細明體" w:cs="Times New Roman"/>
      <w:spacing w:val="-10"/>
      <w:kern w:val="28"/>
      <w:sz w:val="18"/>
      <w:szCs w:val="20"/>
    </w:rPr>
  </w:style>
  <w:style w:type="character" w:customStyle="1" w:styleId="itemtextlaw1">
    <w:name w:val="itemtextlaw1"/>
    <w:uiPriority w:val="99"/>
    <w:rsid w:val="00B047B1"/>
    <w:rPr>
      <w:rFonts w:cs="Times New Roman"/>
      <w:sz w:val="23"/>
      <w:szCs w:val="23"/>
    </w:rPr>
  </w:style>
  <w:style w:type="paragraph" w:customStyle="1" w:styleId="Bullets">
    <w:name w:val="Bullets"/>
    <w:basedOn w:val="a"/>
    <w:uiPriority w:val="99"/>
    <w:rsid w:val="00B047B1"/>
    <w:pPr>
      <w:widowControl/>
      <w:tabs>
        <w:tab w:val="num" w:pos="480"/>
      </w:tabs>
      <w:spacing w:after="120"/>
      <w:ind w:left="480" w:hanging="480"/>
      <w:jc w:val="both"/>
    </w:pPr>
    <w:rPr>
      <w:rFonts w:ascii="Arial" w:eastAsia="SimSun" w:hAnsi="Arial"/>
      <w:kern w:val="0"/>
      <w:sz w:val="22"/>
      <w:szCs w:val="20"/>
      <w:lang w:val="en-GB" w:eastAsia="zh-CN"/>
    </w:rPr>
  </w:style>
  <w:style w:type="paragraph" w:customStyle="1" w:styleId="C">
    <w:name w:val="標題C"/>
    <w:basedOn w:val="af4"/>
    <w:uiPriority w:val="99"/>
    <w:rsid w:val="00B047B1"/>
    <w:pPr>
      <w:widowControl w:val="0"/>
      <w:overflowPunct/>
      <w:autoSpaceDE/>
      <w:autoSpaceDN/>
      <w:adjustRightInd/>
      <w:spacing w:beforeLines="50" w:afterLines="50" w:line="400" w:lineRule="exact"/>
      <w:ind w:leftChars="200" w:left="480" w:right="0"/>
      <w:jc w:val="both"/>
      <w:textAlignment w:val="auto"/>
    </w:pPr>
    <w:rPr>
      <w:rFonts w:eastAsia="標楷體"/>
      <w:b/>
      <w:kern w:val="2"/>
      <w:sz w:val="24"/>
      <w:szCs w:val="24"/>
    </w:rPr>
  </w:style>
  <w:style w:type="paragraph" w:customStyle="1" w:styleId="B">
    <w:name w:val="標題B"/>
    <w:basedOn w:val="a"/>
    <w:uiPriority w:val="99"/>
    <w:rsid w:val="00B047B1"/>
    <w:rPr>
      <w:rFonts w:ascii="標楷體" w:eastAsia="標楷體" w:hAnsi="標楷體"/>
      <w:b/>
      <w:sz w:val="32"/>
      <w:szCs w:val="32"/>
    </w:rPr>
  </w:style>
  <w:style w:type="paragraph" w:customStyle="1" w:styleId="TableNumber">
    <w:name w:val="TableNumber"/>
    <w:basedOn w:val="Paragraph"/>
    <w:uiPriority w:val="99"/>
    <w:rsid w:val="00B047B1"/>
    <w:pPr>
      <w:keepNext/>
      <w:spacing w:before="120" w:after="0" w:line="300" w:lineRule="auto"/>
      <w:ind w:left="100" w:hanging="100"/>
      <w:jc w:val="center"/>
    </w:pPr>
  </w:style>
  <w:style w:type="paragraph" w:customStyle="1" w:styleId="IndentedParagraph0">
    <w:name w:val="Indented Paragraph"/>
    <w:basedOn w:val="a"/>
    <w:uiPriority w:val="99"/>
    <w:rsid w:val="00B047B1"/>
    <w:pPr>
      <w:widowControl/>
      <w:tabs>
        <w:tab w:val="left" w:pos="851"/>
      </w:tabs>
      <w:spacing w:afterLines="50" w:line="300" w:lineRule="auto"/>
      <w:ind w:left="851" w:hangingChars="100" w:hanging="851"/>
      <w:jc w:val="both"/>
    </w:pPr>
    <w:rPr>
      <w:rFonts w:ascii="Arial" w:eastAsia="SimSun" w:hAnsi="Arial"/>
      <w:kern w:val="0"/>
      <w:szCs w:val="20"/>
      <w:lang w:val="en-GB" w:eastAsia="en-US"/>
    </w:rPr>
  </w:style>
  <w:style w:type="paragraph" w:customStyle="1" w:styleId="AnnexHeading2">
    <w:name w:val="AnnexHeading 2"/>
    <w:basedOn w:val="2"/>
    <w:next w:val="4"/>
    <w:uiPriority w:val="99"/>
    <w:rsid w:val="00B047B1"/>
    <w:pPr>
      <w:keepNext w:val="0"/>
      <w:widowControl/>
      <w:numPr>
        <w:ilvl w:val="1"/>
      </w:numPr>
      <w:tabs>
        <w:tab w:val="clear" w:pos="0"/>
      </w:tabs>
      <w:spacing w:beforeLines="50" w:after="180"/>
    </w:pPr>
    <w:rPr>
      <w:rFonts w:ascii="標楷體" w:hAnsi="標楷體" w:cs="Times New Roman"/>
      <w:kern w:val="0"/>
      <w:szCs w:val="20"/>
      <w:lang w:val="en-GB" w:eastAsia="en-US"/>
    </w:rPr>
  </w:style>
  <w:style w:type="paragraph" w:styleId="afa">
    <w:name w:val="Body Text Indent"/>
    <w:basedOn w:val="a"/>
    <w:link w:val="afb"/>
    <w:uiPriority w:val="99"/>
    <w:rsid w:val="00B047B1"/>
    <w:pPr>
      <w:tabs>
        <w:tab w:val="left" w:pos="960"/>
        <w:tab w:val="left" w:pos="1440"/>
      </w:tabs>
      <w:ind w:left="960"/>
    </w:pPr>
    <w:rPr>
      <w:rFonts w:ascii="標楷體" w:eastAsia="標楷體" w:hAnsi="標楷體" w:cs="Arial"/>
      <w:color w:val="000000"/>
    </w:rPr>
  </w:style>
  <w:style w:type="character" w:customStyle="1" w:styleId="afb">
    <w:name w:val="本文縮排 字元"/>
    <w:link w:val="afa"/>
    <w:uiPriority w:val="99"/>
    <w:locked/>
    <w:rsid w:val="005E7791"/>
    <w:rPr>
      <w:rFonts w:ascii="標楷體" w:eastAsia="標楷體" w:hAnsi="標楷體" w:cs="Arial"/>
      <w:color w:val="000000"/>
      <w:kern w:val="2"/>
      <w:sz w:val="24"/>
      <w:szCs w:val="24"/>
      <w:lang w:val="en-US" w:eastAsia="zh-TW" w:bidi="ar-SA"/>
    </w:rPr>
  </w:style>
  <w:style w:type="paragraph" w:styleId="afc">
    <w:name w:val="annotation text"/>
    <w:basedOn w:val="a"/>
    <w:link w:val="afd"/>
    <w:uiPriority w:val="99"/>
    <w:semiHidden/>
    <w:rsid w:val="00B047B1"/>
  </w:style>
  <w:style w:type="character" w:customStyle="1" w:styleId="afd">
    <w:name w:val="註解文字 字元"/>
    <w:link w:val="afc"/>
    <w:uiPriority w:val="99"/>
    <w:semiHidden/>
    <w:locked/>
    <w:rsid w:val="005E7791"/>
    <w:rPr>
      <w:rFonts w:eastAsia="新細明體" w:cs="Times New Roman"/>
      <w:kern w:val="2"/>
      <w:sz w:val="24"/>
      <w:szCs w:val="24"/>
      <w:lang w:val="en-US" w:eastAsia="zh-TW" w:bidi="ar-SA"/>
    </w:rPr>
  </w:style>
  <w:style w:type="paragraph" w:customStyle="1" w:styleId="15">
    <w:name w:val="樣式1"/>
    <w:basedOn w:val="af6"/>
    <w:uiPriority w:val="99"/>
    <w:rsid w:val="00B047B1"/>
  </w:style>
  <w:style w:type="paragraph" w:styleId="23">
    <w:name w:val="Body Text Indent 2"/>
    <w:basedOn w:val="a"/>
    <w:link w:val="24"/>
    <w:uiPriority w:val="99"/>
    <w:rsid w:val="00B047B1"/>
    <w:pPr>
      <w:tabs>
        <w:tab w:val="left" w:pos="960"/>
      </w:tabs>
      <w:ind w:leftChars="525" w:left="1260"/>
    </w:pPr>
    <w:rPr>
      <w:rFonts w:ascii="標楷體" w:eastAsia="標楷體" w:hAnsi="標楷體"/>
      <w:color w:val="000000"/>
    </w:rPr>
  </w:style>
  <w:style w:type="character" w:customStyle="1" w:styleId="24">
    <w:name w:val="本文縮排 2 字元"/>
    <w:link w:val="23"/>
    <w:uiPriority w:val="99"/>
    <w:locked/>
    <w:rsid w:val="005E7791"/>
    <w:rPr>
      <w:rFonts w:ascii="標楷體" w:eastAsia="標楷體" w:hAnsi="標楷體" w:cs="Times New Roman"/>
      <w:color w:val="000000"/>
      <w:kern w:val="2"/>
      <w:sz w:val="24"/>
      <w:szCs w:val="24"/>
      <w:lang w:val="en-US" w:eastAsia="zh-TW" w:bidi="ar-SA"/>
    </w:rPr>
  </w:style>
  <w:style w:type="paragraph" w:styleId="31">
    <w:name w:val="Body Text Indent 3"/>
    <w:basedOn w:val="a"/>
    <w:link w:val="32"/>
    <w:uiPriority w:val="99"/>
    <w:rsid w:val="00B047B1"/>
    <w:pPr>
      <w:tabs>
        <w:tab w:val="left" w:pos="960"/>
        <w:tab w:val="left" w:pos="1440"/>
      </w:tabs>
      <w:ind w:leftChars="675" w:left="1620"/>
    </w:pPr>
    <w:rPr>
      <w:rFonts w:ascii="標楷體" w:eastAsia="標楷體" w:hAnsi="標楷體"/>
      <w:color w:val="000000"/>
    </w:rPr>
  </w:style>
  <w:style w:type="character" w:customStyle="1" w:styleId="32">
    <w:name w:val="本文縮排 3 字元"/>
    <w:link w:val="31"/>
    <w:uiPriority w:val="99"/>
    <w:locked/>
    <w:rsid w:val="005E7791"/>
    <w:rPr>
      <w:rFonts w:ascii="標楷體" w:eastAsia="標楷體" w:hAnsi="標楷體" w:cs="Times New Roman"/>
      <w:color w:val="000000"/>
      <w:kern w:val="2"/>
      <w:sz w:val="24"/>
      <w:szCs w:val="24"/>
      <w:lang w:val="en-US" w:eastAsia="zh-TW" w:bidi="ar-SA"/>
    </w:rPr>
  </w:style>
  <w:style w:type="paragraph" w:styleId="25">
    <w:name w:val="Body Text 2"/>
    <w:basedOn w:val="a"/>
    <w:link w:val="26"/>
    <w:uiPriority w:val="99"/>
    <w:rsid w:val="00B047B1"/>
    <w:pPr>
      <w:spacing w:line="240" w:lineRule="atLeast"/>
      <w:jc w:val="center"/>
    </w:pPr>
    <w:rPr>
      <w:rFonts w:eastAsia="標楷體"/>
      <w:color w:val="000000"/>
    </w:rPr>
  </w:style>
  <w:style w:type="character" w:customStyle="1" w:styleId="26">
    <w:name w:val="本文 2 字元"/>
    <w:link w:val="25"/>
    <w:uiPriority w:val="99"/>
    <w:locked/>
    <w:rsid w:val="005E7791"/>
    <w:rPr>
      <w:rFonts w:eastAsia="標楷體" w:cs="Times New Roman"/>
      <w:color w:val="000000"/>
      <w:kern w:val="2"/>
      <w:sz w:val="24"/>
      <w:szCs w:val="24"/>
      <w:lang w:val="en-US" w:eastAsia="zh-TW" w:bidi="ar-SA"/>
    </w:rPr>
  </w:style>
  <w:style w:type="paragraph" w:customStyle="1" w:styleId="4-1">
    <w:name w:val="樣式4-1"/>
    <w:uiPriority w:val="99"/>
    <w:rsid w:val="00B047B1"/>
    <w:pPr>
      <w:spacing w:line="560" w:lineRule="atLeast"/>
      <w:ind w:firstLineChars="300" w:firstLine="300"/>
    </w:pPr>
    <w:rPr>
      <w:rFonts w:eastAsia="標楷體"/>
      <w:sz w:val="24"/>
    </w:rPr>
  </w:style>
  <w:style w:type="paragraph" w:customStyle="1" w:styleId="27">
    <w:name w:val="樣式2"/>
    <w:basedOn w:val="4-1"/>
    <w:uiPriority w:val="99"/>
    <w:rsid w:val="00B047B1"/>
    <w:pPr>
      <w:ind w:leftChars="300" w:left="400" w:hangingChars="100" w:hanging="100"/>
    </w:pPr>
  </w:style>
  <w:style w:type="character" w:styleId="afe">
    <w:name w:val="FollowedHyperlink"/>
    <w:uiPriority w:val="99"/>
    <w:rsid w:val="00B047B1"/>
    <w:rPr>
      <w:rFonts w:cs="Times New Roman"/>
      <w:color w:val="800080"/>
      <w:u w:val="single"/>
    </w:rPr>
  </w:style>
  <w:style w:type="paragraph" w:styleId="aff">
    <w:name w:val="Block Text"/>
    <w:basedOn w:val="a"/>
    <w:uiPriority w:val="99"/>
    <w:rsid w:val="00B047B1"/>
    <w:pPr>
      <w:ind w:leftChars="774" w:left="1858" w:right="33" w:firstLineChars="200" w:firstLine="520"/>
      <w:jc w:val="both"/>
    </w:pPr>
    <w:rPr>
      <w:rFonts w:ascii="標楷體" w:eastAsia="標楷體" w:hAnsi="標楷體"/>
      <w:spacing w:val="20"/>
      <w:sz w:val="22"/>
    </w:rPr>
  </w:style>
  <w:style w:type="character" w:customStyle="1" w:styleId="subparatext">
    <w:name w:val="subparatext"/>
    <w:uiPriority w:val="99"/>
    <w:rsid w:val="00B047B1"/>
    <w:rPr>
      <w:rFonts w:cs="Times New Roman"/>
    </w:rPr>
  </w:style>
  <w:style w:type="paragraph" w:customStyle="1" w:styleId="aff0">
    <w:name w:val=".."/>
    <w:basedOn w:val="a"/>
    <w:next w:val="a"/>
    <w:uiPriority w:val="99"/>
    <w:rsid w:val="00B047B1"/>
    <w:pPr>
      <w:autoSpaceDE w:val="0"/>
      <w:autoSpaceDN w:val="0"/>
      <w:adjustRightInd w:val="0"/>
      <w:spacing w:after="50"/>
    </w:pPr>
    <w:rPr>
      <w:kern w:val="0"/>
    </w:rPr>
  </w:style>
  <w:style w:type="paragraph" w:styleId="33">
    <w:name w:val="Body Text 3"/>
    <w:basedOn w:val="a"/>
    <w:link w:val="34"/>
    <w:uiPriority w:val="99"/>
    <w:rsid w:val="00B047B1"/>
    <w:pPr>
      <w:spacing w:after="120"/>
    </w:pPr>
    <w:rPr>
      <w:sz w:val="16"/>
      <w:szCs w:val="16"/>
      <w:lang w:val="x-none" w:eastAsia="x-none"/>
    </w:rPr>
  </w:style>
  <w:style w:type="character" w:customStyle="1" w:styleId="34">
    <w:name w:val="本文 3 字元"/>
    <w:link w:val="33"/>
    <w:uiPriority w:val="99"/>
    <w:semiHidden/>
    <w:locked/>
    <w:rsid w:val="00E87984"/>
    <w:rPr>
      <w:rFonts w:cs="Times New Roman"/>
      <w:kern w:val="2"/>
      <w:sz w:val="16"/>
      <w:szCs w:val="16"/>
    </w:rPr>
  </w:style>
  <w:style w:type="character" w:customStyle="1" w:styleId="itemtextlaw">
    <w:name w:val="itemtextlaw"/>
    <w:uiPriority w:val="99"/>
    <w:rsid w:val="00B047B1"/>
    <w:rPr>
      <w:rFonts w:cs="Times New Roman"/>
    </w:rPr>
  </w:style>
  <w:style w:type="character" w:customStyle="1" w:styleId="aff1">
    <w:name w:val="頁尾 字元"/>
    <w:uiPriority w:val="99"/>
    <w:rsid w:val="00B047B1"/>
    <w:rPr>
      <w:rFonts w:cs="Times New Roman"/>
      <w:kern w:val="2"/>
    </w:rPr>
  </w:style>
  <w:style w:type="paragraph" w:customStyle="1" w:styleId="aff2">
    <w:name w:val="公文(主旨) + 粗體"/>
    <w:aliases w:val="置中,左:  0 cm,第一行:  0 cm,套用前:  12 pt,套用後:  12 pt,行距:  單行間距"/>
    <w:basedOn w:val="ad"/>
    <w:uiPriority w:val="99"/>
    <w:rsid w:val="00B047B1"/>
    <w:pPr>
      <w:spacing w:beforeLines="100" w:afterLines="100" w:line="240" w:lineRule="auto"/>
      <w:ind w:left="0" w:firstLine="0"/>
      <w:jc w:val="center"/>
    </w:pPr>
    <w:rPr>
      <w:b/>
    </w:rPr>
  </w:style>
  <w:style w:type="paragraph" w:customStyle="1" w:styleId="aff3">
    <w:name w:val="內文 + 標楷體"/>
    <w:aliases w:val="16 點,粗體"/>
    <w:basedOn w:val="a"/>
    <w:uiPriority w:val="99"/>
    <w:rsid w:val="00B047B1"/>
    <w:pPr>
      <w:autoSpaceDE w:val="0"/>
      <w:autoSpaceDN w:val="0"/>
      <w:adjustRightInd w:val="0"/>
      <w:spacing w:afterLines="50"/>
    </w:pPr>
    <w:rPr>
      <w:rFonts w:ascii="標楷體" w:eastAsia="標楷體" w:hAnsi="標楷體" w:cs="Arial"/>
      <w:b/>
      <w:kern w:val="0"/>
      <w:sz w:val="32"/>
      <w:szCs w:val="32"/>
    </w:rPr>
  </w:style>
  <w:style w:type="character" w:customStyle="1" w:styleId="apple-style-span">
    <w:name w:val="apple-style-span"/>
    <w:uiPriority w:val="99"/>
    <w:rsid w:val="00B047B1"/>
    <w:rPr>
      <w:rFonts w:cs="Times New Roman"/>
    </w:rPr>
  </w:style>
  <w:style w:type="paragraph" w:customStyle="1" w:styleId="aff4">
    <w:name w:val="a"/>
    <w:basedOn w:val="a"/>
    <w:uiPriority w:val="99"/>
    <w:rsid w:val="00B047B1"/>
    <w:pPr>
      <w:widowControl/>
      <w:spacing w:before="100" w:beforeAutospacing="1" w:after="100" w:afterAutospacing="1"/>
    </w:pPr>
    <w:rPr>
      <w:rFonts w:ascii="新細明體" w:hAnsi="新細明體" w:cs="新細明體"/>
      <w:kern w:val="0"/>
    </w:rPr>
  </w:style>
  <w:style w:type="paragraph" w:customStyle="1" w:styleId="ListParagraph1">
    <w:name w:val="List Paragraph1"/>
    <w:basedOn w:val="a"/>
    <w:rsid w:val="005E7791"/>
    <w:pPr>
      <w:ind w:leftChars="200" w:left="480"/>
    </w:pPr>
  </w:style>
  <w:style w:type="paragraph" w:styleId="aff5">
    <w:name w:val="Date"/>
    <w:basedOn w:val="a"/>
    <w:next w:val="a"/>
    <w:link w:val="aff6"/>
    <w:uiPriority w:val="99"/>
    <w:rsid w:val="005E7791"/>
    <w:pPr>
      <w:jc w:val="right"/>
    </w:pPr>
  </w:style>
  <w:style w:type="character" w:customStyle="1" w:styleId="aff6">
    <w:name w:val="日期 字元"/>
    <w:link w:val="aff5"/>
    <w:uiPriority w:val="99"/>
    <w:locked/>
    <w:rsid w:val="005E7791"/>
    <w:rPr>
      <w:rFonts w:eastAsia="新細明體" w:cs="Times New Roman"/>
      <w:kern w:val="2"/>
      <w:sz w:val="24"/>
      <w:szCs w:val="24"/>
      <w:lang w:val="en-US" w:eastAsia="zh-TW" w:bidi="ar-SA"/>
    </w:rPr>
  </w:style>
  <w:style w:type="paragraph" w:styleId="aff7">
    <w:name w:val="annotation subject"/>
    <w:basedOn w:val="afc"/>
    <w:next w:val="afc"/>
    <w:link w:val="aff8"/>
    <w:uiPriority w:val="99"/>
    <w:semiHidden/>
    <w:rsid w:val="005E7791"/>
    <w:rPr>
      <w:b/>
      <w:bCs/>
    </w:rPr>
  </w:style>
  <w:style w:type="character" w:customStyle="1" w:styleId="aff8">
    <w:name w:val="註解主旨 字元"/>
    <w:link w:val="aff7"/>
    <w:uiPriority w:val="99"/>
    <w:semiHidden/>
    <w:locked/>
    <w:rsid w:val="005E7791"/>
    <w:rPr>
      <w:rFonts w:eastAsia="新細明體" w:cs="Times New Roman"/>
      <w:b/>
      <w:bCs/>
      <w:kern w:val="2"/>
      <w:sz w:val="24"/>
      <w:szCs w:val="24"/>
      <w:lang w:val="en-US" w:eastAsia="zh-TW" w:bidi="ar-SA"/>
    </w:rPr>
  </w:style>
  <w:style w:type="character" w:customStyle="1" w:styleId="8">
    <w:name w:val="字元 字元8"/>
    <w:uiPriority w:val="99"/>
    <w:rsid w:val="005E7791"/>
    <w:rPr>
      <w:rFonts w:ascii="Times New Roman" w:eastAsia="標楷體" w:hAnsi="Times New Roman" w:cs="Times New Roman"/>
      <w:sz w:val="24"/>
      <w:szCs w:val="24"/>
    </w:rPr>
  </w:style>
  <w:style w:type="paragraph" w:customStyle="1" w:styleId="110">
    <w:name w:val="字元 字元 字元 字元 字元 字元 字元 字元 字元1 字元 字元 字元 字元1"/>
    <w:basedOn w:val="a"/>
    <w:uiPriority w:val="99"/>
    <w:rsid w:val="005E7791"/>
    <w:pPr>
      <w:widowControl/>
      <w:spacing w:after="160" w:line="240" w:lineRule="exact"/>
    </w:pPr>
    <w:rPr>
      <w:rFonts w:ascii="Verdana" w:hAnsi="Verdana"/>
      <w:kern w:val="0"/>
      <w:sz w:val="20"/>
      <w:szCs w:val="20"/>
      <w:lang w:eastAsia="en-US"/>
    </w:rPr>
  </w:style>
  <w:style w:type="paragraph" w:customStyle="1" w:styleId="Char">
    <w:name w:val="字元 字元 Char"/>
    <w:basedOn w:val="a"/>
    <w:uiPriority w:val="99"/>
    <w:rsid w:val="005E7791"/>
    <w:pPr>
      <w:widowControl/>
      <w:spacing w:after="160" w:line="240" w:lineRule="exact"/>
    </w:pPr>
    <w:rPr>
      <w:rFonts w:ascii="Arial" w:hAnsi="Arial" w:cs="Arial"/>
      <w:kern w:val="0"/>
      <w:sz w:val="20"/>
      <w:szCs w:val="20"/>
      <w:lang w:eastAsia="en-US"/>
    </w:rPr>
  </w:style>
  <w:style w:type="paragraph" w:customStyle="1" w:styleId="35">
    <w:name w:val="樣式3"/>
    <w:basedOn w:val="ad"/>
    <w:uiPriority w:val="99"/>
    <w:rsid w:val="005E7791"/>
    <w:pPr>
      <w:spacing w:before="120" w:after="120" w:line="240" w:lineRule="auto"/>
      <w:ind w:left="0" w:rightChars="11" w:right="26" w:firstLine="0"/>
      <w:jc w:val="center"/>
    </w:pPr>
    <w:rPr>
      <w:b/>
      <w:szCs w:val="32"/>
    </w:rPr>
  </w:style>
  <w:style w:type="character" w:styleId="aff9">
    <w:name w:val="footnote reference"/>
    <w:uiPriority w:val="99"/>
    <w:rsid w:val="005E7791"/>
    <w:rPr>
      <w:rFonts w:cs="Times New Roman"/>
      <w:vertAlign w:val="superscript"/>
    </w:rPr>
  </w:style>
  <w:style w:type="character" w:styleId="affa">
    <w:name w:val="annotation reference"/>
    <w:semiHidden/>
    <w:rsid w:val="00EE7392"/>
    <w:rPr>
      <w:rFonts w:cs="Times New Roman"/>
      <w:sz w:val="18"/>
      <w:szCs w:val="18"/>
    </w:rPr>
  </w:style>
  <w:style w:type="paragraph" w:styleId="affb">
    <w:name w:val="List Paragraph"/>
    <w:basedOn w:val="a"/>
    <w:uiPriority w:val="34"/>
    <w:qFormat/>
    <w:rsid w:val="001143F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9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uiPriority="99"/>
    <w:lsdException w:name="footnote text" w:uiPriority="99"/>
    <w:lsdException w:name="annotation text" w:uiPriority="99"/>
    <w:lsdException w:name="header" w:uiPriority="99"/>
    <w:lsdException w:name="footer" w:uiPriority="99"/>
    <w:lsdException w:name="caption" w:locked="1" w:uiPriority="99" w:qFormat="1"/>
    <w:lsdException w:name="footnote reference" w:uiPriority="99"/>
    <w:lsdException w:name="page number" w:uiPriority="99"/>
    <w:lsdException w:name="Title" w:locked="1" w:qFormat="1"/>
    <w:lsdException w:name="Default Paragraph Font" w:locked="1"/>
    <w:lsdException w:name="Body Text" w:uiPriority="99"/>
    <w:lsdException w:name="Body Text Indent" w:uiPriority="99"/>
    <w:lsdException w:name="Subtitle" w:locked="1" w:qFormat="1"/>
    <w:lsdException w:name="Salutation" w:uiPriority="99"/>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locked="1" w:uiPriority="99" w:qFormat="1"/>
    <w:lsdException w:name="Emphasis" w:locked="1" w:qFormat="1"/>
    <w:lsdException w:name="Normal (Web)" w:uiPriority="99"/>
    <w:lsdException w:name="HTML Preformatted" w:uiPriority="99"/>
    <w:lsdException w:name="annotation subject" w:uiPriority="99"/>
    <w:lsdException w:name="No List" w:uiPriority="99"/>
    <w:lsdException w:name="Balloon Tex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452"/>
    <w:pPr>
      <w:widowControl w:val="0"/>
    </w:pPr>
    <w:rPr>
      <w:kern w:val="2"/>
      <w:sz w:val="24"/>
      <w:szCs w:val="24"/>
    </w:rPr>
  </w:style>
  <w:style w:type="paragraph" w:styleId="1">
    <w:name w:val="heading 1"/>
    <w:aliases w:val="Section title,Main Section,Hoofdstuktitel"/>
    <w:basedOn w:val="a"/>
    <w:next w:val="a"/>
    <w:link w:val="10"/>
    <w:uiPriority w:val="99"/>
    <w:qFormat/>
    <w:rsid w:val="00B047B1"/>
    <w:pPr>
      <w:keepNext/>
      <w:jc w:val="center"/>
      <w:outlineLvl w:val="0"/>
    </w:pPr>
    <w:rPr>
      <w:rFonts w:ascii="Arial" w:hAnsi="Arial" w:cs="Arial"/>
      <w:b/>
      <w:bCs/>
    </w:rPr>
  </w:style>
  <w:style w:type="paragraph" w:styleId="2">
    <w:name w:val="heading 2"/>
    <w:aliases w:val="Section,Kop"/>
    <w:basedOn w:val="a"/>
    <w:next w:val="a"/>
    <w:link w:val="20"/>
    <w:autoRedefine/>
    <w:uiPriority w:val="99"/>
    <w:qFormat/>
    <w:rsid w:val="00B047B1"/>
    <w:pPr>
      <w:keepNext/>
      <w:tabs>
        <w:tab w:val="left" w:pos="0"/>
      </w:tabs>
      <w:spacing w:beforeLines="100"/>
      <w:outlineLvl w:val="1"/>
    </w:pPr>
    <w:rPr>
      <w:rFonts w:ascii="Arial" w:eastAsia="標楷體" w:hAnsi="Arial" w:cs="Arial"/>
      <w:bCs/>
      <w:sz w:val="48"/>
      <w:szCs w:val="48"/>
    </w:rPr>
  </w:style>
  <w:style w:type="paragraph" w:styleId="3">
    <w:name w:val="heading 3"/>
    <w:aliases w:val="Sub-paragraph,Subsection,Tussenkop"/>
    <w:basedOn w:val="a"/>
    <w:next w:val="a"/>
    <w:link w:val="30"/>
    <w:autoRedefine/>
    <w:uiPriority w:val="99"/>
    <w:qFormat/>
    <w:rsid w:val="00B047B1"/>
    <w:pPr>
      <w:keepNext/>
      <w:tabs>
        <w:tab w:val="left" w:pos="360"/>
        <w:tab w:val="left" w:pos="720"/>
      </w:tabs>
      <w:spacing w:beforeLines="50"/>
      <w:ind w:leftChars="100" w:left="360" w:hangingChars="50" w:hanging="120"/>
      <w:outlineLvl w:val="2"/>
    </w:pPr>
    <w:rPr>
      <w:rFonts w:eastAsia="標楷體"/>
      <w:bCs/>
      <w:snapToGrid w:val="0"/>
      <w:sz w:val="36"/>
      <w:szCs w:val="36"/>
    </w:rPr>
  </w:style>
  <w:style w:type="paragraph" w:styleId="4">
    <w:name w:val="heading 4"/>
    <w:aliases w:val="Sub-sub-paragraph"/>
    <w:basedOn w:val="a"/>
    <w:next w:val="a"/>
    <w:link w:val="40"/>
    <w:uiPriority w:val="99"/>
    <w:qFormat/>
    <w:rsid w:val="00B047B1"/>
    <w:pPr>
      <w:keepNext/>
      <w:spacing w:line="720" w:lineRule="auto"/>
      <w:outlineLvl w:val="3"/>
    </w:pPr>
    <w:rPr>
      <w:rFonts w:ascii="Arial" w:hAnsi="Arial"/>
      <w:sz w:val="36"/>
      <w:szCs w:val="36"/>
    </w:rPr>
  </w:style>
  <w:style w:type="paragraph" w:styleId="5">
    <w:name w:val="heading 5"/>
    <w:basedOn w:val="a"/>
    <w:next w:val="a"/>
    <w:link w:val="50"/>
    <w:uiPriority w:val="99"/>
    <w:qFormat/>
    <w:rsid w:val="00B047B1"/>
    <w:pPr>
      <w:keepNext/>
      <w:spacing w:line="360" w:lineRule="auto"/>
      <w:jc w:val="center"/>
      <w:outlineLvl w:val="4"/>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Section title 字元,Main Section 字元,Hoofdstuktitel 字元"/>
    <w:link w:val="1"/>
    <w:uiPriority w:val="99"/>
    <w:locked/>
    <w:rsid w:val="005E7791"/>
    <w:rPr>
      <w:rFonts w:ascii="Arial" w:eastAsia="新細明體" w:hAnsi="Arial" w:cs="Arial"/>
      <w:b/>
      <w:bCs/>
      <w:kern w:val="2"/>
      <w:sz w:val="24"/>
      <w:szCs w:val="24"/>
      <w:lang w:val="en-US" w:eastAsia="zh-TW" w:bidi="ar-SA"/>
    </w:rPr>
  </w:style>
  <w:style w:type="character" w:customStyle="1" w:styleId="20">
    <w:name w:val="標題 2 字元"/>
    <w:aliases w:val="Section 字元,Kop 字元"/>
    <w:link w:val="2"/>
    <w:uiPriority w:val="99"/>
    <w:locked/>
    <w:rsid w:val="005E7791"/>
    <w:rPr>
      <w:rFonts w:ascii="Arial" w:eastAsia="標楷體" w:hAnsi="Arial" w:cs="Arial"/>
      <w:bCs/>
      <w:kern w:val="2"/>
      <w:sz w:val="48"/>
      <w:szCs w:val="48"/>
      <w:lang w:val="en-US" w:eastAsia="zh-TW" w:bidi="ar-SA"/>
    </w:rPr>
  </w:style>
  <w:style w:type="character" w:customStyle="1" w:styleId="30">
    <w:name w:val="標題 3 字元"/>
    <w:aliases w:val="Sub-paragraph 字元,Subsection 字元,Tussenkop 字元"/>
    <w:link w:val="3"/>
    <w:uiPriority w:val="99"/>
    <w:locked/>
    <w:rsid w:val="005E7791"/>
    <w:rPr>
      <w:rFonts w:eastAsia="標楷體" w:cs="Times New Roman"/>
      <w:bCs/>
      <w:snapToGrid w:val="0"/>
      <w:kern w:val="2"/>
      <w:sz w:val="36"/>
      <w:szCs w:val="36"/>
      <w:lang w:val="en-US" w:eastAsia="zh-TW" w:bidi="ar-SA"/>
    </w:rPr>
  </w:style>
  <w:style w:type="character" w:customStyle="1" w:styleId="40">
    <w:name w:val="標題 4 字元"/>
    <w:aliases w:val="Sub-sub-paragraph 字元"/>
    <w:link w:val="4"/>
    <w:uiPriority w:val="99"/>
    <w:locked/>
    <w:rsid w:val="005E7791"/>
    <w:rPr>
      <w:rFonts w:ascii="Arial" w:eastAsia="新細明體" w:hAnsi="Arial" w:cs="Times New Roman"/>
      <w:kern w:val="2"/>
      <w:sz w:val="36"/>
      <w:szCs w:val="36"/>
      <w:lang w:val="en-US" w:eastAsia="zh-TW" w:bidi="ar-SA"/>
    </w:rPr>
  </w:style>
  <w:style w:type="character" w:customStyle="1" w:styleId="50">
    <w:name w:val="標題 5 字元"/>
    <w:link w:val="5"/>
    <w:uiPriority w:val="99"/>
    <w:locked/>
    <w:rsid w:val="005E7791"/>
    <w:rPr>
      <w:rFonts w:eastAsia="標楷體" w:cs="Times New Roman"/>
      <w:b/>
      <w:kern w:val="2"/>
      <w:sz w:val="24"/>
      <w:szCs w:val="24"/>
      <w:lang w:val="en-US" w:eastAsia="zh-TW" w:bidi="ar-SA"/>
    </w:rPr>
  </w:style>
  <w:style w:type="paragraph" w:styleId="a3">
    <w:name w:val="Balloon Text"/>
    <w:basedOn w:val="a"/>
    <w:link w:val="a4"/>
    <w:uiPriority w:val="99"/>
    <w:semiHidden/>
    <w:rsid w:val="005E7791"/>
    <w:rPr>
      <w:rFonts w:ascii="Cambria" w:hAnsi="Cambria"/>
      <w:sz w:val="18"/>
      <w:szCs w:val="18"/>
    </w:rPr>
  </w:style>
  <w:style w:type="character" w:customStyle="1" w:styleId="a4">
    <w:name w:val="註解方塊文字 字元"/>
    <w:link w:val="a3"/>
    <w:uiPriority w:val="99"/>
    <w:semiHidden/>
    <w:locked/>
    <w:rsid w:val="005E7791"/>
    <w:rPr>
      <w:rFonts w:ascii="Cambria" w:eastAsia="新細明體" w:hAnsi="Cambria" w:cs="Times New Roman"/>
      <w:kern w:val="2"/>
      <w:sz w:val="18"/>
      <w:szCs w:val="18"/>
      <w:lang w:val="en-US" w:eastAsia="zh-TW" w:bidi="ar-SA"/>
    </w:rPr>
  </w:style>
  <w:style w:type="table" w:styleId="a5">
    <w:name w:val="Table Grid"/>
    <w:basedOn w:val="a1"/>
    <w:uiPriority w:val="99"/>
    <w:rsid w:val="001903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C653E"/>
    <w:pPr>
      <w:widowControl w:val="0"/>
      <w:autoSpaceDE w:val="0"/>
      <w:autoSpaceDN w:val="0"/>
      <w:adjustRightInd w:val="0"/>
    </w:pPr>
    <w:rPr>
      <w:rFonts w:ascii="標楷體" w:eastAsia="標楷體" w:cs="標楷體"/>
      <w:color w:val="000000"/>
      <w:sz w:val="24"/>
      <w:szCs w:val="24"/>
    </w:rPr>
  </w:style>
  <w:style w:type="paragraph" w:styleId="a6">
    <w:name w:val="footer"/>
    <w:basedOn w:val="a"/>
    <w:link w:val="11"/>
    <w:uiPriority w:val="99"/>
    <w:rsid w:val="005A2655"/>
    <w:pPr>
      <w:tabs>
        <w:tab w:val="center" w:pos="4153"/>
        <w:tab w:val="right" w:pos="8306"/>
      </w:tabs>
      <w:snapToGrid w:val="0"/>
    </w:pPr>
    <w:rPr>
      <w:sz w:val="20"/>
      <w:szCs w:val="20"/>
    </w:rPr>
  </w:style>
  <w:style w:type="character" w:customStyle="1" w:styleId="11">
    <w:name w:val="頁尾 字元1"/>
    <w:link w:val="a6"/>
    <w:uiPriority w:val="99"/>
    <w:locked/>
    <w:rsid w:val="005E7791"/>
    <w:rPr>
      <w:rFonts w:eastAsia="新細明體" w:cs="Times New Roman"/>
      <w:kern w:val="2"/>
      <w:lang w:val="en-US" w:eastAsia="zh-TW" w:bidi="ar-SA"/>
    </w:rPr>
  </w:style>
  <w:style w:type="character" w:styleId="a7">
    <w:name w:val="Strong"/>
    <w:uiPriority w:val="99"/>
    <w:qFormat/>
    <w:rsid w:val="00B047B1"/>
    <w:rPr>
      <w:rFonts w:cs="Times New Roman"/>
      <w:b/>
      <w:bCs/>
    </w:rPr>
  </w:style>
  <w:style w:type="paragraph" w:customStyle="1" w:styleId="21">
    <w:name w:val="內文2２"/>
    <w:basedOn w:val="a"/>
    <w:uiPriority w:val="99"/>
    <w:rsid w:val="00B047B1"/>
    <w:pPr>
      <w:widowControl/>
      <w:overflowPunct w:val="0"/>
      <w:autoSpaceDE w:val="0"/>
      <w:autoSpaceDN w:val="0"/>
      <w:adjustRightInd w:val="0"/>
      <w:ind w:left="1440" w:right="-360" w:hanging="540"/>
      <w:textAlignment w:val="baseline"/>
    </w:pPr>
    <w:rPr>
      <w:kern w:val="0"/>
      <w:sz w:val="28"/>
      <w:szCs w:val="20"/>
    </w:rPr>
  </w:style>
  <w:style w:type="paragraph" w:customStyle="1" w:styleId="3Arial10">
    <w:name w:val="樣式 標題 3 + (拉丁) Arial (中文) 標楷體 10 點"/>
    <w:basedOn w:val="a"/>
    <w:uiPriority w:val="99"/>
    <w:rsid w:val="00B047B1"/>
    <w:pPr>
      <w:tabs>
        <w:tab w:val="num" w:pos="960"/>
      </w:tabs>
      <w:ind w:left="960" w:hanging="480"/>
    </w:pPr>
  </w:style>
  <w:style w:type="paragraph" w:styleId="a8">
    <w:name w:val="footnote text"/>
    <w:basedOn w:val="a"/>
    <w:link w:val="a9"/>
    <w:uiPriority w:val="99"/>
    <w:semiHidden/>
    <w:rsid w:val="00B047B1"/>
    <w:pPr>
      <w:snapToGrid w:val="0"/>
    </w:pPr>
    <w:rPr>
      <w:sz w:val="20"/>
      <w:szCs w:val="20"/>
    </w:rPr>
  </w:style>
  <w:style w:type="character" w:customStyle="1" w:styleId="a9">
    <w:name w:val="註腳文字 字元"/>
    <w:link w:val="a8"/>
    <w:uiPriority w:val="99"/>
    <w:locked/>
    <w:rsid w:val="00B047B1"/>
    <w:rPr>
      <w:rFonts w:eastAsia="新細明體" w:cs="Times New Roman"/>
      <w:kern w:val="2"/>
      <w:lang w:val="en-US" w:eastAsia="zh-TW" w:bidi="ar-SA"/>
    </w:rPr>
  </w:style>
  <w:style w:type="paragraph" w:styleId="Web">
    <w:name w:val="Normal (Web)"/>
    <w:basedOn w:val="a"/>
    <w:uiPriority w:val="99"/>
    <w:rsid w:val="00B047B1"/>
    <w:pPr>
      <w:widowControl/>
      <w:spacing w:before="100" w:beforeAutospacing="1" w:after="100" w:afterAutospacing="1"/>
    </w:pPr>
    <w:rPr>
      <w:rFonts w:ascii="新細明體" w:hAnsi="新細明體" w:cs="新細明體"/>
      <w:kern w:val="0"/>
    </w:rPr>
  </w:style>
  <w:style w:type="character" w:styleId="aa">
    <w:name w:val="Hyperlink"/>
    <w:uiPriority w:val="99"/>
    <w:rsid w:val="00B047B1"/>
    <w:rPr>
      <w:rFonts w:cs="Times New Roman"/>
      <w:color w:val="0000FF"/>
      <w:u w:val="single"/>
    </w:rPr>
  </w:style>
  <w:style w:type="paragraph" w:styleId="12">
    <w:name w:val="toc 1"/>
    <w:basedOn w:val="a"/>
    <w:next w:val="a"/>
    <w:autoRedefine/>
    <w:uiPriority w:val="99"/>
    <w:semiHidden/>
    <w:rsid w:val="00B047B1"/>
    <w:pPr>
      <w:tabs>
        <w:tab w:val="left" w:pos="960"/>
        <w:tab w:val="right" w:leader="dot" w:pos="9540"/>
      </w:tabs>
      <w:spacing w:before="120" w:after="120"/>
    </w:pPr>
    <w:rPr>
      <w:rFonts w:eastAsia="標楷體"/>
      <w:bCs/>
      <w:caps/>
      <w:szCs w:val="20"/>
    </w:rPr>
  </w:style>
  <w:style w:type="paragraph" w:customStyle="1" w:styleId="13">
    <w:name w:val="字元 字元 字元 字元 字元 字元 字元 字元 字元1 字元 字元 字元 字元"/>
    <w:basedOn w:val="a"/>
    <w:uiPriority w:val="99"/>
    <w:rsid w:val="00B047B1"/>
    <w:pPr>
      <w:widowControl/>
      <w:spacing w:after="160" w:line="240" w:lineRule="exact"/>
    </w:pPr>
    <w:rPr>
      <w:rFonts w:ascii="Verdana" w:hAnsi="Verdana"/>
      <w:kern w:val="0"/>
      <w:sz w:val="20"/>
      <w:szCs w:val="20"/>
      <w:lang w:eastAsia="en-US"/>
    </w:rPr>
  </w:style>
  <w:style w:type="paragraph" w:customStyle="1" w:styleId="14">
    <w:name w:val="1"/>
    <w:basedOn w:val="a"/>
    <w:uiPriority w:val="99"/>
    <w:rsid w:val="00B047B1"/>
    <w:pPr>
      <w:adjustRightInd w:val="0"/>
      <w:spacing w:line="360" w:lineRule="atLeast"/>
      <w:ind w:firstLine="212"/>
      <w:textAlignment w:val="baseline"/>
    </w:pPr>
    <w:rPr>
      <w:rFonts w:ascii="華康楷書體W5" w:eastAsia="華康楷書體W5"/>
      <w:kern w:val="0"/>
      <w:szCs w:val="20"/>
    </w:rPr>
  </w:style>
  <w:style w:type="paragraph" w:styleId="ab">
    <w:name w:val="Salutation"/>
    <w:basedOn w:val="a"/>
    <w:next w:val="a"/>
    <w:link w:val="ac"/>
    <w:uiPriority w:val="99"/>
    <w:rsid w:val="00B047B1"/>
    <w:rPr>
      <w:rFonts w:eastAsia="標楷體"/>
    </w:rPr>
  </w:style>
  <w:style w:type="character" w:customStyle="1" w:styleId="ac">
    <w:name w:val="問候 字元"/>
    <w:link w:val="ab"/>
    <w:uiPriority w:val="99"/>
    <w:locked/>
    <w:rsid w:val="00B047B1"/>
    <w:rPr>
      <w:rFonts w:eastAsia="標楷體" w:cs="Times New Roman"/>
      <w:kern w:val="2"/>
      <w:sz w:val="24"/>
      <w:szCs w:val="24"/>
      <w:lang w:val="en-US" w:eastAsia="zh-TW" w:bidi="ar-SA"/>
    </w:rPr>
  </w:style>
  <w:style w:type="paragraph" w:customStyle="1" w:styleId="ad">
    <w:name w:val="公文(主旨)"/>
    <w:basedOn w:val="a"/>
    <w:uiPriority w:val="99"/>
    <w:rsid w:val="00D45E2C"/>
    <w:pPr>
      <w:kinsoku w:val="0"/>
      <w:snapToGrid w:val="0"/>
      <w:spacing w:line="500" w:lineRule="exact"/>
      <w:ind w:left="958" w:hanging="958"/>
    </w:pPr>
    <w:rPr>
      <w:rFonts w:ascii="標楷體" w:eastAsia="標楷體" w:hAnsi="標楷體"/>
      <w:sz w:val="32"/>
    </w:rPr>
  </w:style>
  <w:style w:type="paragraph" w:styleId="ae">
    <w:name w:val="header"/>
    <w:basedOn w:val="a"/>
    <w:link w:val="af"/>
    <w:uiPriority w:val="99"/>
    <w:rsid w:val="005A2655"/>
    <w:pPr>
      <w:tabs>
        <w:tab w:val="center" w:pos="4153"/>
        <w:tab w:val="right" w:pos="8306"/>
      </w:tabs>
      <w:snapToGrid w:val="0"/>
    </w:pPr>
    <w:rPr>
      <w:sz w:val="20"/>
      <w:szCs w:val="20"/>
    </w:rPr>
  </w:style>
  <w:style w:type="character" w:customStyle="1" w:styleId="af">
    <w:name w:val="頁首 字元"/>
    <w:link w:val="ae"/>
    <w:uiPriority w:val="99"/>
    <w:locked/>
    <w:rsid w:val="005E7791"/>
    <w:rPr>
      <w:rFonts w:eastAsia="新細明體" w:cs="Times New Roman"/>
      <w:kern w:val="2"/>
      <w:lang w:val="en-US" w:eastAsia="zh-TW" w:bidi="ar-SA"/>
    </w:rPr>
  </w:style>
  <w:style w:type="character" w:styleId="af0">
    <w:name w:val="page number"/>
    <w:uiPriority w:val="99"/>
    <w:rsid w:val="005A2655"/>
    <w:rPr>
      <w:rFonts w:cs="Times New Roman"/>
    </w:rPr>
  </w:style>
  <w:style w:type="character" w:customStyle="1" w:styleId="tocspanright1">
    <w:name w:val="tocspanright1"/>
    <w:uiPriority w:val="99"/>
    <w:rsid w:val="00B047B1"/>
    <w:rPr>
      <w:rFonts w:cs="Times New Roman"/>
    </w:rPr>
  </w:style>
  <w:style w:type="character" w:customStyle="1" w:styleId="nobreak1">
    <w:name w:val="no_break1"/>
    <w:uiPriority w:val="99"/>
    <w:rsid w:val="00B047B1"/>
    <w:rPr>
      <w:rFonts w:cs="Times New Roman"/>
    </w:rPr>
  </w:style>
  <w:style w:type="paragraph" w:styleId="af1">
    <w:name w:val="Body Text"/>
    <w:basedOn w:val="a"/>
    <w:link w:val="af2"/>
    <w:uiPriority w:val="99"/>
    <w:rsid w:val="00B047B1"/>
    <w:pPr>
      <w:autoSpaceDE w:val="0"/>
      <w:autoSpaceDN w:val="0"/>
      <w:adjustRightInd w:val="0"/>
      <w:spacing w:line="240" w:lineRule="atLeast"/>
    </w:pPr>
    <w:rPr>
      <w:rFonts w:ascii="Arial" w:eastAsia="標楷體" w:hAnsi="Arial" w:cs="Arial"/>
      <w:kern w:val="0"/>
      <w:sz w:val="22"/>
      <w:szCs w:val="22"/>
    </w:rPr>
  </w:style>
  <w:style w:type="character" w:customStyle="1" w:styleId="af2">
    <w:name w:val="本文 字元"/>
    <w:link w:val="af1"/>
    <w:uiPriority w:val="99"/>
    <w:locked/>
    <w:rsid w:val="005E7791"/>
    <w:rPr>
      <w:rFonts w:ascii="Arial" w:eastAsia="標楷體" w:hAnsi="Arial" w:cs="Arial"/>
      <w:sz w:val="22"/>
      <w:szCs w:val="22"/>
      <w:lang w:val="en-US" w:eastAsia="zh-TW" w:bidi="ar-SA"/>
    </w:rPr>
  </w:style>
  <w:style w:type="paragraph" w:styleId="HTML">
    <w:name w:val="HTML Preformatted"/>
    <w:basedOn w:val="a"/>
    <w:link w:val="HTML0"/>
    <w:uiPriority w:val="99"/>
    <w:rsid w:val="00B047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locked/>
    <w:rsid w:val="005E7791"/>
    <w:rPr>
      <w:rFonts w:ascii="細明體" w:eastAsia="細明體" w:hAnsi="細明體" w:cs="細明體"/>
      <w:sz w:val="24"/>
      <w:szCs w:val="24"/>
      <w:lang w:val="en-US" w:eastAsia="zh-TW" w:bidi="ar-SA"/>
    </w:rPr>
  </w:style>
  <w:style w:type="paragraph" w:customStyle="1" w:styleId="Paragraph">
    <w:name w:val="Paragraph"/>
    <w:basedOn w:val="a"/>
    <w:uiPriority w:val="99"/>
    <w:rsid w:val="00B047B1"/>
    <w:pPr>
      <w:widowControl/>
      <w:spacing w:after="240"/>
      <w:jc w:val="both"/>
    </w:pPr>
    <w:rPr>
      <w:rFonts w:ascii="Arial" w:eastAsia="SimSun" w:hAnsi="Arial"/>
      <w:kern w:val="0"/>
      <w:sz w:val="22"/>
      <w:szCs w:val="20"/>
      <w:lang w:val="en-GB" w:eastAsia="zh-CN"/>
    </w:rPr>
  </w:style>
  <w:style w:type="paragraph" w:customStyle="1" w:styleId="IndentedParagraph">
    <w:name w:val="IndentedParagraph"/>
    <w:basedOn w:val="Paragraph"/>
    <w:uiPriority w:val="99"/>
    <w:rsid w:val="00B047B1"/>
    <w:pPr>
      <w:ind w:left="851" w:hanging="851"/>
    </w:pPr>
  </w:style>
  <w:style w:type="paragraph" w:customStyle="1" w:styleId="af3">
    <w:name w:val="內文縮排１"/>
    <w:basedOn w:val="af4"/>
    <w:uiPriority w:val="99"/>
    <w:rsid w:val="00B047B1"/>
    <w:pPr>
      <w:ind w:left="1800" w:hanging="360"/>
    </w:pPr>
    <w:rPr>
      <w:sz w:val="24"/>
    </w:rPr>
  </w:style>
  <w:style w:type="paragraph" w:styleId="af4">
    <w:name w:val="Normal Indent"/>
    <w:basedOn w:val="a"/>
    <w:uiPriority w:val="99"/>
    <w:rsid w:val="00B047B1"/>
    <w:pPr>
      <w:widowControl/>
      <w:overflowPunct w:val="0"/>
      <w:autoSpaceDE w:val="0"/>
      <w:autoSpaceDN w:val="0"/>
      <w:adjustRightInd w:val="0"/>
      <w:ind w:left="1440" w:right="-360"/>
      <w:textAlignment w:val="baseline"/>
    </w:pPr>
    <w:rPr>
      <w:kern w:val="0"/>
      <w:sz w:val="20"/>
      <w:szCs w:val="20"/>
    </w:rPr>
  </w:style>
  <w:style w:type="paragraph" w:customStyle="1" w:styleId="22">
    <w:name w:val="內文2"/>
    <w:basedOn w:val="af4"/>
    <w:uiPriority w:val="99"/>
    <w:rsid w:val="00B047B1"/>
    <w:pPr>
      <w:ind w:left="540"/>
    </w:pPr>
  </w:style>
  <w:style w:type="paragraph" w:customStyle="1" w:styleId="af5">
    <w:name w:val="圖片"/>
    <w:basedOn w:val="a"/>
    <w:next w:val="af6"/>
    <w:uiPriority w:val="99"/>
    <w:rsid w:val="00B047B1"/>
    <w:pPr>
      <w:keepNext/>
      <w:widowControl/>
      <w:overflowPunct w:val="0"/>
      <w:autoSpaceDE w:val="0"/>
      <w:autoSpaceDN w:val="0"/>
      <w:adjustRightInd w:val="0"/>
      <w:ind w:left="840" w:right="-360"/>
      <w:textAlignment w:val="baseline"/>
    </w:pPr>
    <w:rPr>
      <w:kern w:val="0"/>
      <w:sz w:val="20"/>
      <w:szCs w:val="20"/>
    </w:rPr>
  </w:style>
  <w:style w:type="paragraph" w:styleId="af6">
    <w:name w:val="caption"/>
    <w:basedOn w:val="a"/>
    <w:next w:val="a"/>
    <w:uiPriority w:val="99"/>
    <w:qFormat/>
    <w:rsid w:val="00B047B1"/>
    <w:pPr>
      <w:spacing w:before="120" w:after="120"/>
    </w:pPr>
    <w:rPr>
      <w:sz w:val="20"/>
      <w:szCs w:val="20"/>
    </w:rPr>
  </w:style>
  <w:style w:type="paragraph" w:customStyle="1" w:styleId="af7">
    <w:name w:val="註腳基準"/>
    <w:basedOn w:val="af1"/>
    <w:uiPriority w:val="99"/>
    <w:rsid w:val="00B047B1"/>
    <w:pPr>
      <w:keepLines/>
      <w:widowControl/>
      <w:overflowPunct w:val="0"/>
      <w:spacing w:after="220" w:line="200" w:lineRule="atLeast"/>
      <w:ind w:left="840" w:right="-360"/>
      <w:textAlignment w:val="baseline"/>
    </w:pPr>
    <w:rPr>
      <w:rFonts w:ascii="Times New Roman" w:eastAsia="新細明體" w:hAnsi="Times New Roman" w:cs="Times New Roman"/>
      <w:sz w:val="16"/>
      <w:szCs w:val="20"/>
    </w:rPr>
  </w:style>
  <w:style w:type="paragraph" w:customStyle="1" w:styleId="af8">
    <w:name w:val="頁首基準"/>
    <w:basedOn w:val="af1"/>
    <w:uiPriority w:val="99"/>
    <w:rsid w:val="00B047B1"/>
    <w:pPr>
      <w:keepLines/>
      <w:widowControl/>
      <w:tabs>
        <w:tab w:val="left" w:pos="-1080"/>
        <w:tab w:val="center" w:pos="4320"/>
        <w:tab w:val="right" w:pos="9720"/>
      </w:tabs>
      <w:overflowPunct w:val="0"/>
      <w:spacing w:line="220" w:lineRule="atLeast"/>
      <w:ind w:left="-1080" w:right="-840"/>
      <w:textAlignment w:val="baseline"/>
    </w:pPr>
    <w:rPr>
      <w:rFonts w:ascii="Times New Roman" w:eastAsia="新細明體" w:hAnsi="Times New Roman" w:cs="Times New Roman"/>
      <w:szCs w:val="20"/>
    </w:rPr>
  </w:style>
  <w:style w:type="paragraph" w:customStyle="1" w:styleId="af9">
    <w:name w:val="標題基準"/>
    <w:basedOn w:val="af1"/>
    <w:next w:val="af1"/>
    <w:uiPriority w:val="99"/>
    <w:rsid w:val="00B047B1"/>
    <w:pPr>
      <w:keepNext/>
      <w:keepLines/>
      <w:widowControl/>
      <w:overflowPunct w:val="0"/>
      <w:spacing w:line="220" w:lineRule="atLeast"/>
      <w:ind w:left="840" w:right="-360"/>
      <w:textAlignment w:val="baseline"/>
    </w:pPr>
    <w:rPr>
      <w:rFonts w:eastAsia="新細明體" w:cs="Times New Roman"/>
      <w:spacing w:val="-10"/>
      <w:kern w:val="28"/>
      <w:sz w:val="18"/>
      <w:szCs w:val="20"/>
    </w:rPr>
  </w:style>
  <w:style w:type="character" w:customStyle="1" w:styleId="itemtextlaw1">
    <w:name w:val="itemtextlaw1"/>
    <w:uiPriority w:val="99"/>
    <w:rsid w:val="00B047B1"/>
    <w:rPr>
      <w:rFonts w:cs="Times New Roman"/>
      <w:sz w:val="23"/>
      <w:szCs w:val="23"/>
    </w:rPr>
  </w:style>
  <w:style w:type="paragraph" w:customStyle="1" w:styleId="Bullets">
    <w:name w:val="Bullets"/>
    <w:basedOn w:val="a"/>
    <w:uiPriority w:val="99"/>
    <w:rsid w:val="00B047B1"/>
    <w:pPr>
      <w:widowControl/>
      <w:tabs>
        <w:tab w:val="num" w:pos="480"/>
      </w:tabs>
      <w:spacing w:after="120"/>
      <w:ind w:left="480" w:hanging="480"/>
      <w:jc w:val="both"/>
    </w:pPr>
    <w:rPr>
      <w:rFonts w:ascii="Arial" w:eastAsia="SimSun" w:hAnsi="Arial"/>
      <w:kern w:val="0"/>
      <w:sz w:val="22"/>
      <w:szCs w:val="20"/>
      <w:lang w:val="en-GB" w:eastAsia="zh-CN"/>
    </w:rPr>
  </w:style>
  <w:style w:type="paragraph" w:customStyle="1" w:styleId="C">
    <w:name w:val="標題C"/>
    <w:basedOn w:val="af4"/>
    <w:uiPriority w:val="99"/>
    <w:rsid w:val="00B047B1"/>
    <w:pPr>
      <w:widowControl w:val="0"/>
      <w:overflowPunct/>
      <w:autoSpaceDE/>
      <w:autoSpaceDN/>
      <w:adjustRightInd/>
      <w:spacing w:beforeLines="50" w:afterLines="50" w:line="400" w:lineRule="exact"/>
      <w:ind w:leftChars="200" w:left="480" w:right="0"/>
      <w:jc w:val="both"/>
      <w:textAlignment w:val="auto"/>
    </w:pPr>
    <w:rPr>
      <w:rFonts w:eastAsia="標楷體"/>
      <w:b/>
      <w:kern w:val="2"/>
      <w:sz w:val="24"/>
      <w:szCs w:val="24"/>
    </w:rPr>
  </w:style>
  <w:style w:type="paragraph" w:customStyle="1" w:styleId="B">
    <w:name w:val="標題B"/>
    <w:basedOn w:val="a"/>
    <w:uiPriority w:val="99"/>
    <w:rsid w:val="00B047B1"/>
    <w:rPr>
      <w:rFonts w:ascii="標楷體" w:eastAsia="標楷體" w:hAnsi="標楷體"/>
      <w:b/>
      <w:sz w:val="32"/>
      <w:szCs w:val="32"/>
    </w:rPr>
  </w:style>
  <w:style w:type="paragraph" w:customStyle="1" w:styleId="TableNumber">
    <w:name w:val="TableNumber"/>
    <w:basedOn w:val="Paragraph"/>
    <w:uiPriority w:val="99"/>
    <w:rsid w:val="00B047B1"/>
    <w:pPr>
      <w:keepNext/>
      <w:spacing w:before="120" w:after="0" w:line="300" w:lineRule="auto"/>
      <w:ind w:left="100" w:hanging="100"/>
      <w:jc w:val="center"/>
    </w:pPr>
  </w:style>
  <w:style w:type="paragraph" w:customStyle="1" w:styleId="IndentedParagraph0">
    <w:name w:val="Indented Paragraph"/>
    <w:basedOn w:val="a"/>
    <w:uiPriority w:val="99"/>
    <w:rsid w:val="00B047B1"/>
    <w:pPr>
      <w:widowControl/>
      <w:tabs>
        <w:tab w:val="left" w:pos="851"/>
      </w:tabs>
      <w:spacing w:afterLines="50" w:line="300" w:lineRule="auto"/>
      <w:ind w:left="851" w:hangingChars="100" w:hanging="851"/>
      <w:jc w:val="both"/>
    </w:pPr>
    <w:rPr>
      <w:rFonts w:ascii="Arial" w:eastAsia="SimSun" w:hAnsi="Arial"/>
      <w:kern w:val="0"/>
      <w:szCs w:val="20"/>
      <w:lang w:val="en-GB" w:eastAsia="en-US"/>
    </w:rPr>
  </w:style>
  <w:style w:type="paragraph" w:customStyle="1" w:styleId="AnnexHeading2">
    <w:name w:val="AnnexHeading 2"/>
    <w:basedOn w:val="2"/>
    <w:next w:val="4"/>
    <w:uiPriority w:val="99"/>
    <w:rsid w:val="00B047B1"/>
    <w:pPr>
      <w:keepNext w:val="0"/>
      <w:widowControl/>
      <w:numPr>
        <w:ilvl w:val="1"/>
      </w:numPr>
      <w:tabs>
        <w:tab w:val="clear" w:pos="0"/>
      </w:tabs>
      <w:spacing w:beforeLines="50" w:after="180"/>
    </w:pPr>
    <w:rPr>
      <w:rFonts w:ascii="標楷體" w:hAnsi="標楷體" w:cs="Times New Roman"/>
      <w:kern w:val="0"/>
      <w:szCs w:val="20"/>
      <w:lang w:val="en-GB" w:eastAsia="en-US"/>
    </w:rPr>
  </w:style>
  <w:style w:type="paragraph" w:styleId="afa">
    <w:name w:val="Body Text Indent"/>
    <w:basedOn w:val="a"/>
    <w:link w:val="afb"/>
    <w:uiPriority w:val="99"/>
    <w:rsid w:val="00B047B1"/>
    <w:pPr>
      <w:tabs>
        <w:tab w:val="left" w:pos="960"/>
        <w:tab w:val="left" w:pos="1440"/>
      </w:tabs>
      <w:ind w:left="960"/>
    </w:pPr>
    <w:rPr>
      <w:rFonts w:ascii="標楷體" w:eastAsia="標楷體" w:hAnsi="標楷體" w:cs="Arial"/>
      <w:color w:val="000000"/>
    </w:rPr>
  </w:style>
  <w:style w:type="character" w:customStyle="1" w:styleId="afb">
    <w:name w:val="本文縮排 字元"/>
    <w:link w:val="afa"/>
    <w:uiPriority w:val="99"/>
    <w:locked/>
    <w:rsid w:val="005E7791"/>
    <w:rPr>
      <w:rFonts w:ascii="標楷體" w:eastAsia="標楷體" w:hAnsi="標楷體" w:cs="Arial"/>
      <w:color w:val="000000"/>
      <w:kern w:val="2"/>
      <w:sz w:val="24"/>
      <w:szCs w:val="24"/>
      <w:lang w:val="en-US" w:eastAsia="zh-TW" w:bidi="ar-SA"/>
    </w:rPr>
  </w:style>
  <w:style w:type="paragraph" w:styleId="afc">
    <w:name w:val="annotation text"/>
    <w:basedOn w:val="a"/>
    <w:link w:val="afd"/>
    <w:uiPriority w:val="99"/>
    <w:semiHidden/>
    <w:rsid w:val="00B047B1"/>
  </w:style>
  <w:style w:type="character" w:customStyle="1" w:styleId="afd">
    <w:name w:val="註解文字 字元"/>
    <w:link w:val="afc"/>
    <w:uiPriority w:val="99"/>
    <w:semiHidden/>
    <w:locked/>
    <w:rsid w:val="005E7791"/>
    <w:rPr>
      <w:rFonts w:eastAsia="新細明體" w:cs="Times New Roman"/>
      <w:kern w:val="2"/>
      <w:sz w:val="24"/>
      <w:szCs w:val="24"/>
      <w:lang w:val="en-US" w:eastAsia="zh-TW" w:bidi="ar-SA"/>
    </w:rPr>
  </w:style>
  <w:style w:type="paragraph" w:customStyle="1" w:styleId="15">
    <w:name w:val="樣式1"/>
    <w:basedOn w:val="af6"/>
    <w:uiPriority w:val="99"/>
    <w:rsid w:val="00B047B1"/>
  </w:style>
  <w:style w:type="paragraph" w:styleId="23">
    <w:name w:val="Body Text Indent 2"/>
    <w:basedOn w:val="a"/>
    <w:link w:val="24"/>
    <w:uiPriority w:val="99"/>
    <w:rsid w:val="00B047B1"/>
    <w:pPr>
      <w:tabs>
        <w:tab w:val="left" w:pos="960"/>
      </w:tabs>
      <w:ind w:leftChars="525" w:left="1260"/>
    </w:pPr>
    <w:rPr>
      <w:rFonts w:ascii="標楷體" w:eastAsia="標楷體" w:hAnsi="標楷體"/>
      <w:color w:val="000000"/>
    </w:rPr>
  </w:style>
  <w:style w:type="character" w:customStyle="1" w:styleId="24">
    <w:name w:val="本文縮排 2 字元"/>
    <w:link w:val="23"/>
    <w:uiPriority w:val="99"/>
    <w:locked/>
    <w:rsid w:val="005E7791"/>
    <w:rPr>
      <w:rFonts w:ascii="標楷體" w:eastAsia="標楷體" w:hAnsi="標楷體" w:cs="Times New Roman"/>
      <w:color w:val="000000"/>
      <w:kern w:val="2"/>
      <w:sz w:val="24"/>
      <w:szCs w:val="24"/>
      <w:lang w:val="en-US" w:eastAsia="zh-TW" w:bidi="ar-SA"/>
    </w:rPr>
  </w:style>
  <w:style w:type="paragraph" w:styleId="31">
    <w:name w:val="Body Text Indent 3"/>
    <w:basedOn w:val="a"/>
    <w:link w:val="32"/>
    <w:uiPriority w:val="99"/>
    <w:rsid w:val="00B047B1"/>
    <w:pPr>
      <w:tabs>
        <w:tab w:val="left" w:pos="960"/>
        <w:tab w:val="left" w:pos="1440"/>
      </w:tabs>
      <w:ind w:leftChars="675" w:left="1620"/>
    </w:pPr>
    <w:rPr>
      <w:rFonts w:ascii="標楷體" w:eastAsia="標楷體" w:hAnsi="標楷體"/>
      <w:color w:val="000000"/>
    </w:rPr>
  </w:style>
  <w:style w:type="character" w:customStyle="1" w:styleId="32">
    <w:name w:val="本文縮排 3 字元"/>
    <w:link w:val="31"/>
    <w:uiPriority w:val="99"/>
    <w:locked/>
    <w:rsid w:val="005E7791"/>
    <w:rPr>
      <w:rFonts w:ascii="標楷體" w:eastAsia="標楷體" w:hAnsi="標楷體" w:cs="Times New Roman"/>
      <w:color w:val="000000"/>
      <w:kern w:val="2"/>
      <w:sz w:val="24"/>
      <w:szCs w:val="24"/>
      <w:lang w:val="en-US" w:eastAsia="zh-TW" w:bidi="ar-SA"/>
    </w:rPr>
  </w:style>
  <w:style w:type="paragraph" w:styleId="25">
    <w:name w:val="Body Text 2"/>
    <w:basedOn w:val="a"/>
    <w:link w:val="26"/>
    <w:uiPriority w:val="99"/>
    <w:rsid w:val="00B047B1"/>
    <w:pPr>
      <w:spacing w:line="240" w:lineRule="atLeast"/>
      <w:jc w:val="center"/>
    </w:pPr>
    <w:rPr>
      <w:rFonts w:eastAsia="標楷體"/>
      <w:color w:val="000000"/>
    </w:rPr>
  </w:style>
  <w:style w:type="character" w:customStyle="1" w:styleId="26">
    <w:name w:val="本文 2 字元"/>
    <w:link w:val="25"/>
    <w:uiPriority w:val="99"/>
    <w:locked/>
    <w:rsid w:val="005E7791"/>
    <w:rPr>
      <w:rFonts w:eastAsia="標楷體" w:cs="Times New Roman"/>
      <w:color w:val="000000"/>
      <w:kern w:val="2"/>
      <w:sz w:val="24"/>
      <w:szCs w:val="24"/>
      <w:lang w:val="en-US" w:eastAsia="zh-TW" w:bidi="ar-SA"/>
    </w:rPr>
  </w:style>
  <w:style w:type="paragraph" w:customStyle="1" w:styleId="4-1">
    <w:name w:val="樣式4-1"/>
    <w:uiPriority w:val="99"/>
    <w:rsid w:val="00B047B1"/>
    <w:pPr>
      <w:spacing w:line="560" w:lineRule="atLeast"/>
      <w:ind w:firstLineChars="300" w:firstLine="300"/>
    </w:pPr>
    <w:rPr>
      <w:rFonts w:eastAsia="標楷體"/>
      <w:sz w:val="24"/>
    </w:rPr>
  </w:style>
  <w:style w:type="paragraph" w:customStyle="1" w:styleId="27">
    <w:name w:val="樣式2"/>
    <w:basedOn w:val="4-1"/>
    <w:uiPriority w:val="99"/>
    <w:rsid w:val="00B047B1"/>
    <w:pPr>
      <w:ind w:leftChars="300" w:left="400" w:hangingChars="100" w:hanging="100"/>
    </w:pPr>
  </w:style>
  <w:style w:type="character" w:styleId="afe">
    <w:name w:val="FollowedHyperlink"/>
    <w:uiPriority w:val="99"/>
    <w:rsid w:val="00B047B1"/>
    <w:rPr>
      <w:rFonts w:cs="Times New Roman"/>
      <w:color w:val="800080"/>
      <w:u w:val="single"/>
    </w:rPr>
  </w:style>
  <w:style w:type="paragraph" w:styleId="aff">
    <w:name w:val="Block Text"/>
    <w:basedOn w:val="a"/>
    <w:uiPriority w:val="99"/>
    <w:rsid w:val="00B047B1"/>
    <w:pPr>
      <w:ind w:leftChars="774" w:left="1858" w:right="33" w:firstLineChars="200" w:firstLine="520"/>
      <w:jc w:val="both"/>
    </w:pPr>
    <w:rPr>
      <w:rFonts w:ascii="標楷體" w:eastAsia="標楷體" w:hAnsi="標楷體"/>
      <w:spacing w:val="20"/>
      <w:sz w:val="22"/>
    </w:rPr>
  </w:style>
  <w:style w:type="character" w:customStyle="1" w:styleId="subparatext">
    <w:name w:val="subparatext"/>
    <w:uiPriority w:val="99"/>
    <w:rsid w:val="00B047B1"/>
    <w:rPr>
      <w:rFonts w:cs="Times New Roman"/>
    </w:rPr>
  </w:style>
  <w:style w:type="paragraph" w:customStyle="1" w:styleId="aff0">
    <w:name w:val=".."/>
    <w:basedOn w:val="a"/>
    <w:next w:val="a"/>
    <w:uiPriority w:val="99"/>
    <w:rsid w:val="00B047B1"/>
    <w:pPr>
      <w:autoSpaceDE w:val="0"/>
      <w:autoSpaceDN w:val="0"/>
      <w:adjustRightInd w:val="0"/>
      <w:spacing w:after="50"/>
    </w:pPr>
    <w:rPr>
      <w:kern w:val="0"/>
    </w:rPr>
  </w:style>
  <w:style w:type="paragraph" w:styleId="33">
    <w:name w:val="Body Text 3"/>
    <w:basedOn w:val="a"/>
    <w:link w:val="34"/>
    <w:uiPriority w:val="99"/>
    <w:rsid w:val="00B047B1"/>
    <w:pPr>
      <w:spacing w:after="120"/>
    </w:pPr>
    <w:rPr>
      <w:sz w:val="16"/>
      <w:szCs w:val="16"/>
      <w:lang w:val="x-none" w:eastAsia="x-none"/>
    </w:rPr>
  </w:style>
  <w:style w:type="character" w:customStyle="1" w:styleId="34">
    <w:name w:val="本文 3 字元"/>
    <w:link w:val="33"/>
    <w:uiPriority w:val="99"/>
    <w:semiHidden/>
    <w:locked/>
    <w:rsid w:val="00E87984"/>
    <w:rPr>
      <w:rFonts w:cs="Times New Roman"/>
      <w:kern w:val="2"/>
      <w:sz w:val="16"/>
      <w:szCs w:val="16"/>
    </w:rPr>
  </w:style>
  <w:style w:type="character" w:customStyle="1" w:styleId="itemtextlaw">
    <w:name w:val="itemtextlaw"/>
    <w:uiPriority w:val="99"/>
    <w:rsid w:val="00B047B1"/>
    <w:rPr>
      <w:rFonts w:cs="Times New Roman"/>
    </w:rPr>
  </w:style>
  <w:style w:type="character" w:customStyle="1" w:styleId="aff1">
    <w:name w:val="頁尾 字元"/>
    <w:uiPriority w:val="99"/>
    <w:rsid w:val="00B047B1"/>
    <w:rPr>
      <w:rFonts w:cs="Times New Roman"/>
      <w:kern w:val="2"/>
    </w:rPr>
  </w:style>
  <w:style w:type="paragraph" w:customStyle="1" w:styleId="aff2">
    <w:name w:val="公文(主旨) + 粗體"/>
    <w:aliases w:val="置中,左:  0 cm,第一行:  0 cm,套用前:  12 pt,套用後:  12 pt,行距:  單行間距"/>
    <w:basedOn w:val="ad"/>
    <w:uiPriority w:val="99"/>
    <w:rsid w:val="00B047B1"/>
    <w:pPr>
      <w:spacing w:beforeLines="100" w:afterLines="100" w:line="240" w:lineRule="auto"/>
      <w:ind w:left="0" w:firstLine="0"/>
      <w:jc w:val="center"/>
    </w:pPr>
    <w:rPr>
      <w:b/>
    </w:rPr>
  </w:style>
  <w:style w:type="paragraph" w:customStyle="1" w:styleId="aff3">
    <w:name w:val="內文 + 標楷體"/>
    <w:aliases w:val="16 點,粗體"/>
    <w:basedOn w:val="a"/>
    <w:uiPriority w:val="99"/>
    <w:rsid w:val="00B047B1"/>
    <w:pPr>
      <w:autoSpaceDE w:val="0"/>
      <w:autoSpaceDN w:val="0"/>
      <w:adjustRightInd w:val="0"/>
      <w:spacing w:afterLines="50"/>
    </w:pPr>
    <w:rPr>
      <w:rFonts w:ascii="標楷體" w:eastAsia="標楷體" w:hAnsi="標楷體" w:cs="Arial"/>
      <w:b/>
      <w:kern w:val="0"/>
      <w:sz w:val="32"/>
      <w:szCs w:val="32"/>
    </w:rPr>
  </w:style>
  <w:style w:type="character" w:customStyle="1" w:styleId="apple-style-span">
    <w:name w:val="apple-style-span"/>
    <w:uiPriority w:val="99"/>
    <w:rsid w:val="00B047B1"/>
    <w:rPr>
      <w:rFonts w:cs="Times New Roman"/>
    </w:rPr>
  </w:style>
  <w:style w:type="paragraph" w:customStyle="1" w:styleId="aff4">
    <w:name w:val="a"/>
    <w:basedOn w:val="a"/>
    <w:uiPriority w:val="99"/>
    <w:rsid w:val="00B047B1"/>
    <w:pPr>
      <w:widowControl/>
      <w:spacing w:before="100" w:beforeAutospacing="1" w:after="100" w:afterAutospacing="1"/>
    </w:pPr>
    <w:rPr>
      <w:rFonts w:ascii="新細明體" w:hAnsi="新細明體" w:cs="新細明體"/>
      <w:kern w:val="0"/>
    </w:rPr>
  </w:style>
  <w:style w:type="paragraph" w:customStyle="1" w:styleId="ListParagraph1">
    <w:name w:val="List Paragraph1"/>
    <w:basedOn w:val="a"/>
    <w:rsid w:val="005E7791"/>
    <w:pPr>
      <w:ind w:leftChars="200" w:left="480"/>
    </w:pPr>
  </w:style>
  <w:style w:type="paragraph" w:styleId="aff5">
    <w:name w:val="Date"/>
    <w:basedOn w:val="a"/>
    <w:next w:val="a"/>
    <w:link w:val="aff6"/>
    <w:uiPriority w:val="99"/>
    <w:rsid w:val="005E7791"/>
    <w:pPr>
      <w:jc w:val="right"/>
    </w:pPr>
  </w:style>
  <w:style w:type="character" w:customStyle="1" w:styleId="aff6">
    <w:name w:val="日期 字元"/>
    <w:link w:val="aff5"/>
    <w:uiPriority w:val="99"/>
    <w:locked/>
    <w:rsid w:val="005E7791"/>
    <w:rPr>
      <w:rFonts w:eastAsia="新細明體" w:cs="Times New Roman"/>
      <w:kern w:val="2"/>
      <w:sz w:val="24"/>
      <w:szCs w:val="24"/>
      <w:lang w:val="en-US" w:eastAsia="zh-TW" w:bidi="ar-SA"/>
    </w:rPr>
  </w:style>
  <w:style w:type="paragraph" w:styleId="aff7">
    <w:name w:val="annotation subject"/>
    <w:basedOn w:val="afc"/>
    <w:next w:val="afc"/>
    <w:link w:val="aff8"/>
    <w:uiPriority w:val="99"/>
    <w:semiHidden/>
    <w:rsid w:val="005E7791"/>
    <w:rPr>
      <w:b/>
      <w:bCs/>
    </w:rPr>
  </w:style>
  <w:style w:type="character" w:customStyle="1" w:styleId="aff8">
    <w:name w:val="註解主旨 字元"/>
    <w:link w:val="aff7"/>
    <w:uiPriority w:val="99"/>
    <w:semiHidden/>
    <w:locked/>
    <w:rsid w:val="005E7791"/>
    <w:rPr>
      <w:rFonts w:eastAsia="新細明體" w:cs="Times New Roman"/>
      <w:b/>
      <w:bCs/>
      <w:kern w:val="2"/>
      <w:sz w:val="24"/>
      <w:szCs w:val="24"/>
      <w:lang w:val="en-US" w:eastAsia="zh-TW" w:bidi="ar-SA"/>
    </w:rPr>
  </w:style>
  <w:style w:type="character" w:customStyle="1" w:styleId="8">
    <w:name w:val="字元 字元8"/>
    <w:uiPriority w:val="99"/>
    <w:rsid w:val="005E7791"/>
    <w:rPr>
      <w:rFonts w:ascii="Times New Roman" w:eastAsia="標楷體" w:hAnsi="Times New Roman" w:cs="Times New Roman"/>
      <w:sz w:val="24"/>
      <w:szCs w:val="24"/>
    </w:rPr>
  </w:style>
  <w:style w:type="paragraph" w:customStyle="1" w:styleId="110">
    <w:name w:val="字元 字元 字元 字元 字元 字元 字元 字元 字元1 字元 字元 字元 字元1"/>
    <w:basedOn w:val="a"/>
    <w:uiPriority w:val="99"/>
    <w:rsid w:val="005E7791"/>
    <w:pPr>
      <w:widowControl/>
      <w:spacing w:after="160" w:line="240" w:lineRule="exact"/>
    </w:pPr>
    <w:rPr>
      <w:rFonts w:ascii="Verdana" w:hAnsi="Verdana"/>
      <w:kern w:val="0"/>
      <w:sz w:val="20"/>
      <w:szCs w:val="20"/>
      <w:lang w:eastAsia="en-US"/>
    </w:rPr>
  </w:style>
  <w:style w:type="paragraph" w:customStyle="1" w:styleId="Char">
    <w:name w:val="字元 字元 Char"/>
    <w:basedOn w:val="a"/>
    <w:uiPriority w:val="99"/>
    <w:rsid w:val="005E7791"/>
    <w:pPr>
      <w:widowControl/>
      <w:spacing w:after="160" w:line="240" w:lineRule="exact"/>
    </w:pPr>
    <w:rPr>
      <w:rFonts w:ascii="Arial" w:hAnsi="Arial" w:cs="Arial"/>
      <w:kern w:val="0"/>
      <w:sz w:val="20"/>
      <w:szCs w:val="20"/>
      <w:lang w:eastAsia="en-US"/>
    </w:rPr>
  </w:style>
  <w:style w:type="paragraph" w:customStyle="1" w:styleId="35">
    <w:name w:val="樣式3"/>
    <w:basedOn w:val="ad"/>
    <w:uiPriority w:val="99"/>
    <w:rsid w:val="005E7791"/>
    <w:pPr>
      <w:spacing w:before="120" w:after="120" w:line="240" w:lineRule="auto"/>
      <w:ind w:left="0" w:rightChars="11" w:right="26" w:firstLine="0"/>
      <w:jc w:val="center"/>
    </w:pPr>
    <w:rPr>
      <w:b/>
      <w:szCs w:val="32"/>
    </w:rPr>
  </w:style>
  <w:style w:type="character" w:styleId="aff9">
    <w:name w:val="footnote reference"/>
    <w:uiPriority w:val="99"/>
    <w:rsid w:val="005E7791"/>
    <w:rPr>
      <w:rFonts w:cs="Times New Roman"/>
      <w:vertAlign w:val="superscript"/>
    </w:rPr>
  </w:style>
  <w:style w:type="character" w:styleId="affa">
    <w:name w:val="annotation reference"/>
    <w:semiHidden/>
    <w:rsid w:val="00EE7392"/>
    <w:rPr>
      <w:rFonts w:cs="Times New Roman"/>
      <w:sz w:val="18"/>
      <w:szCs w:val="18"/>
    </w:rPr>
  </w:style>
  <w:style w:type="paragraph" w:styleId="affb">
    <w:name w:val="List Paragraph"/>
    <w:basedOn w:val="a"/>
    <w:uiPriority w:val="34"/>
    <w:qFormat/>
    <w:rsid w:val="001143F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01461947">
      <w:bodyDiv w:val="1"/>
      <w:marLeft w:val="0"/>
      <w:marRight w:val="0"/>
      <w:marTop w:val="0"/>
      <w:marBottom w:val="0"/>
      <w:divBdr>
        <w:top w:val="none" w:sz="0" w:space="0" w:color="auto"/>
        <w:left w:val="none" w:sz="0" w:space="0" w:color="auto"/>
        <w:bottom w:val="none" w:sz="0" w:space="0" w:color="auto"/>
        <w:right w:val="none" w:sz="0" w:space="0" w:color="auto"/>
      </w:divBdr>
    </w:div>
    <w:div w:id="132993708">
      <w:bodyDiv w:val="1"/>
      <w:marLeft w:val="0"/>
      <w:marRight w:val="0"/>
      <w:marTop w:val="0"/>
      <w:marBottom w:val="0"/>
      <w:divBdr>
        <w:top w:val="none" w:sz="0" w:space="0" w:color="auto"/>
        <w:left w:val="none" w:sz="0" w:space="0" w:color="auto"/>
        <w:bottom w:val="none" w:sz="0" w:space="0" w:color="auto"/>
        <w:right w:val="none" w:sz="0" w:space="0" w:color="auto"/>
      </w:divBdr>
    </w:div>
    <w:div w:id="235172935">
      <w:bodyDiv w:val="1"/>
      <w:marLeft w:val="0"/>
      <w:marRight w:val="0"/>
      <w:marTop w:val="0"/>
      <w:marBottom w:val="0"/>
      <w:divBdr>
        <w:top w:val="none" w:sz="0" w:space="0" w:color="auto"/>
        <w:left w:val="none" w:sz="0" w:space="0" w:color="auto"/>
        <w:bottom w:val="none" w:sz="0" w:space="0" w:color="auto"/>
        <w:right w:val="none" w:sz="0" w:space="0" w:color="auto"/>
      </w:divBdr>
    </w:div>
    <w:div w:id="395783931">
      <w:bodyDiv w:val="1"/>
      <w:marLeft w:val="0"/>
      <w:marRight w:val="0"/>
      <w:marTop w:val="0"/>
      <w:marBottom w:val="0"/>
      <w:divBdr>
        <w:top w:val="none" w:sz="0" w:space="0" w:color="auto"/>
        <w:left w:val="none" w:sz="0" w:space="0" w:color="auto"/>
        <w:bottom w:val="none" w:sz="0" w:space="0" w:color="auto"/>
        <w:right w:val="none" w:sz="0" w:space="0" w:color="auto"/>
      </w:divBdr>
    </w:div>
    <w:div w:id="435951901">
      <w:bodyDiv w:val="1"/>
      <w:marLeft w:val="0"/>
      <w:marRight w:val="0"/>
      <w:marTop w:val="0"/>
      <w:marBottom w:val="0"/>
      <w:divBdr>
        <w:top w:val="none" w:sz="0" w:space="0" w:color="auto"/>
        <w:left w:val="none" w:sz="0" w:space="0" w:color="auto"/>
        <w:bottom w:val="none" w:sz="0" w:space="0" w:color="auto"/>
        <w:right w:val="none" w:sz="0" w:space="0" w:color="auto"/>
      </w:divBdr>
    </w:div>
    <w:div w:id="875657322">
      <w:bodyDiv w:val="1"/>
      <w:marLeft w:val="0"/>
      <w:marRight w:val="0"/>
      <w:marTop w:val="0"/>
      <w:marBottom w:val="0"/>
      <w:divBdr>
        <w:top w:val="none" w:sz="0" w:space="0" w:color="auto"/>
        <w:left w:val="none" w:sz="0" w:space="0" w:color="auto"/>
        <w:bottom w:val="none" w:sz="0" w:space="0" w:color="auto"/>
        <w:right w:val="none" w:sz="0" w:space="0" w:color="auto"/>
      </w:divBdr>
    </w:div>
    <w:div w:id="1582452014">
      <w:bodyDiv w:val="1"/>
      <w:marLeft w:val="0"/>
      <w:marRight w:val="0"/>
      <w:marTop w:val="0"/>
      <w:marBottom w:val="0"/>
      <w:divBdr>
        <w:top w:val="none" w:sz="0" w:space="0" w:color="auto"/>
        <w:left w:val="none" w:sz="0" w:space="0" w:color="auto"/>
        <w:bottom w:val="none" w:sz="0" w:space="0" w:color="auto"/>
        <w:right w:val="none" w:sz="0" w:space="0" w:color="auto"/>
      </w:divBdr>
    </w:div>
    <w:div w:id="1764765985">
      <w:bodyDiv w:val="1"/>
      <w:marLeft w:val="0"/>
      <w:marRight w:val="0"/>
      <w:marTop w:val="0"/>
      <w:marBottom w:val="0"/>
      <w:divBdr>
        <w:top w:val="none" w:sz="0" w:space="0" w:color="auto"/>
        <w:left w:val="none" w:sz="0" w:space="0" w:color="auto"/>
        <w:bottom w:val="none" w:sz="0" w:space="0" w:color="auto"/>
        <w:right w:val="none" w:sz="0" w:space="0" w:color="auto"/>
      </w:divBdr>
    </w:div>
    <w:div w:id="1941133286">
      <w:bodyDiv w:val="1"/>
      <w:marLeft w:val="0"/>
      <w:marRight w:val="0"/>
      <w:marTop w:val="0"/>
      <w:marBottom w:val="0"/>
      <w:divBdr>
        <w:top w:val="none" w:sz="0" w:space="0" w:color="auto"/>
        <w:left w:val="none" w:sz="0" w:space="0" w:color="auto"/>
        <w:bottom w:val="none" w:sz="0" w:space="0" w:color="auto"/>
        <w:right w:val="none" w:sz="0" w:space="0" w:color="auto"/>
      </w:divBdr>
    </w:div>
    <w:div w:id="2132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mbalib.com/zh-tw/%E9%87%91%E8%9E%8D%E5%B8%82%E5%9C%BA" TargetMode="Externa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iki.mbalib.com/zh-tw/%E5%B1%A5%E7%BA%A6%E8%83%BD%E5%8A%9B"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iki.mbalib.com/zh-tw/%E7%9F%AD%E6%9C%9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7AB3-2F09-4759-AAC1-2374FDD9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14560</Words>
  <Characters>82998</Characters>
  <Application>Microsoft Office Word</Application>
  <DocSecurity>0</DocSecurity>
  <Lines>691</Lines>
  <Paragraphs>194</Paragraphs>
  <ScaleCrop>false</ScaleCrop>
  <Company/>
  <LinksUpToDate>false</LinksUpToDate>
  <CharactersWithSpaces>97364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「本國銀行資本適足性相關資訊應揭露事項」</dc:title>
  <dc:creator>user</dc:creator>
  <cp:lastModifiedBy>H25風管部_楊清和</cp:lastModifiedBy>
  <cp:revision>5</cp:revision>
  <cp:lastPrinted>2017-12-11T03:11:00Z</cp:lastPrinted>
  <dcterms:created xsi:type="dcterms:W3CDTF">2018-09-25T01:15:00Z</dcterms:created>
  <dcterms:modified xsi:type="dcterms:W3CDTF">2018-10-26T03:25:00Z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